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Predicting Audience Engagement from Content and Production Features</w:t>
      </w:r>
    </w:p>
    <w:tbl>
      <w:tblPr>
        <w:tblStyle w:val="Table"/>
        <w:tblW w:type="pct" w:w="4873"/>
        <w:tblLayout w:type="fixed"/>
        <w:tblLook w:firstRow="1" w:lastRow="1" w:firstColumn="0" w:lastColumn="0" w:noHBand="0" w:noVBand="0" w:val="0020"/>
        <w:tblCaption w:val="Predicting Audience Engagement from Content and Production Features"/>
      </w:tblPr>
      <w:tblGrid>
        <w:gridCol w:w="2506"/>
        <w:gridCol w:w="1203"/>
        <w:gridCol w:w="1804"/>
        <w:gridCol w:w="220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 (m2)</w:t>
            </w:r>
          </w:p>
        </w:tc>
        <w:tc>
          <w:tcPr/>
          <w:p>
            <w:pPr>
              <w:pStyle w:val="Compact"/>
            </w:pPr>
            <w:r>
              <w:t xml:space="preserve">Multilevel (l1)</w:t>
            </w:r>
          </w:p>
        </w:tc>
        <w:tc>
          <w:tcPr/>
          <w:p>
            <w:pPr>
              <w:pStyle w:val="Compact"/>
            </w:pPr>
            <w:r>
              <w:t xml:space="preserve">Fixed effects (fe1)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Slant</w:t>
            </w:r>
          </w:p>
        </w:tc>
        <w:tc>
          <w:tcPr/>
          <w:p>
            <w:pPr>
              <w:pStyle w:val="Compact"/>
            </w:pPr>
            <w:r>
              <w:t xml:space="preserve">1.000***</w:t>
            </w:r>
          </w:p>
        </w:tc>
        <w:tc>
          <w:tcPr/>
          <w:p>
            <w:pPr>
              <w:pStyle w:val="Compact"/>
            </w:pPr>
            <w:r>
              <w:t xml:space="preserve">0.685***</w:t>
            </w:r>
          </w:p>
        </w:tc>
        <w:tc>
          <w:tcPr/>
          <w:p>
            <w:pPr>
              <w:pStyle w:val="Compact"/>
            </w:pPr>
            <w:r>
              <w:t xml:space="preserve">0.661***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-0.590***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  <w:tc>
          <w:tcPr/>
          <w:p>
            <w:pPr>
              <w:pStyle w:val="Compact"/>
            </w:pPr>
            <w:r>
              <w:t xml:space="preserve">-0.595***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0.541***</w:t>
            </w:r>
          </w:p>
        </w:tc>
        <w:tc>
          <w:tcPr/>
          <w:p>
            <w:pPr>
              <w:pStyle w:val="Compact"/>
            </w:pPr>
            <w:r>
              <w:t xml:space="preserve">0.557***</w:t>
            </w:r>
          </w:p>
        </w:tc>
        <w:tc>
          <w:tcPr/>
          <w:p>
            <w:pPr>
              <w:pStyle w:val="Compact"/>
            </w:pPr>
            <w:r>
              <w:t xml:space="preserve">0.558***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 Present</w:t>
            </w:r>
          </w:p>
        </w:tc>
        <w:tc>
          <w:tcPr/>
          <w:p>
            <w:pPr>
              <w:pStyle w:val="Compact"/>
            </w:pPr>
            <w:r>
              <w:t xml:space="preserve">0.337***</w:t>
            </w:r>
          </w:p>
        </w:tc>
        <w:tc>
          <w:tcPr/>
          <w:p>
            <w:pPr>
              <w:pStyle w:val="Compact"/>
            </w:pPr>
            <w:r>
              <w:t xml:space="preserve">0.276***</w:t>
            </w:r>
          </w:p>
        </w:tc>
        <w:tc>
          <w:tcPr/>
          <w:p>
            <w:pPr>
              <w:pStyle w:val="Compact"/>
            </w:pPr>
            <w:r>
              <w:t xml:space="preserve">0.272***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Length (words)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Adj. R-squared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0.471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in parentheses; OLS = Linear Regression; Multilevel</w:t>
            </w:r>
            <w:r>
              <w:t xml:space="preserve"> </w:t>
            </w:r>
            <w:r>
              <w:t xml:space="preserve">includes random outlet intercept; FE estimates within-outlet effects.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2026-01-22T08:19:03Z</dcterms:created>
  <dcterms:modified xsi:type="dcterms:W3CDTF">2026-01-22T08:19:03Z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