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Predicting Audience Engagement from Content and Production Features</w:t>
      </w:r>
    </w:p>
    <w:tbl>
      <w:tblPr>
        <w:tblStyle w:val="Table"/>
        <w:tblW w:type="pct" w:w="4792"/>
        <w:tblLayout w:type="fixed"/>
        <w:tblLook w:firstRow="1" w:lastRow="1" w:firstColumn="0" w:lastColumn="0" w:noHBand="0" w:noVBand="0" w:val="0020"/>
        <w:tblCaption w:val="Predicting Audience Engagement from Content and Production Features"/>
      </w:tblPr>
      <w:tblGrid>
        <w:gridCol w:w="1870"/>
        <w:gridCol w:w="1320"/>
        <w:gridCol w:w="198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OLS (m2)</w:t>
            </w:r>
          </w:p>
        </w:tc>
        <w:tc>
          <w:tcPr/>
          <w:p>
            <w:pPr>
              <w:pStyle w:val="Compact"/>
            </w:pPr>
            <w:r>
              <w:t xml:space="preserve">Multilevel (l1)</w:t>
            </w:r>
          </w:p>
        </w:tc>
        <w:tc>
          <w:tcPr/>
          <w:p>
            <w:pPr>
              <w:pStyle w:val="Compact"/>
            </w:pPr>
            <w:r>
              <w:t xml:space="preserve">Fixed Effects (fe1)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Slant</w:t>
            </w:r>
          </w:p>
        </w:tc>
        <w:tc>
          <w:tcPr/>
          <w:p>
            <w:pPr>
              <w:pStyle w:val="Compact"/>
            </w:pPr>
            <w:r>
              <w:t xml:space="preserve">1.000***</w:t>
            </w:r>
          </w:p>
        </w:tc>
        <w:tc>
          <w:tcPr/>
          <w:p>
            <w:pPr>
              <w:pStyle w:val="Compact"/>
            </w:pPr>
            <w:r>
              <w:t xml:space="preserve">0.685***</w:t>
            </w:r>
          </w:p>
        </w:tc>
        <w:tc>
          <w:tcPr/>
          <w:p>
            <w:pPr>
              <w:pStyle w:val="Compact"/>
            </w:pPr>
            <w:r>
              <w:t xml:space="preserve">0.661***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-0.590***</w:t>
            </w:r>
          </w:p>
        </w:tc>
        <w:tc>
          <w:tcPr/>
          <w:p>
            <w:pPr>
              <w:pStyle w:val="Compact"/>
            </w:pPr>
            <w:r>
              <w:t xml:space="preserve">-0.595***</w:t>
            </w:r>
          </w:p>
        </w:tc>
        <w:tc>
          <w:tcPr/>
          <w:p>
            <w:pPr>
              <w:pStyle w:val="Compact"/>
            </w:pPr>
            <w:r>
              <w:t xml:space="preserve">-0.595***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0.541***</w:t>
            </w:r>
          </w:p>
        </w:tc>
        <w:tc>
          <w:tcPr/>
          <w:p>
            <w:pPr>
              <w:pStyle w:val="Compact"/>
            </w:pPr>
            <w:r>
              <w:t xml:space="preserve">0.557***</w:t>
            </w:r>
          </w:p>
        </w:tc>
        <w:tc>
          <w:tcPr/>
          <w:p>
            <w:pPr>
              <w:pStyle w:val="Compact"/>
            </w:pPr>
            <w:r>
              <w:t xml:space="preserve">0.558***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Visuals</w:t>
            </w:r>
          </w:p>
        </w:tc>
        <w:tc>
          <w:tcPr/>
          <w:p>
            <w:pPr>
              <w:pStyle w:val="Compact"/>
            </w:pPr>
            <w:r>
              <w:t xml:space="preserve">0.337***</w:t>
            </w:r>
          </w:p>
        </w:tc>
        <w:tc>
          <w:tcPr/>
          <w:p>
            <w:pPr>
              <w:pStyle w:val="Compact"/>
            </w:pPr>
            <w:r>
              <w:t xml:space="preserve">0.276***</w:t>
            </w:r>
          </w:p>
        </w:tc>
        <w:tc>
          <w:tcPr/>
          <w:p>
            <w:pPr>
              <w:pStyle w:val="Compact"/>
            </w:pPr>
            <w:r>
              <w:t xml:space="preserve">0.272***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Length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1381.8</w:t>
            </w:r>
          </w:p>
        </w:tc>
        <w:tc>
          <w:tcPr/>
          <w:p>
            <w:pPr>
              <w:pStyle w:val="Compact"/>
            </w:pPr>
            <w:r>
              <w:t xml:space="preserve">1200.3</w:t>
            </w:r>
          </w:p>
        </w:tc>
        <w:tc>
          <w:tcPr/>
          <w:p>
            <w:pPr>
              <w:pStyle w:val="Compact"/>
            </w:pPr>
            <w:r>
              <w:t xml:space="preserve">1074.6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1417.4</w:t>
            </w:r>
          </w:p>
        </w:tc>
        <w:tc>
          <w:tcPr/>
          <w:p>
            <w:pPr>
              <w:pStyle w:val="Compact"/>
            </w:pPr>
            <w:r>
              <w:t xml:space="preserve">1241.0</w:t>
            </w:r>
          </w:p>
        </w:tc>
        <w:tc>
          <w:tcPr/>
          <w:p>
            <w:pPr>
              <w:pStyle w:val="Compact"/>
            </w:pPr>
            <w:r>
              <w:t xml:space="preserve">1105.1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Standard errors in parentheses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OLS = Linear regression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Multilevel includes random outlet intercept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FE estimates within-outlet effects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2026-01-30T15:56:07Z</dcterms:created>
  <dcterms:modified xsi:type="dcterms:W3CDTF">2026-01-30T15:56:07Z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