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F4E79"/>
          <w:sz w:val="56"/>
          <w:szCs w:val="56"/>
        </w:rPr>
        <w:t xml:space="preserve">GLP-1 Drug Market Impact Analysis</w:t>
      </w:r>
    </w:p>
    <w:p>
      <w:pPr>
        <w:spacing w:after="100" w:before="200"/>
        <w:jc w:val="center"/>
      </w:pPr>
      <w:r>
        <w:rPr>
          <w:color w:val="595959"/>
          <w:sz w:val="28"/>
          <w:szCs w:val="28"/>
        </w:rPr>
        <w:t xml:space="preserve">Medicare Part D Spending, Beneficiary Growth &amp; Coverage Gap Study</w:t>
      </w:r>
    </w:p>
    <w:p>
      <w:pPr>
        <w:spacing w:before="100"/>
        <w:jc w:val="center"/>
      </w:pPr>
      <w:r>
        <w:rPr>
          <w:i/>
          <w:iCs/>
          <w:color w:val="595959"/>
          <w:sz w:val="21"/>
          <w:szCs w:val="21"/>
        </w:rPr>
        <w:t xml:space="preserve">Ozempic · Wegovy · Mounjaro · Zepbound · Trulicity · Rybelsus · Saxenda · Victoza</w:t>
      </w:r>
    </w:p>
    <w:p>
      <w:pPr>
        <w:spacing w:after="1400"/>
      </w:pPr>
    </w:p>
    <w:p>
      <w:pPr>
        <w:jc w:val="center"/>
      </w:pPr>
      <w:r>
        <w:rPr>
          <w:b/>
          <w:bCs/>
          <w:sz w:val="24"/>
          <w:szCs w:val="24"/>
        </w:rPr>
        <w:t xml:space="preserve">Data Analyst Portfolio Project</w:t>
      </w:r>
    </w:p>
    <w:p>
      <w:pPr>
        <w:spacing w:before="80"/>
        <w:jc w:val="center"/>
      </w:pPr>
      <w:r>
        <w:rPr>
          <w:color w:val="595959"/>
          <w:sz w:val="21"/>
          <w:szCs w:val="21"/>
        </w:rPr>
        <w:t xml:space="preserve">End-to-end workflow: Python (pandas) data cleaning &amp; feature engineering → Power BI data modeling, DAX &amp; dashboard design</w:t>
      </w:r>
    </w:p>
    <w:p>
      <w:pPr>
        <w:spacing w:after="2200"/>
      </w:pPr>
    </w:p>
    <w:p>
      <w:pPr>
        <w:jc w:val="center"/>
      </w:pPr>
      <w:r>
        <w:rPr>
          <w:color w:val="595959"/>
          <w:sz w:val="19"/>
          <w:szCs w:val="19"/>
        </w:rPr>
        <w:t xml:space="preserve">Data source: CMS Medicare Part D Spending by Drug Dataset (2019–2023)</w:t>
      </w:r>
    </w:p>
    <w:p>
      <w:pPr>
        <w:spacing w:before="60"/>
        <w:jc w:val="center"/>
      </w:pPr>
      <w:r>
        <w:rPr>
          <w:i/>
          <w:iCs/>
          <w:color w:val="595959"/>
          <w:sz w:val="19"/>
          <w:szCs w:val="19"/>
        </w:rPr>
        <w:t xml:space="preserve">data.cms.gov</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spacing w:after="160" w:line="300"/>
      </w:pPr>
      <w:r>
        <w:t xml:space="preserve">This project analyzes Medicare Part D spending on the GLP-1 drug class — a category that has rapidly become one of the most expensive and fastest-growing areas of U.S. prescription drug spending. The drugs in scope include both diabetes-indicated medications (Ozempic, Trulicity, Rybelsus, Victoza, Mounjaro) and obesity-indicated medications (Wegovy, Zepbound, Saxenda).</w:t>
      </w:r>
    </w:p>
    <w:p>
      <w:pPr>
        <w:spacing w:after="160" w:line="300"/>
      </w:pPr>
      <w:r>
        <w:t xml:space="preserve">The objective was to build a complete, recruiter-facing data analyst portfolio piece demonstrating the full analytics lifecycle: sourcing a real government dataset, cleaning and engineering features in Python/pandas, modeling the data in Power BI with Power Query and DAX, and presenting findings through a three-page executive-style dashboard that tells a clear, defensible business story.</w:t>
      </w:r>
    </w:p>
    <w:p>
      <w:pPr>
        <w:pStyle w:val="Heading3"/>
      </w:pPr>
      <w:r>
        <w:t xml:space="preserve">Why this topic</w:t>
      </w:r>
    </w:p>
    <w:p>
      <w:pPr>
        <w:spacing w:after="160" w:line="300"/>
      </w:pPr>
      <w:r>
        <w:t xml:space="preserve">GLP-1 drugs are a current, widely discussed topic in U.S. healthcare policy due to their explosive cost growth and the ongoing debate over Medicare coverage of obesity treatment. This makes the analysis both technically substantive and immediately relevant to non-technical stakeholders, which is exactly the kind of project that stands out in a portfolio.</w:t>
      </w:r>
    </w:p>
    <w:p>
      <w:pPr>
        <w:pStyle w:val="Heading3"/>
      </w:pPr>
      <w:r>
        <w:t xml:space="preserve">Key questions investigated</w:t>
      </w:r>
    </w:p>
    <w:p>
      <w:pPr>
        <w:pStyle w:val="ListParagraph"/>
        <w:numPr>
          <w:ilvl w:val="0"/>
          <w:numId w:val="2"/>
        </w:numPr>
        <w:spacing w:after="80" w:line="290"/>
      </w:pPr>
      <w:r>
        <w:t xml:space="preserve">How has total Medicare Part D spending on GLP-1 drugs changed from 2019 to 2023?</w:t>
      </w:r>
    </w:p>
    <w:p>
      <w:pPr>
        <w:pStyle w:val="ListParagraph"/>
        <w:numPr>
          <w:ilvl w:val="0"/>
          <w:numId w:val="2"/>
        </w:numPr>
        <w:spacing w:after="80" w:line="290"/>
      </w:pPr>
      <w:r>
        <w:t xml:space="preserve">Is spending growth driven primarily by more patients, higher cost per patient, or both?</w:t>
      </w:r>
    </w:p>
    <w:p>
      <w:pPr>
        <w:pStyle w:val="ListParagraph"/>
        <w:numPr>
          <w:ilvl w:val="0"/>
          <w:numId w:val="2"/>
        </w:numPr>
        <w:spacing w:after="80" w:line="290"/>
      </w:pPr>
      <w:r>
        <w:t xml:space="preserve">Which GLP-1 drugs are covered by Medicare Part D, and which are excluded by law?</w:t>
      </w:r>
    </w:p>
    <w:p>
      <w:pPr>
        <w:pStyle w:val="ListParagraph"/>
        <w:numPr>
          <w:ilvl w:val="0"/>
          <w:numId w:val="2"/>
        </w:numPr>
        <w:spacing w:after="80" w:line="290"/>
      </w:pPr>
      <w:r>
        <w:t xml:space="preserve">What is the financial impact of the coverage gap between diabetes- and obesity-indicated drugs?</w:t>
      </w:r>
    </w:p>
    <w:p>
      <w:pPr>
        <w:pStyle w:val="ListParagraph"/>
        <w:numPr>
          <w:ilvl w:val="0"/>
          <w:numId w:val="2"/>
        </w:numPr>
        <w:spacing w:after="80" w:line="290"/>
      </w:pPr>
      <w:r>
        <w:t xml:space="preserve">Were any statistically unusual spending patterns flagged in the underlying CMS data, and what explains them?</w:t>
      </w:r>
    </w:p>
    <w:p>
      <w:pPr>
        <w:pStyle w:val="Heading1"/>
      </w:pPr>
      <w:r>
        <w:t xml:space="preserve">2. Data Source</w:t>
      </w:r>
    </w:p>
    <w:p>
      <w:pPr>
        <w:spacing w:after="160" w:line="300"/>
      </w:pPr>
      <w:r>
        <w:t xml:space="preserve">The analysis uses the CMS Medicare Part D Spending by Drug dataset (file: DSD_PTD_RY25_P04_V10_DY23_BGM.csv), published by the Centers for Medicare &amp; Medicaid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Attribute</w:t>
            </w:r>
          </w:p>
        </w:tc>
        <w:tc>
          <w:tcPr>
            <w:tcW w:type="dxa" w:w="6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Detail</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Source</w:t>
            </w:r>
          </w:p>
        </w:tc>
        <w:tc>
          <w:tcPr>
            <w:tcW w:type="dxa" w:w="6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data.cms.gov — Medicare Part D Spending by Drug</w:t>
            </w:r>
          </w:p>
        </w:tc>
      </w:tr>
      <w:tr>
        <w:tc>
          <w:tcPr>
            <w:tcW w:type="dxa" w:w="28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Raw size</w:t>
            </w:r>
          </w:p>
        </w:tc>
        <w:tc>
          <w:tcPr>
            <w:tcW w:type="dxa" w:w="65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14,309 rows x 46 columns, covering all Part D drugs nationally</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Coverage period</w:t>
            </w:r>
          </w:p>
        </w:tc>
        <w:tc>
          <w:tcPr>
            <w:tcW w:type="dxa" w:w="6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2019–2023 (5 years)</w:t>
            </w:r>
          </w:p>
        </w:tc>
      </w:tr>
      <w:tr>
        <w:tc>
          <w:tcPr>
            <w:tcW w:type="dxa" w:w="28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Granularity</w:t>
            </w:r>
          </w:p>
        </w:tc>
        <w:tc>
          <w:tcPr>
            <w:tcW w:type="dxa" w:w="65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One row per drug (brand/generic/manufacturer), with yearly metrics in separate columns</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Key metrics</w:t>
            </w:r>
          </w:p>
        </w:tc>
        <w:tc>
          <w:tcPr>
            <w:tcW w:type="dxa" w:w="6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Total spending, total claims, total beneficiaries, total dosage units, average spend per claim/beneficiary/dosage unit, plus CMS-calculated outlier flags</w:t>
            </w:r>
          </w:p>
        </w:tc>
      </w:tr>
      <w:tr>
        <w:tc>
          <w:tcPr>
            <w:tcW w:type="dxa" w:w="28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Known limitation</w:t>
            </w:r>
          </w:p>
        </w:tc>
        <w:tc>
          <w:tcPr>
            <w:tcW w:type="dxa" w:w="65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Gross drug cost only — excludes manufacturer rebates, which CMS is statutorily barred from disclosing</w:t>
            </w:r>
          </w:p>
        </w:tc>
      </w:tr>
      <w:tr>
        <w:tc>
          <w:tcPr>
            <w:tcW w:type="dxa" w:w="28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Privacy suppression</w:t>
            </w:r>
          </w:p>
        </w:tc>
        <w:tc>
          <w:tcPr>
            <w:tcW w:type="dxa" w:w="65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Beneficiary counts below 11 are suppressed (NaN) across related metrics for that drug-year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6"/>
              <w:bottom w:val="single" w:color="1F4E79" w:sz="4"/>
              <w:right w:val="single" w:color="1F4E79" w:sz="4"/>
            </w:tcBorders>
            <w:shd w:fill="DCE9F2" w:val="clear"/>
            <w:tcMar>
              <w:top w:type="dxa" w:w="140"/>
              <w:left w:type="dxa" w:w="200"/>
              <w:bottom w:type="dxa" w:w="140"/>
              <w:right w:type="dxa" w:w="200"/>
            </w:tcMar>
          </w:tcPr>
          <w:p>
            <w:pPr>
              <w:spacing w:after="60"/>
            </w:pPr>
            <w:r>
              <w:rPr>
                <w:b/>
                <w:bCs/>
                <w:color w:val="1F4E79"/>
                <w:sz w:val="22"/>
                <w:szCs w:val="22"/>
              </w:rPr>
              <w:t xml:space="preserve">Important scope note</w:t>
            </w:r>
          </w:p>
          <w:p>
            <w:r>
              <w:rPr>
                <w:sz w:val="21"/>
                <w:szCs w:val="21"/>
              </w:rPr>
              <w:t xml:space="preserve">This dataset reflects what Medicare paid (insurer + patient share combined), not hospital purchasing costs. It does not include state-level breakdowns or private insurance data — those would require supplementary sources such as the Part D Prescriber dataset or KFF state Medicaid coverage reports.</w:t>
            </w:r>
          </w:p>
        </w:tc>
      </w:tr>
    </w:tbl>
    <w:p>
      <w:r>
        <w:br w:type="page"/>
      </w:r>
    </w:p>
    <w:p>
      <w:pPr>
        <w:pStyle w:val="Heading1"/>
      </w:pPr>
      <w:r>
        <w:t xml:space="preserve">3. Python Data Cleaning &amp; Feature Engineering</w:t>
      </w:r>
    </w:p>
    <w:p>
      <w:pPr>
        <w:spacing w:after="160" w:line="300"/>
      </w:pPr>
      <w:r>
        <w:t xml:space="preserve">All cleaning and feature engineering was performed in a Jupyter notebook using pandas and NumPy, with matplotlib used for initial exploratory visualization before the data was handed off to Power BI.</w:t>
      </w:r>
    </w:p>
    <w:p>
      <w:pPr>
        <w:pStyle w:val="Heading2"/>
      </w:pPr>
      <w:r>
        <w:t xml:space="preserve">3.1 Initial inspection</w:t>
      </w:r>
    </w:p>
    <w:p>
      <w:pPr>
        <w:spacing w:after="160" w:line="300"/>
      </w:pPr>
      <w:r>
        <w:t xml:space="preserve">The raw CSV was loaded and inspected with df.head(), df.info(), and df.describe() to understand column types, row counts, and null distribution before any cleaning began.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import pandas as pd</w:t>
            </w:r>
          </w:p>
          <w:p>
            <w:pPr>
              <w:spacing w:after="0"/>
            </w:pPr>
            <w:r>
              <w:rPr>
                <w:rFonts w:ascii="Consolas" w:cs="Consolas" w:eastAsia="Consolas" w:hAnsi="Consolas"/>
                <w:sz w:val="18"/>
                <w:szCs w:val="18"/>
              </w:rPr>
              <w:t xml:space="preserve">import numpy as np</w:t>
            </w:r>
          </w:p>
          <w:p>
            <w:pPr>
              <w:spacing w:after="0"/>
            </w:pPr>
            <w:r>
              <w:rPr>
                <w:rFonts w:ascii="Consolas" w:cs="Consolas" w:eastAsia="Consolas" w:hAnsi="Consolas"/>
                <w:sz w:val="18"/>
                <w:szCs w:val="18"/>
              </w:rPr>
              <w:t xml:space="preserve">import matplotlib.pyplot as plt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pd.read_csv('DSD_PTD_RY25_P04_V10_DY23_BGM.csv')</w:t>
            </w:r>
          </w:p>
          <w:p>
            <w:pPr>
              <w:spacing w:after="0"/>
            </w:pPr>
            <w:r>
              <w:rPr>
                <w:rFonts w:ascii="Consolas" w:cs="Consolas" w:eastAsia="Consolas" w:hAnsi="Consolas"/>
                <w:sz w:val="18"/>
                <w:szCs w:val="18"/>
              </w:rPr>
              <w:t xml:space="preserve">df.head()</w:t>
            </w:r>
          </w:p>
          <w:p>
            <w:pPr>
              <w:spacing w:after="0"/>
            </w:pPr>
            <w:r>
              <w:rPr>
                <w:rFonts w:ascii="Consolas" w:cs="Consolas" w:eastAsia="Consolas" w:hAnsi="Consolas"/>
                <w:sz w:val="18"/>
                <w:szCs w:val="18"/>
              </w:rPr>
              <w:t xml:space="preserve">df.info()</w:t>
            </w:r>
          </w:p>
          <w:p>
            <w:pPr>
              <w:spacing w:after="0"/>
            </w:pPr>
            <w:r>
              <w:rPr>
                <w:rFonts w:ascii="Consolas" w:cs="Consolas" w:eastAsia="Consolas" w:hAnsi="Consolas"/>
                <w:sz w:val="18"/>
                <w:szCs w:val="18"/>
              </w:rPr>
              <w:t xml:space="preserve">df.describe()</w:t>
            </w:r>
          </w:p>
        </w:tc>
      </w:tr>
    </w:tbl>
    <w:p>
      <w:pPr>
        <w:pStyle w:val="Heading2"/>
      </w:pPr>
      <w:r>
        <w:t xml:space="preserve">3.2 Dropping unneeded columns</w:t>
      </w:r>
    </w:p>
    <w:p>
      <w:pPr>
        <w:spacing w:after="160" w:line="300"/>
      </w:pPr>
      <w:r>
        <w:t xml:space="preserve">Four columns were removed from the full dataset before any drug-level filtering, since they were not relevant to the spending-trend and coverage-gap analysis:</w:t>
      </w:r>
    </w:p>
    <w:p>
      <w:pPr>
        <w:pStyle w:val="ListParagraph"/>
        <w:numPr>
          <w:ilvl w:val="0"/>
          <w:numId w:val="2"/>
        </w:numPr>
        <w:spacing w:after="80" w:line="290"/>
      </w:pPr>
      <w:r>
        <w:t xml:space="preserve">Tot_Mftr — number of manufacturers per drug, not needed for this analysis</w:t>
      </w:r>
    </w:p>
    <w:p>
      <w:pPr>
        <w:pStyle w:val="ListParagraph"/>
        <w:numPr>
          <w:ilvl w:val="0"/>
          <w:numId w:val="2"/>
        </w:numPr>
        <w:spacing w:after="80" w:line="290"/>
      </w:pPr>
      <w:r>
        <w:t xml:space="preserve">Mftr_Name — manufacturer name, same reasoning</w:t>
      </w:r>
    </w:p>
    <w:p>
      <w:pPr>
        <w:pStyle w:val="ListParagraph"/>
        <w:numPr>
          <w:ilvl w:val="0"/>
          <w:numId w:val="2"/>
        </w:numPr>
        <w:spacing w:after="80" w:line="290"/>
      </w:pPr>
      <w:r>
        <w:t xml:space="preserve">Chg_Avg_Spnd_Per_Dsg_Unt_22_23 — a CMS pre-calculated single-year change figure, redundant once custom growth measures were engineered</w:t>
      </w:r>
    </w:p>
    <w:p>
      <w:pPr>
        <w:pStyle w:val="ListParagraph"/>
        <w:numPr>
          <w:ilvl w:val="0"/>
          <w:numId w:val="2"/>
        </w:numPr>
        <w:spacing w:after="80" w:line="290"/>
      </w:pPr>
      <w:r>
        <w:t xml:space="preserve">CAGR_Avg_Spnd_Per_Dsg_Unt_19_23 — CMS pre-calculated CAGR, redundant once a custom 5-year CAGR measure was built directly in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df = df.drop(columns=["Tot_Mftr"])</w:t>
            </w:r>
          </w:p>
          <w:p>
            <w:pPr>
              <w:spacing w:after="0"/>
            </w:pPr>
            <w:r>
              <w:rPr>
                <w:rFonts w:ascii="Consolas" w:cs="Consolas" w:eastAsia="Consolas" w:hAnsi="Consolas"/>
                <w:sz w:val="18"/>
                <w:szCs w:val="18"/>
              </w:rPr>
              <w:t xml:space="preserve">df = df.drop(columns=["Mftr_Name"])</w:t>
            </w:r>
          </w:p>
          <w:p>
            <w:pPr>
              <w:spacing w:after="0"/>
            </w:pPr>
            <w:r>
              <w:rPr>
                <w:rFonts w:ascii="Consolas" w:cs="Consolas" w:eastAsia="Consolas" w:hAnsi="Consolas"/>
                <w:sz w:val="18"/>
                <w:szCs w:val="18"/>
              </w:rPr>
              <w:t xml:space="preserve">df = df.drop(columns=["Chg_Avg_Spnd_Per_Dsg_Unt_22_23"])</w:t>
            </w:r>
          </w:p>
          <w:p>
            <w:pPr>
              <w:spacing w:after="0"/>
            </w:pPr>
            <w:r>
              <w:rPr>
                <w:rFonts w:ascii="Consolas" w:cs="Consolas" w:eastAsia="Consolas" w:hAnsi="Consolas"/>
                <w:sz w:val="18"/>
                <w:szCs w:val="18"/>
              </w:rPr>
              <w:t xml:space="preserve">df = df.drop(columns=["CAGR_Avg_Spnd_Per_Dsg_Unt_19_23"])</w:t>
            </w:r>
          </w:p>
        </w:tc>
      </w:tr>
    </w:tbl>
    <w:p>
      <w:pPr>
        <w:pStyle w:val="Heading2"/>
      </w:pPr>
      <w:r>
        <w:t xml:space="preserve">3.3 Handling duplicate rows</w:t>
      </w:r>
    </w:p>
    <w:p>
      <w:pPr>
        <w:spacing w:after="160" w:line="300"/>
      </w:pPr>
      <w:r>
        <w:t xml:space="preserve">A full-row duplicate check using df.duplicated().sum() identified 2,201 exact duplicate rows across the full 14,309-row dataset. These were removed with drop_duplicates().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df.duplicated().sum()   # 2201</w:t>
            </w:r>
          </w:p>
          <w:p>
            <w:pPr>
              <w:spacing w:after="0"/>
            </w:pPr>
            <w:r>
              <w:rPr>
                <w:rFonts w:ascii="Consolas" w:cs="Consolas" w:eastAsia="Consolas" w:hAnsi="Consolas"/>
                <w:sz w:val="18"/>
                <w:szCs w:val="18"/>
              </w:rPr>
              <w:t xml:space="preserve">df = df.drop_duplicates()</w:t>
            </w:r>
          </w:p>
        </w:tc>
      </w:tr>
    </w:tbl>
    <w:p>
      <w:pPr>
        <w:spacing w:after="160" w:line="300"/>
      </w:pPr>
      <w:r>
        <w:t xml:space="preserve">A secondary check using only Brnd_Name and Gnrc_Name as the duplicate key returned a much larger number (10,711) — but this was investigated and found to be a false signal rather than a real data quality issue. The same brand/generic name legitimately repeats across multiple CMS rows representing different dosage forms, strengths, or formulations of the same drug, each carrying distinct spending and claims values. Only true full-row duplicates were dropped; rows that merely shared a brand/generic name were correctly retained.</w:t>
      </w:r>
    </w:p>
    <w:p>
      <w:pPr>
        <w:pStyle w:val="Heading2"/>
      </w:pPr>
      <w:r>
        <w:t xml:space="preserve">3.4 Handling missing values</w:t>
      </w:r>
    </w:p>
    <w:p>
      <w:pPr>
        <w:spacing w:after="160" w:line="300"/>
      </w:pPr>
      <w:r>
        <w:t xml:space="preserve">Null values were investigated systematically rather than blanket-filled. df.isna().sum() was re-run after the duplicate cleanup, and several drug-year-specific patterns were identified and treated on their own merits:</w:t>
      </w:r>
    </w:p>
    <w:p>
      <w:pPr>
        <w:pStyle w:val="ListParagraph"/>
        <w:numPr>
          <w:ilvl w:val="0"/>
          <w:numId w:val="2"/>
        </w:numPr>
        <w:spacing w:after="80" w:line="290"/>
      </w:pPr>
      <w:r>
        <w:t xml:space="preserve">Rows missing both Brnd_Name and Gnrc_Name were inspected directly to confirm they were not usable records.</w:t>
      </w:r>
    </w:p>
    <w:p>
      <w:pPr>
        <w:pStyle w:val="ListParagraph"/>
        <w:numPr>
          <w:ilvl w:val="0"/>
          <w:numId w:val="2"/>
        </w:numPr>
        <w:spacing w:after="80" w:line="290"/>
      </w:pPr>
      <w:r>
        <w:t xml:space="preserve">Tot_Spndng_2019 (and the corresponding Tot_Clms_2019 / Tot_Benes_2019) was null for drugs that had no Medicare Part D activity in 2019. These were filled with 0, since a null here genuinely meant zero reported spending that year, not a suppressed or unknown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df["Tot_Spndng_2019"] = df["Tot_Spndng_2019"].fillna(0)</w:t>
            </w:r>
          </w:p>
          <w:p>
            <w:pPr>
              <w:spacing w:after="0"/>
            </w:pPr>
            <w:r>
              <w:rPr>
                <w:rFonts w:ascii="Consolas" w:cs="Consolas" w:eastAsia="Consolas" w:hAnsi="Consolas"/>
                <w:sz w:val="18"/>
                <w:szCs w:val="18"/>
              </w:rPr>
              <w:t xml:space="preserve">df["Tot_Clms_2019"] = df["Tot_Clms_2019"].fillna(0)</w:t>
            </w:r>
          </w:p>
          <w:p>
            <w:pPr>
              <w:spacing w:after="0"/>
            </w:pPr>
            <w:r>
              <w:rPr>
                <w:rFonts w:ascii="Consolas" w:cs="Consolas" w:eastAsia="Consolas" w:hAnsi="Consolas"/>
                <w:sz w:val="18"/>
                <w:szCs w:val="18"/>
              </w:rPr>
              <w:t xml:space="preserve">df["Tot_Benes_2019"] = df["Tot_Benes_2019"].fillna(0)</w:t>
            </w:r>
          </w:p>
        </w:tc>
      </w:tr>
    </w:tbl>
    <w:p>
      <w:pPr>
        <w:spacing w:after="160" w:line="300"/>
      </w:pPr>
      <w:r>
        <w:t xml:space="preserve">For 2020 onward, a more careful check was run before filling: rows where Tot_Spndng_2020 was null were cross-referenced against Tot_Spndng_2019 to see whether the drug had prior-year activity. Both the count of nulls following a non-zero 2019 value and the count following a zero 2019 value were checked separately, confirming that null 2020 values consistently represented genuine zero-activity years rather than suppressed data for an otherwise-active drug. On that basis, Tot_Spndng_2020, 2021, 2022, and 2023 were each filled with 0 using the same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((df["Tot_Spndng_2020"].isna()) &amp; (df["Tot_Spndng_2019"] &gt; 0)).sum()</w:t>
            </w:r>
          </w:p>
          <w:p>
            <w:pPr>
              <w:spacing w:after="0"/>
            </w:pPr>
            <w:r>
              <w:rPr>
                <w:rFonts w:ascii="Consolas" w:cs="Consolas" w:eastAsia="Consolas" w:hAnsi="Consolas"/>
                <w:sz w:val="18"/>
                <w:szCs w:val="18"/>
              </w:rPr>
              <w:t xml:space="preserve">((df["Tot_Spndng_2020"].isna()) &amp; (df["Tot_Spndng_2019"] == 0)).sum()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df["Tot_Spndng_2020"] = df["Tot_Spndng_2020"].fillna(0)</w:t>
            </w:r>
          </w:p>
          <w:p>
            <w:pPr>
              <w:spacing w:after="0"/>
            </w:pPr>
            <w:r>
              <w:rPr>
                <w:rFonts w:ascii="Consolas" w:cs="Consolas" w:eastAsia="Consolas" w:hAnsi="Consolas"/>
                <w:sz w:val="18"/>
                <w:szCs w:val="18"/>
              </w:rPr>
              <w:t xml:space="preserve">df["Tot_Spndng_2021"] = df["Tot_Spndng_2021"].fillna(0)</w:t>
            </w:r>
          </w:p>
          <w:p>
            <w:pPr>
              <w:spacing w:after="0"/>
            </w:pPr>
            <w:r>
              <w:rPr>
                <w:rFonts w:ascii="Consolas" w:cs="Consolas" w:eastAsia="Consolas" w:hAnsi="Consolas"/>
                <w:sz w:val="18"/>
                <w:szCs w:val="18"/>
              </w:rPr>
              <w:t xml:space="preserve">df["Tot_Spndng_2022"] = df["Tot_Spndng_2022"].fillna(0)</w:t>
            </w:r>
          </w:p>
          <w:p>
            <w:pPr>
              <w:spacing w:after="0"/>
            </w:pPr>
            <w:r>
              <w:rPr>
                <w:rFonts w:ascii="Consolas" w:cs="Consolas" w:eastAsia="Consolas" w:hAnsi="Consolas"/>
                <w:sz w:val="18"/>
                <w:szCs w:val="18"/>
              </w:rPr>
              <w:t xml:space="preserve">df["Tot_Spndng_2023"] = df["Tot_Spndng_2023"].fillna(0)</w:t>
            </w:r>
          </w:p>
        </w:tc>
      </w:tr>
    </w:tbl>
    <w:p>
      <w:pPr>
        <w:spacing w:after="160" w:line="300"/>
      </w:pPr>
      <w:r>
        <w:t xml:space="preserve">Beneficiary-count nulls (Tot_Benes_2020 and onward) were treated differently, since CMS suppresses this field specifically for privacy reasons whenever fewer than 11 beneficiaries received a drug in a given year — a null here does not mean zero, it means “fewer than 11, undisclosed.” These were reviewed by drug name rather than filled, to avoid falsely implying zero patients where the true count was simply small and suppressed.</w:t>
      </w:r>
    </w:p>
    <w:p>
      <w:pPr>
        <w:pStyle w:val="Heading2"/>
      </w:pPr>
      <w:r>
        <w:t xml:space="preserve">3.5 Filtering to the GLP-1 drug subset</w:t>
      </w:r>
    </w:p>
    <w:p>
      <w:pPr>
        <w:spacing w:after="160" w:line="300"/>
      </w:pPr>
      <w:r>
        <w:t xml:space="preserve">Once general cleaning was complete on the full dataset, the analysis was narrowed to the eight GLP-1 drugs in scope. Beneficiary-count nulls were re-checked specifically within this subset before finalizing the filter, confirming the pattern matched known FDA approval timelines (Wegovy 2021, Mounjaro 2022, Zepbound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glp1_drugs = ['Ozempic', 'Wegovy', 'Mounjaro', 'Zepbound',</w:t>
            </w:r>
          </w:p>
          <w:p>
            <w:pPr>
              <w:spacing w:after="0"/>
            </w:pPr>
            <w:r>
              <w:rPr>
                <w:rFonts w:ascii="Consolas" w:cs="Consolas" w:eastAsia="Consolas" w:hAnsi="Consolas"/>
                <w:sz w:val="18"/>
                <w:szCs w:val="18"/>
              </w:rPr>
              <w:t xml:space="preserve">              'Trulicity', 'Rybelsus', 'Saxenda', 'Victoza']</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df_glp1 = df[df['Brnd_Name'].isin(glp1_drugs)]</w:t>
            </w:r>
          </w:p>
          <w:p>
            <w:pPr>
              <w:spacing w:after="0"/>
            </w:pPr>
            <w:r>
              <w:rPr>
                <w:rFonts w:ascii="Consolas" w:cs="Consolas" w:eastAsia="Consolas" w:hAnsi="Consolas"/>
                <w:sz w:val="18"/>
                <w:szCs w:val="18"/>
              </w:rPr>
              <w:t xml:space="preserve">df_glp1[['Tot_Benes_2019','Tot_Benes_2020','Tot_Benes_2021',</w:t>
            </w:r>
          </w:p>
          <w:p>
            <w:pPr>
              <w:spacing w:after="0"/>
            </w:pPr>
            <w:r>
              <w:rPr>
                <w:rFonts w:ascii="Consolas" w:cs="Consolas" w:eastAsia="Consolas" w:hAnsi="Consolas"/>
                <w:sz w:val="18"/>
                <w:szCs w:val="18"/>
              </w:rPr>
              <w:t xml:space="preserve">         'Tot_Benes_2022','Tot_Benes_2023']].isna().sum()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df_glp1.set_index('Brnd_Name')[['Tot_Benes_2019','Tot_Benes_2020',</w:t>
            </w:r>
          </w:p>
          <w:p>
            <w:pPr>
              <w:spacing w:after="0"/>
            </w:pPr>
            <w:r>
              <w:rPr>
                <w:rFonts w:ascii="Consolas" w:cs="Consolas" w:eastAsia="Consolas" w:hAnsi="Consolas"/>
                <w:sz w:val="18"/>
                <w:szCs w:val="18"/>
              </w:rPr>
              <w:t xml:space="preserve">    'Tot_Benes_2021','Tot_Benes_2022','Tot_Benes_2023']]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 = df[df['Brnd_Name'].isin(glp1_drugs)].reset_index(drop=True)</w:t>
            </w:r>
          </w:p>
        </w:tc>
      </w:tr>
    </w:tbl>
    <w:p>
      <w:pPr>
        <w:spacing w:after="160" w:line="300"/>
      </w:pPr>
      <w:r>
        <w:t xml:space="preserve">After confirming the filtered subset was clean, any remaining incidental nulls were closed out with a final df.fillna(0) pass before feature engineering began.</w:t>
      </w:r>
    </w:p>
    <w:p>
      <w:pPr>
        <w:pStyle w:val="Heading2"/>
      </w:pPr>
      <w:r>
        <w:t xml:space="preserve">3.6 Feature engineering</w:t>
      </w:r>
    </w:p>
    <w:p>
      <w:pPr>
        <w:spacing w:after="160" w:line="300"/>
      </w:pPr>
      <w:r>
        <w:t xml:space="preserve">With a clean eight-drug, five-year dataset in place, several derived features were engineered directly in pandas to support the dashboard's KPIs and to pre-compute growth metrics that would otherwise require more complex DAX logic.</w:t>
      </w:r>
    </w:p>
    <w:p>
      <w:pPr>
        <w:pStyle w:val="Heading3"/>
      </w:pPr>
      <w:r>
        <w:t xml:space="preserve">Growth and change metrics (2019 →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df["Spending_Growth_%"] = (</w:t>
            </w:r>
          </w:p>
          <w:p>
            <w:pPr>
              <w:spacing w:after="0"/>
            </w:pPr>
            <w:r>
              <w:rPr>
                <w:rFonts w:ascii="Consolas" w:cs="Consolas" w:eastAsia="Consolas" w:hAnsi="Consolas"/>
                <w:sz w:val="18"/>
                <w:szCs w:val="18"/>
              </w:rPr>
              <w:t xml:space="preserve">    (df["Tot_Spndng_2023"] - df["Tot_Spndng_2019"])</w:t>
            </w:r>
          </w:p>
          <w:p>
            <w:pPr>
              <w:spacing w:after="0"/>
            </w:pPr>
            <w:r>
              <w:rPr>
                <w:rFonts w:ascii="Consolas" w:cs="Consolas" w:eastAsia="Consolas" w:hAnsi="Consolas"/>
                <w:sz w:val="18"/>
                <w:szCs w:val="18"/>
              </w:rPr>
              <w:t xml:space="preserve">    / (df["Tot_Spndng_2019"] + 1)</w:t>
            </w:r>
          </w:p>
          <w:p>
            <w:pPr>
              <w:spacing w:after="0"/>
            </w:pPr>
            <w:r>
              <w:rPr>
                <w:rFonts w:ascii="Consolas" w:cs="Consolas" w:eastAsia="Consolas" w:hAnsi="Consolas"/>
                <w:sz w:val="18"/>
                <w:szCs w:val="18"/>
              </w:rPr>
              <w:t xml:space="preserve">) *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df["Beneficiary_Growth_%"] = (</w:t>
            </w:r>
          </w:p>
          <w:p>
            <w:pPr>
              <w:spacing w:after="0"/>
            </w:pPr>
            <w:r>
              <w:rPr>
                <w:rFonts w:ascii="Consolas" w:cs="Consolas" w:eastAsia="Consolas" w:hAnsi="Consolas"/>
                <w:sz w:val="18"/>
                <w:szCs w:val="18"/>
              </w:rPr>
              <w:t xml:space="preserve">    (df["Tot_Benes_2023"] - df["Tot_Benes_2019"])</w:t>
            </w:r>
          </w:p>
          <w:p>
            <w:pPr>
              <w:spacing w:after="0"/>
            </w:pPr>
            <w:r>
              <w:rPr>
                <w:rFonts w:ascii="Consolas" w:cs="Consolas" w:eastAsia="Consolas" w:hAnsi="Consolas"/>
                <w:sz w:val="18"/>
                <w:szCs w:val="18"/>
              </w:rPr>
              <w:t xml:space="preserve">    / (df["Tot_Benes_2019"] + 1)</w:t>
            </w:r>
          </w:p>
          <w:p>
            <w:pPr>
              <w:spacing w:after="0"/>
            </w:pPr>
            <w:r>
              <w:rPr>
                <w:rFonts w:ascii="Consolas" w:cs="Consolas" w:eastAsia="Consolas" w:hAnsi="Consolas"/>
                <w:sz w:val="18"/>
                <w:szCs w:val="18"/>
              </w:rPr>
              <w:t xml:space="preserve">) *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df["Claim_Growth_%"] = (</w:t>
            </w:r>
          </w:p>
          <w:p>
            <w:pPr>
              <w:spacing w:after="0"/>
            </w:pPr>
            <w:r>
              <w:rPr>
                <w:rFonts w:ascii="Consolas" w:cs="Consolas" w:eastAsia="Consolas" w:hAnsi="Consolas"/>
                <w:sz w:val="18"/>
                <w:szCs w:val="18"/>
              </w:rPr>
              <w:t xml:space="preserve">    (df["Tot_Clms_2023"] - df["Tot_Clms_2019"])</w:t>
            </w:r>
          </w:p>
          <w:p>
            <w:pPr>
              <w:spacing w:after="0"/>
            </w:pPr>
            <w:r>
              <w:rPr>
                <w:rFonts w:ascii="Consolas" w:cs="Consolas" w:eastAsia="Consolas" w:hAnsi="Consolas"/>
                <w:sz w:val="18"/>
                <w:szCs w:val="18"/>
              </w:rPr>
              <w:t xml:space="preserve">    / (df["Tot_Clms_2019"] + 1)</w:t>
            </w:r>
          </w:p>
          <w:p>
            <w:pPr>
              <w:spacing w:after="0"/>
            </w:pPr>
            <w:r>
              <w:rPr>
                <w:rFonts w:ascii="Consolas" w:cs="Consolas" w:eastAsia="Consolas" w:hAnsi="Consolas"/>
                <w:sz w:val="18"/>
                <w:szCs w:val="18"/>
              </w:rPr>
              <w:t xml:space="preserve">) * 100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df["Price_Change_%"] = (</w:t>
            </w:r>
          </w:p>
          <w:p>
            <w:pPr>
              <w:spacing w:after="0"/>
            </w:pPr>
            <w:r>
              <w:rPr>
                <w:rFonts w:ascii="Consolas" w:cs="Consolas" w:eastAsia="Consolas" w:hAnsi="Consolas"/>
                <w:sz w:val="18"/>
                <w:szCs w:val="18"/>
              </w:rPr>
              <w:t xml:space="preserve">    (df["Avg_Spnd_Per_Clm_2023"] - df["Avg_Spnd_Per_Clm_2019"])</w:t>
            </w:r>
          </w:p>
          <w:p>
            <w:pPr>
              <w:spacing w:after="0"/>
            </w:pPr>
            <w:r>
              <w:rPr>
                <w:rFonts w:ascii="Consolas" w:cs="Consolas" w:eastAsia="Consolas" w:hAnsi="Consolas"/>
                <w:sz w:val="18"/>
                <w:szCs w:val="18"/>
              </w:rPr>
              <w:t xml:space="preserve">    / (df["Avg_Spnd_Per_Clm_2019"] + 1)</w:t>
            </w:r>
          </w:p>
          <w:p>
            <w:pPr>
              <w:spacing w:after="0"/>
            </w:pPr>
            <w:r>
              <w:rPr>
                <w:rFonts w:ascii="Consolas" w:cs="Consolas" w:eastAsia="Consolas" w:hAnsi="Consolas"/>
                <w:sz w:val="18"/>
                <w:szCs w:val="18"/>
              </w:rPr>
              <w:t xml:space="preserve">) * 100</w:t>
            </w:r>
          </w:p>
        </w:tc>
      </w:tr>
    </w:tbl>
    <w:p>
      <w:pPr>
        <w:spacing w:after="160" w:line="300"/>
      </w:pPr>
      <w:r>
        <w:t xml:space="preserve">Each growth formula adds 1 to the denominator as a safe-division guard, preventing a divide-by-zero error for any drug with $0 baseline spending in 2019 (relevant for drugs not yet launched, such as Zepbound).</w:t>
      </w:r>
    </w:p>
    <w:p>
      <w:pPr>
        <w:pStyle w:val="Heading3"/>
      </w:pPr>
      <w:r>
        <w:t xml:space="preserve">Categorical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top10 = df["Tot_Spndng_2023"].nlargest(10).min()</w:t>
            </w:r>
          </w:p>
          <w:p>
            <w:pPr>
              <w:spacing w:after="0"/>
            </w:pPr>
            <w:r>
              <w:rPr>
                <w:rFonts w:ascii="Consolas" w:cs="Consolas" w:eastAsia="Consolas" w:hAnsi="Consolas"/>
                <w:sz w:val="18"/>
                <w:szCs w:val="18"/>
              </w:rPr>
              <w:t xml:space="preserve">df["Top10_Drug"] = (df["Tot_Spndng_2023"] &gt;= top10).astype(int)</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df["New_Drug"] = (</w:t>
            </w:r>
          </w:p>
          <w:p>
            <w:pPr>
              <w:spacing w:after="0"/>
            </w:pPr>
            <w:r>
              <w:rPr>
                <w:rFonts w:ascii="Consolas" w:cs="Consolas" w:eastAsia="Consolas" w:hAnsi="Consolas"/>
                <w:sz w:val="18"/>
                <w:szCs w:val="18"/>
              </w:rPr>
              <w:t xml:space="preserve">    (df["Tot_Spndng_2019"] == 0) &amp;</w:t>
            </w:r>
          </w:p>
          <w:p>
            <w:pPr>
              <w:spacing w:after="0"/>
            </w:pPr>
            <w:r>
              <w:rPr>
                <w:rFonts w:ascii="Consolas" w:cs="Consolas" w:eastAsia="Consolas" w:hAnsi="Consolas"/>
                <w:sz w:val="18"/>
                <w:szCs w:val="18"/>
              </w:rPr>
              <w:t xml:space="preserve">    (df["Tot_Spndng_2023"] &gt; 0)</w:t>
            </w:r>
          </w:p>
          <w:p>
            <w:pPr>
              <w:spacing w:after="0"/>
            </w:pPr>
            <w:r>
              <w:rPr>
                <w:rFonts w:ascii="Consolas" w:cs="Consolas" w:eastAsia="Consolas" w:hAnsi="Consolas"/>
                <w:sz w:val="18"/>
                <w:szCs w:val="18"/>
              </w:rPr>
              <w:t xml:space="preserve">).astype(int)</w:t>
            </w:r>
          </w:p>
        </w:tc>
      </w:tr>
    </w:tbl>
    <w:p>
      <w:pPr>
        <w:spacing w:after="160" w:line="300"/>
      </w:pPr>
      <w:r>
        <w:t xml:space="preserve">Top10_Drug flags whether a drug is among the ten highest-spending drugs in 2023; New_Drug flags drugs that had zero spending in 2019 but nonzero spending by 2023 — directly identifying market entrants such as Zepbound.</w:t>
      </w:r>
    </w:p>
    <w:p>
      <w:pPr>
        <w:pStyle w:val="Heading3"/>
      </w:pPr>
      <w:r>
        <w:t xml:space="preserve">Multi-year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spending_cols = ["Tot_Spndng_2019", "Tot_Spndng_2020",</w:t>
            </w:r>
          </w:p>
          <w:p>
            <w:pPr>
              <w:spacing w:after="0"/>
            </w:pPr>
            <w:r>
              <w:rPr>
                <w:rFonts w:ascii="Consolas" w:cs="Consolas" w:eastAsia="Consolas" w:hAnsi="Consolas"/>
                <w:sz w:val="18"/>
                <w:szCs w:val="18"/>
              </w:rPr>
              <w:t xml:space="preserve">                 "Tot_Spndng_2021", "Tot_Spndng_2022", "Tot_Spndng_2023"]</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df["Avg_5Y_Spending"] = df[spending_cols].mean(axis=1)</w:t>
            </w:r>
          </w:p>
          <w:p>
            <w:pPr>
              <w:spacing w:after="0"/>
            </w:pPr>
            <w:r>
              <w:rPr>
                <w:rFonts w:ascii="Consolas" w:cs="Consolas" w:eastAsia="Consolas" w:hAnsi="Consolas"/>
                <w:sz w:val="18"/>
                <w:szCs w:val="18"/>
              </w:rPr>
              <w:t xml:space="preserve">df["Spending_Volatility"] = df[spending_cols].std(axis=1)</w:t>
            </w:r>
          </w:p>
        </w:tc>
      </w:tr>
    </w:tbl>
    <w:p>
      <w:pPr>
        <w:spacing w:after="160" w:line="300"/>
      </w:pPr>
      <w:r>
        <w:t xml:space="preserve">Avg_5Y_Spending gives a single rolled-up figure for each drug's average annual spend across the full window; Spending_Volatility (standard deviation across the same five years) flags which drugs had the most erratic year-to-year spending, useful as a sanity check against the CMS outlier flags reviewed later in the dashboard.</w:t>
      </w:r>
    </w:p>
    <w:p>
      <w:pPr>
        <w:pStyle w:val="Heading2"/>
      </w:pPr>
      <w:r>
        <w:t xml:space="preserve">3.7 Exploratory visualization (matplotlib)</w:t>
      </w:r>
    </w:p>
    <w:p>
      <w:pPr>
        <w:spacing w:after="160" w:line="300"/>
      </w:pPr>
      <w:r>
        <w:t xml:space="preserve">Before moving to Power BI, a set of exploratory charts was built directly in the notebook to sanity-check the engineered features and confirm the data told a sensible story prior to dashboard design:</w:t>
      </w:r>
    </w:p>
    <w:p>
      <w:pPr>
        <w:pStyle w:val="ListParagraph"/>
        <w:numPr>
          <w:ilvl w:val="0"/>
          <w:numId w:val="2"/>
        </w:numPr>
        <w:spacing w:after="80" w:line="290"/>
      </w:pPr>
      <w:r>
        <w:t xml:space="preserve">A bar chart of the top 10 drugs by 2023 spending</w:t>
      </w:r>
    </w:p>
    <w:p>
      <w:pPr>
        <w:pStyle w:val="ListParagraph"/>
        <w:numPr>
          <w:ilvl w:val="0"/>
          <w:numId w:val="2"/>
        </w:numPr>
        <w:spacing w:after="80" w:line="290"/>
      </w:pPr>
      <w:r>
        <w:t xml:space="preserve">A multi-line trend chart of those same top 10 drugs' spending from 2019–2023</w:t>
      </w:r>
    </w:p>
    <w:p>
      <w:pPr>
        <w:pStyle w:val="ListParagraph"/>
        <w:numPr>
          <w:ilvl w:val="0"/>
          <w:numId w:val="2"/>
        </w:numPr>
        <w:spacing w:after="80" w:line="290"/>
      </w:pPr>
      <w:r>
        <w:t xml:space="preserve">A histogram of the 2023 spending distribution across all drugs in the filtered set</w:t>
      </w:r>
    </w:p>
    <w:p>
      <w:pPr>
        <w:pStyle w:val="ListParagraph"/>
        <w:numPr>
          <w:ilvl w:val="0"/>
          <w:numId w:val="2"/>
        </w:numPr>
        <w:spacing w:after="80" w:line="290"/>
      </w:pPr>
      <w:r>
        <w:t xml:space="preserve">A scatter plot of beneficiaries vs. total spending in 2023, used as an early check on whether spending growth was tracking patient growth or diverging from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top10 = df.nlargest(10, "Tot_Spndng_2023")</w:t>
            </w:r>
          </w:p>
          <w:p>
            <w:pPr>
              <w:spacing w:after="0"/>
            </w:pPr>
            <w:r>
              <w:rPr>
                <w:rFonts w:ascii="Consolas" w:cs="Consolas" w:eastAsia="Consolas" w:hAnsi="Consolas"/>
                <w:sz w:val="18"/>
                <w:szCs w:val="18"/>
              </w:rPr>
              <w:t xml:space="preserve">plt.figure(figsize=(10,5))</w:t>
            </w:r>
          </w:p>
          <w:p>
            <w:pPr>
              <w:spacing w:after="0"/>
            </w:pPr>
            <w:r>
              <w:rPr>
                <w:rFonts w:ascii="Consolas" w:cs="Consolas" w:eastAsia="Consolas" w:hAnsi="Consolas"/>
                <w:sz w:val="18"/>
                <w:szCs w:val="18"/>
              </w:rPr>
              <w:t xml:space="preserve">plt.bar(top10["Brnd_Name"], top10["Tot_Spndng_2023"])</w:t>
            </w:r>
          </w:p>
          <w:p>
            <w:pPr>
              <w:spacing w:after="0"/>
            </w:pPr>
            <w:r>
              <w:rPr>
                <w:rFonts w:ascii="Consolas" w:cs="Consolas" w:eastAsia="Consolas" w:hAnsi="Consolas"/>
                <w:sz w:val="18"/>
                <w:szCs w:val="18"/>
              </w:rPr>
              <w:t xml:space="preserve">plt.xticks(rotation=45)</w:t>
            </w:r>
          </w:p>
          <w:p>
            <w:pPr>
              <w:spacing w:after="0"/>
            </w:pPr>
            <w:r>
              <w:rPr>
                <w:rFonts w:ascii="Consolas" w:cs="Consolas" w:eastAsia="Consolas" w:hAnsi="Consolas"/>
                <w:sz w:val="18"/>
                <w:szCs w:val="18"/>
              </w:rPr>
              <w:t xml:space="preserve">plt.title("Top 10 Drugs by Spending (2023)")</w:t>
            </w:r>
          </w:p>
          <w:p>
            <w:pPr>
              <w:spacing w:after="0"/>
            </w:pPr>
            <w:r>
              <w:rPr>
                <w:rFonts w:ascii="Consolas" w:cs="Consolas" w:eastAsia="Consolas" w:hAnsi="Consolas"/>
                <w:sz w:val="18"/>
                <w:szCs w:val="18"/>
              </w:rPr>
              <w:t xml:space="preserve">plt.ylabel("Total Spending")</w:t>
            </w:r>
          </w:p>
          <w:p>
            <w:pPr>
              <w:spacing w:after="0"/>
            </w:pPr>
            <w:r>
              <w:rPr>
                <w:rFonts w:ascii="Consolas" w:cs="Consolas" w:eastAsia="Consolas" w:hAnsi="Consolas"/>
                <w:sz w:val="18"/>
                <w:szCs w:val="18"/>
              </w:rPr>
              <w:t xml:space="preserve">plt.tight_layout()</w:t>
            </w:r>
          </w:p>
          <w:p>
            <w:pPr>
              <w:spacing w:after="0"/>
            </w:pPr>
            <w:r>
              <w:rPr>
                <w:rFonts w:ascii="Consolas" w:cs="Consolas" w:eastAsia="Consolas" w:hAnsi="Consolas"/>
                <w:sz w:val="18"/>
                <w:szCs w:val="18"/>
              </w:rPr>
              <w:t xml:space="preserve">plt.show()</w:t>
            </w:r>
          </w:p>
        </w:tc>
      </w:tr>
    </w:tbl>
    <w:p>
      <w:pPr>
        <w:spacing w:after="160" w:line="300"/>
      </w:pPr>
      <w:r>
        <w:t xml:space="preserve">This early scatter plot of beneficiaries against spending was the first signal that spending was growing faster than beneficiary counts — the same finding later formalized and surfaced as a headline KPI comparison in the Power BI dashboard.</w:t>
      </w:r>
    </w:p>
    <w:p>
      <w:pPr>
        <w:pStyle w:val="Heading2"/>
      </w:pPr>
      <w:r>
        <w:t xml:space="preserve">3.8 Finalizing and rounding</w:t>
      </w:r>
    </w:p>
    <w:p>
      <w:pPr>
        <w:spacing w:after="160" w:line="300"/>
      </w:pPr>
      <w:r>
        <w:t xml:space="preserve">As a final cleanup step, the three percentage growth columns were rounded to two decimal places for cleaner downstream display, and df.info() / df.describe() were re-run to confirm the dataset's final shape and types before export to Power 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df["Spending_Growth_%"] = df["Spending_Growth_%"].round(2)</w:t>
            </w:r>
          </w:p>
          <w:p>
            <w:pPr>
              <w:spacing w:after="0"/>
            </w:pPr>
            <w:r>
              <w:rPr>
                <w:rFonts w:ascii="Consolas" w:cs="Consolas" w:eastAsia="Consolas" w:hAnsi="Consolas"/>
                <w:sz w:val="18"/>
                <w:szCs w:val="18"/>
              </w:rPr>
              <w:t xml:space="preserve">df["Beneficiary_Growth_%"] = df["Beneficiary_Growth_%"].round(2)</w:t>
            </w:r>
          </w:p>
          <w:p>
            <w:pPr>
              <w:spacing w:after="0"/>
            </w:pPr>
            <w:r>
              <w:rPr>
                <w:rFonts w:ascii="Consolas" w:cs="Consolas" w:eastAsia="Consolas" w:hAnsi="Consolas"/>
                <w:sz w:val="18"/>
                <w:szCs w:val="18"/>
              </w:rPr>
              <w:t xml:space="preserve">df["Claim_Growth_%"] = df["Claim_Growth_%"].round(2)</w:t>
            </w:r>
          </w:p>
        </w:tc>
      </w:tr>
    </w:tbl>
    <w:p>
      <w:r>
        <w:br w:type="page"/>
      </w:r>
    </w:p>
    <w:p>
      <w:pPr>
        <w:pStyle w:val="Heading1"/>
      </w:pPr>
      <w:r>
        <w:t xml:space="preserve">4. Power BI Data Modeling</w:t>
      </w:r>
    </w:p>
    <w:p>
      <w:pPr>
        <w:spacing w:after="160" w:line="300"/>
      </w:pPr>
      <w:r>
        <w:t xml:space="preserve">The cleaned, feature-engineered dataset was loaded into Power BI in Import mode. Because Power BI's time-series visuals work best against a long (unpivoted) table while the engineered KPI logic depended on the original wide, one-row-per-drug structure, the data model was deliberately split into one base table plus several purpose-built reference tables rather than melting everything into a single long table.</w:t>
      </w:r>
    </w:p>
    <w:p>
      <w:pPr>
        <w:pStyle w:val="Heading2"/>
      </w:pPr>
      <w:r>
        <w:t xml:space="preserve">4.1 Table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Table name</w:t>
            </w:r>
          </w:p>
        </w:tc>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Shape</w:t>
            </w:r>
          </w:p>
        </w:tc>
        <w:tc>
          <w:tcPr>
            <w:tcW w:type="dxa" w:w="3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public glp</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Wide — one row per drug, year columns side by side</w:t>
            </w:r>
          </w:p>
        </w:tc>
        <w:tc>
          <w:tcPr>
            <w:tcW w:type="dxa" w:w="36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Source of truth for all KPI cards, the coverage-status table, and every DAX growth/CAGR measure</w:t>
            </w:r>
          </w:p>
        </w:tc>
      </w:tr>
      <w:tr>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public glp long</w:t>
            </w:r>
          </w:p>
        </w:tc>
        <w:tc>
          <w:tcPr>
            <w:tcW w:type="dxa" w:w="33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Long — Brnd_Name, Year, Tot_Spndng</w:t>
            </w:r>
          </w:p>
        </w:tc>
        <w:tc>
          <w:tcPr>
            <w:tcW w:type="dxa" w:w="36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Feeds the 2023 spending-share donut chart</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public glp long (2)</w:t>
            </w:r>
          </w:p>
        </w:tc>
        <w:tc>
          <w:tcPr>
            <w:tcW w:type="dxa" w:w="33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Long — Brnd_Name, Year, Tot_Spndng, plus YoY Spending Growth and Mounjaro_2023_Spend measures</w:t>
            </w:r>
          </w:p>
        </w:tc>
        <w:tc>
          <w:tcPr>
            <w:tcW w:type="dxa" w:w="36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Feeds the total spending trend chart and the per-drug YoY growth line chart</w:t>
            </w:r>
          </w:p>
        </w:tc>
      </w:tr>
      <w:tr>
        <w:tc>
          <w:tcPr>
            <w:tcW w:type="dxa" w:w="24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public clm glp</w:t>
            </w:r>
          </w:p>
        </w:tc>
        <w:tc>
          <w:tcPr>
            <w:tcW w:type="dxa" w:w="33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Long — Brnd_Name, Year, Avg_Spnd_Per_Clm</w:t>
            </w:r>
          </w:p>
        </w:tc>
        <w:tc>
          <w:tcPr>
            <w:tcW w:type="dxa" w:w="36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Feeds the average cost-per-claim trend chart on Page 3</w:t>
            </w:r>
          </w:p>
        </w:tc>
      </w:tr>
    </w:tbl>
    <w:p>
      <w:pPr>
        <w:spacing w:after="120"/>
      </w:pPr>
    </w:p>
    <w:p>
      <w:pPr>
        <w:spacing w:after="160" w:line="300"/>
      </w:pPr>
      <w:r>
        <w:t xml:space="preserve">Each long table was created in Power Query as a Reference of the original wide table, then reduced to only the relevant identifier and year columns using Remove Other Columns, followed by Table.Unpivot applied only to the year-specific value columns (explicitly excluding Brnd_Name from the unpivot list so it remained as a clean identifier column rather than being melted into the Year/Value pair). A Replace Values step then stripped the metric name prefix (e.g. “Tot_Spndng_”) from the resulting Year column so it read as a clean four-digit year for charting.</w:t>
      </w:r>
    </w:p>
    <w:p>
      <w:pPr>
        <w:spacing w:after="160" w:line="300"/>
      </w:pPr>
      <w:r>
        <w:t xml:space="preserve">Keeping the original glp table untouched in its wide form, rather than converting everything to long format, avoided breaking any DAX measure that referenced a specific year column directly (e.g. Tot_Spndng_2022) and kept the KPI-card logic simple.</w:t>
      </w:r>
    </w:p>
    <w:p>
      <w:pPr>
        <w:pStyle w:val="Heading1"/>
      </w:pPr>
      <w:r>
        <w:t xml:space="preserve">5. Key DAX Measures</w:t>
      </w:r>
    </w:p>
    <w:p>
      <w:pPr>
        <w:spacing w:after="160" w:line="300"/>
      </w:pPr>
      <w:r>
        <w:t xml:space="preserve">The following measures were built on top of the public glp table (unless otherwise noted) to power every KPI card, trend line, and coverage classification in the dashboard.</w:t>
      </w:r>
    </w:p>
    <w:p>
      <w:pPr>
        <w:pStyle w:val="Heading2"/>
      </w:pPr>
      <w:r>
        <w:t xml:space="preserve">5.1 Growth, CAGR, and price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Measure</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Purpose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5Y_CAGR</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5-year compound annual growth rate of average spend per dosage unit, 2019→2023</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Spending_Growth_2022_23</w:t>
            </w:r>
          </w:p>
        </w:tc>
        <w:tc>
          <w:tcPr>
            <w:tcW w:type="dxa" w:w="6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Year-over-year % change in total spending, 2022 to 2023</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Beneficiary_Growth_19_23</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 growth in total beneficiaries, 2019 to 2023</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Claim_Growth_19_23</w:t>
            </w:r>
          </w:p>
        </w:tc>
        <w:tc>
          <w:tcPr>
            <w:tcW w:type="dxa" w:w="6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 growth in total claims, 2019 to 2023</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Ozempic_Price_Growth</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 growth in Ozempic's average cost per claim, 2019 to 2023</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Ozempic_Avg_Clm_2023 / Trulicity_Avg_Clm_2023</w:t>
            </w:r>
          </w:p>
        </w:tc>
        <w:tc>
          <w:tcPr>
            <w:tcW w:type="dxa" w:w="6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2023 average spend per claim, isolated per drug for direct KPI comparison</w:t>
            </w:r>
          </w:p>
        </w:tc>
      </w:tr>
    </w:tbl>
    <w:p>
      <w:pPr>
        <w:spacing w:after="120"/>
      </w:pPr>
    </w:p>
    <w:p>
      <w:pPr>
        <w:spacing w:after="160" w:line="300"/>
      </w:pPr>
      <w:r>
        <w:t xml:space="preserve">The 5-year CAGR measure required explicit zero-division protection, since several GLP-1 drugs (Zepbound, Mounjaro) had no reported spend in 2019 and a naive CAGR formula would otherwise return a misleading result of −1 (−100%) rather than a true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5Y_CAGR =</w:t>
            </w:r>
          </w:p>
          <w:p>
            <w:pPr>
              <w:spacing w:after="0"/>
            </w:pPr>
            <w:r>
              <w:rPr>
                <w:rFonts w:ascii="Consolas" w:cs="Consolas" w:eastAsia="Consolas" w:hAnsi="Consolas"/>
                <w:sz w:val="18"/>
                <w:szCs w:val="18"/>
              </w:rPr>
              <w:t xml:space="preserve">VAR StartVal = SUM('glp'[Avg_Spnd_Per_Dsg_Unt_Wghtd_2019])</w:t>
            </w:r>
          </w:p>
          <w:p>
            <w:pPr>
              <w:spacing w:after="0"/>
            </w:pPr>
            <w:r>
              <w:rPr>
                <w:rFonts w:ascii="Consolas" w:cs="Consolas" w:eastAsia="Consolas" w:hAnsi="Consolas"/>
                <w:sz w:val="18"/>
                <w:szCs w:val="18"/>
              </w:rPr>
              <w:t xml:space="preserve">VAR EndVal = SUM('glp'[Avg_Spnd_Per_Dsg_Unt_Wghtd_2023])</w:t>
            </w:r>
          </w:p>
          <w:p>
            <w:pPr>
              <w:spacing w:after="0"/>
            </w:pPr>
            <w:r>
              <w:rPr>
                <w:rFonts w:ascii="Consolas" w:cs="Consolas" w:eastAsia="Consolas" w:hAnsi="Consolas"/>
                <w:sz w:val="18"/>
                <w:szCs w:val="18"/>
              </w:rPr>
              <w:t xml:space="preserve">RETURN</w:t>
            </w:r>
          </w:p>
          <w:p>
            <w:pPr>
              <w:spacing w:after="0"/>
            </w:pPr>
            <w:r>
              <w:rPr>
                <w:rFonts w:ascii="Consolas" w:cs="Consolas" w:eastAsia="Consolas" w:hAnsi="Consolas"/>
                <w:sz w:val="18"/>
                <w:szCs w:val="18"/>
              </w:rPr>
              <w:t xml:space="preserve">IF(</w:t>
            </w:r>
          </w:p>
          <w:p>
            <w:pPr>
              <w:spacing w:after="0"/>
            </w:pPr>
            <w:r>
              <w:rPr>
                <w:rFonts w:ascii="Consolas" w:cs="Consolas" w:eastAsia="Consolas" w:hAnsi="Consolas"/>
                <w:sz w:val="18"/>
                <w:szCs w:val="18"/>
              </w:rPr>
              <w:t xml:space="preserve">    StartVal = 0 || ISBLANK(StartVal),</w:t>
            </w:r>
          </w:p>
          <w:p>
            <w:pPr>
              <w:spacing w:after="0"/>
            </w:pPr>
            <w:r>
              <w:rPr>
                <w:rFonts w:ascii="Consolas" w:cs="Consolas" w:eastAsia="Consolas" w:hAnsi="Consolas"/>
                <w:sz w:val="18"/>
                <w:szCs w:val="18"/>
              </w:rPr>
              <w:t xml:space="preserve">    BLANK(),</w:t>
            </w:r>
          </w:p>
          <w:p>
            <w:pPr>
              <w:spacing w:after="0"/>
            </w:pPr>
            <w:r>
              <w:rPr>
                <w:rFonts w:ascii="Consolas" w:cs="Consolas" w:eastAsia="Consolas" w:hAnsi="Consolas"/>
                <w:sz w:val="18"/>
                <w:szCs w:val="18"/>
              </w:rPr>
              <w:t xml:space="preserve">    (DIVIDE(EndVal, StartVal)) ^ (1/5) - 1</w:t>
            </w:r>
          </w:p>
          <w:p>
            <w:pPr>
              <w:spacing w:after="0"/>
            </w:pPr>
            <w:r>
              <w:rPr>
                <w:rFonts w:ascii="Consolas" w:cs="Consolas" w:eastAsia="Consolas" w:hAnsi="Consolas"/>
                <w:sz w:val="18"/>
                <w:szCs w:val="18"/>
              </w:rPr>
              <w:t xml:space="preserve">)</w:t>
            </w:r>
          </w:p>
        </w:tc>
      </w:tr>
    </w:tbl>
    <w:p>
      <w:pPr>
        <w:spacing w:after="160" w:line="300"/>
      </w:pPr>
      <w:r>
        <w:t xml:space="preserve">The year-over-year and multi-year growth measures follow the same general pattern, comparing a start-year and end-year SUM with DIVIDE() and a BLANK() fallback to avoid divide-by-zero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Beneficiary_Growth_19_23 =</w:t>
            </w:r>
          </w:p>
          <w:p>
            <w:pPr>
              <w:spacing w:after="0"/>
            </w:pPr>
            <w:r>
              <w:rPr>
                <w:rFonts w:ascii="Consolas" w:cs="Consolas" w:eastAsia="Consolas" w:hAnsi="Consolas"/>
                <w:sz w:val="18"/>
                <w:szCs w:val="18"/>
              </w:rPr>
              <w:t xml:space="preserve">VAR Bene2019 = SUM('glp'[Tot_Benes_2019])</w:t>
            </w:r>
          </w:p>
          <w:p>
            <w:pPr>
              <w:spacing w:after="0"/>
            </w:pPr>
            <w:r>
              <w:rPr>
                <w:rFonts w:ascii="Consolas" w:cs="Consolas" w:eastAsia="Consolas" w:hAnsi="Consolas"/>
                <w:sz w:val="18"/>
                <w:szCs w:val="18"/>
              </w:rPr>
              <w:t xml:space="preserve">VAR Bene2023 = SUM('glp'[Tot_Benes_2023])</w:t>
            </w:r>
          </w:p>
          <w:p>
            <w:pPr>
              <w:spacing w:after="0"/>
            </w:pPr>
            <w:r>
              <w:rPr>
                <w:rFonts w:ascii="Consolas" w:cs="Consolas" w:eastAsia="Consolas" w:hAnsi="Consolas"/>
                <w:sz w:val="18"/>
                <w:szCs w:val="18"/>
              </w:rPr>
              <w:t xml:space="preserve">RETURN</w:t>
            </w:r>
          </w:p>
          <w:p>
            <w:pPr>
              <w:spacing w:after="0"/>
            </w:pPr>
            <w:r>
              <w:rPr>
                <w:rFonts w:ascii="Consolas" w:cs="Consolas" w:eastAsia="Consolas" w:hAnsi="Consolas"/>
                <w:sz w:val="18"/>
                <w:szCs w:val="18"/>
              </w:rPr>
              <w:t xml:space="preserve">IF(Bene2019 = 0 || ISBLANK(Bene2019), BLANK(),</w:t>
            </w:r>
          </w:p>
          <w:p>
            <w:pPr>
              <w:spacing w:after="0"/>
            </w:pPr>
            <w:r>
              <w:rPr>
                <w:rFonts w:ascii="Consolas" w:cs="Consolas" w:eastAsia="Consolas" w:hAnsi="Consolas"/>
                <w:sz w:val="18"/>
                <w:szCs w:val="18"/>
              </w:rPr>
              <w:t xml:space="preserve">   DIVIDE(Bene2023 - Bene2019, Bene2019, BLANK()))</w:t>
            </w:r>
          </w:p>
        </w:tc>
      </w:tr>
    </w:tbl>
    <w:p>
      <w:pPr>
        <w:spacing w:after="160" w:line="300"/>
      </w:pPr>
      <w:r>
        <w:t xml:space="preserve">This measure produced the dashboard's headline statistic: total GLP-1 beneficiaries grew from 535.7K in 2019 to 3.06M in 2023, a 471% increase — verified directly against the underlying SUM values before being trusted as a final KPI.</w:t>
      </w:r>
    </w:p>
    <w:p>
      <w:pPr>
        <w:pStyle w:val="Heading2"/>
      </w:pPr>
      <w:r>
        <w:t xml:space="preserve">5.2 Per-drug YoY spending growth (long-table measure)</w:t>
      </w:r>
    </w:p>
    <w:p>
      <w:pPr>
        <w:spacing w:after="160" w:line="300"/>
      </w:pPr>
      <w:r>
        <w:t xml:space="preserve">Built on public glp long (2), this measure powers the per-drug year-over-year growth line chart on Page 1, filtering the long table to specific year values rather than referencing wide-table columns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YoY Spending Growth =</w:t>
            </w:r>
          </w:p>
          <w:p>
            <w:pPr>
              <w:spacing w:after="0"/>
            </w:pPr>
            <w:r>
              <w:rPr>
                <w:rFonts w:ascii="Consolas" w:cs="Consolas" w:eastAsia="Consolas" w:hAnsi="Consolas"/>
                <w:sz w:val="18"/>
                <w:szCs w:val="18"/>
              </w:rPr>
              <w:t xml:space="preserve">VAR Spend2022 = CALCULATE(</w:t>
            </w:r>
          </w:p>
          <w:p>
            <w:pPr>
              <w:spacing w:after="0"/>
            </w:pPr>
            <w:r>
              <w:rPr>
                <w:rFonts w:ascii="Consolas" w:cs="Consolas" w:eastAsia="Consolas" w:hAnsi="Consolas"/>
                <w:sz w:val="18"/>
                <w:szCs w:val="18"/>
              </w:rPr>
              <w:t xml:space="preserve">    SUM('public glp long (2)'[Tot_Spndng]),</w:t>
            </w:r>
          </w:p>
          <w:p>
            <w:pPr>
              <w:spacing w:after="0"/>
            </w:pPr>
            <w:r>
              <w:rPr>
                <w:rFonts w:ascii="Consolas" w:cs="Consolas" w:eastAsia="Consolas" w:hAnsi="Consolas"/>
                <w:sz w:val="18"/>
                <w:szCs w:val="18"/>
              </w:rPr>
              <w:t xml:space="preserve">    'public glp long (2)'[Year] = "2022")</w:t>
            </w:r>
          </w:p>
          <w:p>
            <w:pPr>
              <w:spacing w:after="0"/>
            </w:pPr>
            <w:r>
              <w:rPr>
                <w:rFonts w:ascii="Consolas" w:cs="Consolas" w:eastAsia="Consolas" w:hAnsi="Consolas"/>
                <w:sz w:val="18"/>
                <w:szCs w:val="18"/>
              </w:rPr>
              <w:t xml:space="preserve">VAR Spend2023 = CALCULATE(</w:t>
            </w:r>
          </w:p>
          <w:p>
            <w:pPr>
              <w:spacing w:after="0"/>
            </w:pPr>
            <w:r>
              <w:rPr>
                <w:rFonts w:ascii="Consolas" w:cs="Consolas" w:eastAsia="Consolas" w:hAnsi="Consolas"/>
                <w:sz w:val="18"/>
                <w:szCs w:val="18"/>
              </w:rPr>
              <w:t xml:space="preserve">    SUM('public glp long (2)'[Tot_Spndng]),</w:t>
            </w:r>
          </w:p>
          <w:p>
            <w:pPr>
              <w:spacing w:after="0"/>
            </w:pPr>
            <w:r>
              <w:rPr>
                <w:rFonts w:ascii="Consolas" w:cs="Consolas" w:eastAsia="Consolas" w:hAnsi="Consolas"/>
                <w:sz w:val="18"/>
                <w:szCs w:val="18"/>
              </w:rPr>
              <w:t xml:space="preserve">    'public glp long (2)'[Year] = "2023")</w:t>
            </w:r>
          </w:p>
          <w:p>
            <w:pPr>
              <w:spacing w:after="0"/>
            </w:pPr>
            <w:r>
              <w:rPr>
                <w:rFonts w:ascii="Consolas" w:cs="Consolas" w:eastAsia="Consolas" w:hAnsi="Consolas"/>
                <w:sz w:val="18"/>
                <w:szCs w:val="18"/>
              </w:rPr>
              <w:t xml:space="preserve">RETURN</w:t>
            </w:r>
          </w:p>
          <w:p>
            <w:pPr>
              <w:spacing w:after="0"/>
            </w:pPr>
            <w:r>
              <w:rPr>
                <w:rFonts w:ascii="Consolas" w:cs="Consolas" w:eastAsia="Consolas" w:hAnsi="Consolas"/>
                <w:sz w:val="18"/>
                <w:szCs w:val="18"/>
              </w:rPr>
              <w:t xml:space="preserve">IF(Spend2022 = 0 || ISBLANK(Spend2022), BLANK(),</w:t>
            </w:r>
          </w:p>
          <w:p>
            <w:pPr>
              <w:spacing w:after="0"/>
            </w:pPr>
            <w:r>
              <w:rPr>
                <w:rFonts w:ascii="Consolas" w:cs="Consolas" w:eastAsia="Consolas" w:hAnsi="Consolas"/>
                <w:sz w:val="18"/>
                <w:szCs w:val="18"/>
              </w:rPr>
              <w:t xml:space="preserve">   DIVIDE(Spend2023 - Spend2022, Spend2022, BLANK()))</w:t>
            </w:r>
          </w:p>
        </w:tc>
      </w:tr>
    </w:tbl>
    <w:p>
      <w:pPr>
        <w:spacing w:after="160" w:line="300"/>
      </w:pPr>
      <w:r>
        <w:t xml:space="preserve">Mounjaro returned a YoY figure above 1,500% under this measure — not a calculation error, but an accurate reflection of its partial-year 2022 launch (FDA approval: May 2022) against a full 2023 reporting year. Rather than suppress or misrepresent this, Mounjaro was excluded from the standard YoY chart via a visual-level filter and instead surfaced through a dedicated measure and standalone callout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Mounjaro_2023_Spend =</w:t>
            </w:r>
          </w:p>
          <w:p>
            <w:pPr>
              <w:spacing w:after="0"/>
            </w:pPr>
            <w:r>
              <w:rPr>
                <w:rFonts w:ascii="Consolas" w:cs="Consolas" w:eastAsia="Consolas" w:hAnsi="Consolas"/>
                <w:sz w:val="18"/>
                <w:szCs w:val="18"/>
              </w:rPr>
              <w:t xml:space="preserve">CALCULATE(</w:t>
            </w:r>
          </w:p>
          <w:p>
            <w:pPr>
              <w:spacing w:after="0"/>
            </w:pPr>
            <w:r>
              <w:rPr>
                <w:rFonts w:ascii="Consolas" w:cs="Consolas" w:eastAsia="Consolas" w:hAnsi="Consolas"/>
                <w:sz w:val="18"/>
                <w:szCs w:val="18"/>
              </w:rPr>
              <w:t xml:space="preserve">    SUM('public glp long (2)'[Tot_Spndng]),</w:t>
            </w:r>
          </w:p>
          <w:p>
            <w:pPr>
              <w:spacing w:after="0"/>
            </w:pPr>
            <w:r>
              <w:rPr>
                <w:rFonts w:ascii="Consolas" w:cs="Consolas" w:eastAsia="Consolas" w:hAnsi="Consolas"/>
                <w:sz w:val="18"/>
                <w:szCs w:val="18"/>
              </w:rPr>
              <w:t xml:space="preserve">    'public glp long (2)'[Brnd_Name] = "Mounjaro",</w:t>
            </w:r>
          </w:p>
          <w:p>
            <w:pPr>
              <w:spacing w:after="0"/>
            </w:pPr>
            <w:r>
              <w:rPr>
                <w:rFonts w:ascii="Consolas" w:cs="Consolas" w:eastAsia="Consolas" w:hAnsi="Consolas"/>
                <w:sz w:val="18"/>
                <w:szCs w:val="18"/>
              </w:rPr>
              <w:t xml:space="preserve">    'public glp long (2)'[Year] = "2023"</w:t>
            </w:r>
          </w:p>
          <w:p>
            <w:pPr>
              <w:spacing w:after="0"/>
            </w:pPr>
            <w:r>
              <w:rPr>
                <w:rFonts w:ascii="Consolas" w:cs="Consolas" w:eastAsia="Consolas" w:hAnsi="Consolas"/>
                <w:sz w:val="18"/>
                <w:szCs w:val="18"/>
              </w:rPr>
              <w:t xml:space="preserve">)</w:t>
            </w:r>
          </w:p>
        </w:tc>
      </w:tr>
    </w:tbl>
    <w:p>
      <w:pPr>
        <w:spacing w:after="160" w:line="300"/>
      </w:pPr>
      <w:r>
        <w:t xml:space="preserve">This card is paired with a text box reading “New entrant — FDA approved May 2022 / First full year spend: $2.36B / 1,500%+ YoY growth (partial 2022 base)” — an explicit, transparent explanation rather than a hidden distortion in the main chart.</w:t>
      </w:r>
    </w:p>
    <w:p>
      <w:pPr>
        <w:pStyle w:val="Heading2"/>
      </w:pPr>
      <w:r>
        <w:t xml:space="preserve">5.3 Coverage and indication classification</w:t>
      </w:r>
    </w:p>
    <w:p>
      <w:pPr>
        <w:spacing w:after="160" w:line="300"/>
      </w:pPr>
      <w:r>
        <w:t xml:space="preserve">Coverage_Status and Indication are calculated columns (not measures) added directly to public glp, mapping each of the eight drugs to its FDA-approved indication and resulting Medicare Part D coverage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Indication =</w:t>
            </w:r>
          </w:p>
          <w:p>
            <w:pPr>
              <w:spacing w:after="0"/>
            </w:pPr>
            <w:r>
              <w:rPr>
                <w:rFonts w:ascii="Consolas" w:cs="Consolas" w:eastAsia="Consolas" w:hAnsi="Consolas"/>
                <w:sz w:val="18"/>
                <w:szCs w:val="18"/>
              </w:rPr>
              <w:t xml:space="preserve">SWITCH(TRUE(),</w:t>
            </w:r>
          </w:p>
          <w:p>
            <w:pPr>
              <w:spacing w:after="0"/>
            </w:pPr>
            <w:r>
              <w:rPr>
                <w:rFonts w:ascii="Consolas" w:cs="Consolas" w:eastAsia="Consolas" w:hAnsi="Consolas"/>
                <w:sz w:val="18"/>
                <w:szCs w:val="18"/>
              </w:rPr>
              <w:t xml:space="preserve">    'glp'[Brnd_Name] = "Ozempic", "Diabetes",</w:t>
            </w:r>
          </w:p>
          <w:p>
            <w:pPr>
              <w:spacing w:after="0"/>
            </w:pPr>
            <w:r>
              <w:rPr>
                <w:rFonts w:ascii="Consolas" w:cs="Consolas" w:eastAsia="Consolas" w:hAnsi="Consolas"/>
                <w:sz w:val="18"/>
                <w:szCs w:val="18"/>
              </w:rPr>
              <w:t xml:space="preserve">    'glp'[Brnd_Name] = "Trulicity", "Diabetes",</w:t>
            </w:r>
          </w:p>
          <w:p>
            <w:pPr>
              <w:spacing w:after="0"/>
            </w:pPr>
            <w:r>
              <w:rPr>
                <w:rFonts w:ascii="Consolas" w:cs="Consolas" w:eastAsia="Consolas" w:hAnsi="Consolas"/>
                <w:sz w:val="18"/>
                <w:szCs w:val="18"/>
              </w:rPr>
              <w:t xml:space="preserve">    'glp'[Brnd_Name] = "Rybelsus", "Diabetes",</w:t>
            </w:r>
          </w:p>
          <w:p>
            <w:pPr>
              <w:spacing w:after="0"/>
            </w:pPr>
            <w:r>
              <w:rPr>
                <w:rFonts w:ascii="Consolas" w:cs="Consolas" w:eastAsia="Consolas" w:hAnsi="Consolas"/>
                <w:sz w:val="18"/>
                <w:szCs w:val="18"/>
              </w:rPr>
              <w:t xml:space="preserve">    'glp'[Brnd_Name] = "Victoza", "Diabetes",</w:t>
            </w:r>
          </w:p>
          <w:p>
            <w:pPr>
              <w:spacing w:after="0"/>
            </w:pPr>
            <w:r>
              <w:rPr>
                <w:rFonts w:ascii="Consolas" w:cs="Consolas" w:eastAsia="Consolas" w:hAnsi="Consolas"/>
                <w:sz w:val="18"/>
                <w:szCs w:val="18"/>
              </w:rPr>
              <w:t xml:space="preserve">    'glp'[Brnd_Name] = "Mounjaro", "Diabetes + Obesity",</w:t>
            </w:r>
          </w:p>
          <w:p>
            <w:pPr>
              <w:spacing w:after="0"/>
            </w:pPr>
            <w:r>
              <w:rPr>
                <w:rFonts w:ascii="Consolas" w:cs="Consolas" w:eastAsia="Consolas" w:hAnsi="Consolas"/>
                <w:sz w:val="18"/>
                <w:szCs w:val="18"/>
              </w:rPr>
              <w:t xml:space="preserve">    'glp'[Brnd_Name] = "Wegovy", "Obesity",</w:t>
            </w:r>
          </w:p>
          <w:p>
            <w:pPr>
              <w:spacing w:after="0"/>
            </w:pPr>
            <w:r>
              <w:rPr>
                <w:rFonts w:ascii="Consolas" w:cs="Consolas" w:eastAsia="Consolas" w:hAnsi="Consolas"/>
                <w:sz w:val="18"/>
                <w:szCs w:val="18"/>
              </w:rPr>
              <w:t xml:space="preserve">    'glp'[Brnd_Name] = "Zepbound", "Obesity",</w:t>
            </w:r>
          </w:p>
          <w:p>
            <w:pPr>
              <w:spacing w:after="0"/>
            </w:pPr>
            <w:r>
              <w:rPr>
                <w:rFonts w:ascii="Consolas" w:cs="Consolas" w:eastAsia="Consolas" w:hAnsi="Consolas"/>
                <w:sz w:val="18"/>
                <w:szCs w:val="18"/>
              </w:rPr>
              <w:t xml:space="preserve">    'glp'[Brnd_Name] = "Saxenda", "Obesity",</w:t>
            </w:r>
          </w:p>
          <w:p>
            <w:pPr>
              <w:spacing w:after="0"/>
            </w:pPr>
            <w:r>
              <w:rPr>
                <w:rFonts w:ascii="Consolas" w:cs="Consolas" w:eastAsia="Consolas" w:hAnsi="Consolas"/>
                <w:sz w:val="18"/>
                <w:szCs w:val="18"/>
              </w:rPr>
              <w:t xml:space="preserve">    "Unknown"</w:t>
            </w:r>
          </w:p>
          <w:p>
            <w:pPr>
              <w:spacing w:after="0"/>
            </w:pPr>
            <w:r>
              <w:rPr>
                <w:rFonts w:ascii="Consolas" w:cs="Consolas" w:eastAsia="Consolas" w:hAnsi="Consolas"/>
                <w:sz w:val="18"/>
                <w:szCs w:val="18"/>
              </w:rPr>
              <w:t xml:space="preserve">)</w:t>
            </w:r>
          </w:p>
        </w:tc>
      </w:tr>
    </w:tbl>
    <w:p>
      <w:pPr>
        <w:spacing w:after="160" w:line="300"/>
      </w:pPr>
      <w:r>
        <w:t xml:space="preserve">Coverage_Status follows the identical SWITCH(TRUE(), ...) pattern, mapping each drug to Covered, Partial, or Not Covered. These two columns underpin both the Page 2 coverage-status table and the Diabetes_Spend_2023 / Obesity_Spend_2023 KPI measures, which isolate total 2023 spending by indication using CALCULATE() filtered on Indication.</w:t>
      </w:r>
    </w:p>
    <w:p>
      <w:pPr>
        <w:pStyle w:val="Heading2"/>
      </w:pPr>
      <w:r>
        <w:t xml:space="preserve">5.4 Outlier detection</w:t>
      </w:r>
    </w:p>
    <w:p>
      <w:pPr>
        <w:spacing w:after="160" w:line="300"/>
      </w:pPr>
      <w:r>
        <w:t xml:space="preserve">Outlier_Count sums the CMS-provided Outlier_Flag_YYYY columns across all years for the GLP-1 subset, surfacing how many drug-years were statistically flagged by CMS as having unusual average-spend-per-unit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tcPr>
          <w:p>
            <w:pPr>
              <w:spacing w:after="0"/>
            </w:pPr>
            <w:r>
              <w:rPr>
                <w:rFonts w:ascii="Consolas" w:cs="Consolas" w:eastAsia="Consolas" w:hAnsi="Consolas"/>
                <w:sz w:val="18"/>
                <w:szCs w:val="18"/>
              </w:rPr>
              <w:t xml:space="preserve">Outlier_Count =</w:t>
            </w:r>
          </w:p>
          <w:p>
            <w:pPr>
              <w:spacing w:after="0"/>
            </w:pPr>
            <w:r>
              <w:rPr>
                <w:rFonts w:ascii="Consolas" w:cs="Consolas" w:eastAsia="Consolas" w:hAnsi="Consolas"/>
                <w:sz w:val="18"/>
                <w:szCs w:val="18"/>
              </w:rPr>
              <w:t xml:space="preserve">SUMX('glp',</w:t>
            </w:r>
          </w:p>
          <w:p>
            <w:pPr>
              <w:spacing w:after="0"/>
            </w:pPr>
            <w:r>
              <w:rPr>
                <w:rFonts w:ascii="Consolas" w:cs="Consolas" w:eastAsia="Consolas" w:hAnsi="Consolas"/>
                <w:sz w:val="18"/>
                <w:szCs w:val="18"/>
              </w:rPr>
              <w:t xml:space="preserve">    IF('glp'[Outlier_Flag_2019] = 1, 1, 0) +</w:t>
            </w:r>
          </w:p>
          <w:p>
            <w:pPr>
              <w:spacing w:after="0"/>
            </w:pPr>
            <w:r>
              <w:rPr>
                <w:rFonts w:ascii="Consolas" w:cs="Consolas" w:eastAsia="Consolas" w:hAnsi="Consolas"/>
                <w:sz w:val="18"/>
                <w:szCs w:val="18"/>
              </w:rPr>
              <w:t xml:space="preserve">    IF('glp'[Outlier_Flag_2020] = 1, 1, 0) +</w:t>
            </w:r>
          </w:p>
          <w:p>
            <w:pPr>
              <w:spacing w:after="0"/>
            </w:pPr>
            <w:r>
              <w:rPr>
                <w:rFonts w:ascii="Consolas" w:cs="Consolas" w:eastAsia="Consolas" w:hAnsi="Consolas"/>
                <w:sz w:val="18"/>
                <w:szCs w:val="18"/>
              </w:rPr>
              <w:t xml:space="preserve">    IF('glp'[Outlier_Flag_2021] = 1, 1, 0) +</w:t>
            </w:r>
          </w:p>
          <w:p>
            <w:pPr>
              <w:spacing w:after="0"/>
            </w:pPr>
            <w:r>
              <w:rPr>
                <w:rFonts w:ascii="Consolas" w:cs="Consolas" w:eastAsia="Consolas" w:hAnsi="Consolas"/>
                <w:sz w:val="18"/>
                <w:szCs w:val="18"/>
              </w:rPr>
              <w:t xml:space="preserve">    IF('glp'[Outlier_Flag_2022] = 1, 1, 0) +</w:t>
            </w:r>
          </w:p>
          <w:p>
            <w:pPr>
              <w:spacing w:after="0"/>
            </w:pPr>
            <w:r>
              <w:rPr>
                <w:rFonts w:ascii="Consolas" w:cs="Consolas" w:eastAsia="Consolas" w:hAnsi="Consolas"/>
                <w:sz w:val="18"/>
                <w:szCs w:val="18"/>
              </w:rPr>
              <w:t xml:space="preserve">    IF('glp'[Outlier_Flag_2023] = 1, 1, 0)</w:t>
            </w:r>
          </w:p>
          <w:p>
            <w:pPr>
              <w:spacing w:after="0"/>
            </w:pPr>
            <w:r>
              <w:rPr>
                <w:rFonts w:ascii="Consolas" w:cs="Consolas" w:eastAsia="Consolas" w:hAnsi="Consolas"/>
                <w:sz w:val="18"/>
                <w:szCs w:val="18"/>
              </w:rPr>
              <w:t xml:space="preserve">)</w:t>
            </w:r>
          </w:p>
        </w:tc>
      </w:tr>
    </w:tbl>
    <w:p>
      <w:pPr>
        <w:spacing w:after="160" w:line="300"/>
      </w:pPr>
      <w:r>
        <w:t xml:space="preserve">The result, 3 total flags across the entire 2019–2023 window for all eight drugs, was investigated at the per-drug, per-year level via a supporting table visual rather than left as an unexplained number.</w:t>
      </w:r>
    </w:p>
    <w:p>
      <w:r>
        <w:br w:type="page"/>
      </w:r>
    </w:p>
    <w:p>
      <w:pPr>
        <w:pStyle w:val="Heading1"/>
      </w:pPr>
      <w:r>
        <w:t xml:space="preserve">6. Dashboard Walkthrough</w:t>
      </w:r>
    </w:p>
    <w:p>
      <w:pPr>
        <w:spacing w:after="160" w:line="300"/>
      </w:pPr>
      <w:r>
        <w:t xml:space="preserve">The final deliverable is a three-page Power BI report. Each page builds on the last, moving from headline trend to underlying cause to data-quality validation and conclusion.</w:t>
      </w:r>
    </w:p>
    <w:p>
      <w:pPr>
        <w:pStyle w:val="Heading2"/>
      </w:pPr>
      <w:r>
        <w:t xml:space="preserve">6.1 Page 1 — Total Medicare Spending Overview</w:t>
      </w:r>
    </w:p>
    <w:p>
      <w:pPr>
        <w:spacing w:after="160" w:line="300"/>
      </w:pPr>
      <w:r>
        <w:t xml:space="preserve">Header: “GLP-1 Drug Market – Medicare Part D.” This page establishes the scale and shape of the overall trend.</w:t>
      </w:r>
    </w:p>
    <w:p>
      <w:pPr>
        <w:pStyle w:val="ListParagraph"/>
        <w:numPr>
          <w:ilvl w:val="0"/>
          <w:numId w:val="2"/>
        </w:numPr>
        <w:spacing w:after="80" w:line="290"/>
      </w:pPr>
      <w:r>
        <w:t xml:space="preserve">A brand-name slicer lets the viewer filter every visual on the page down to an individual drug.</w:t>
      </w:r>
    </w:p>
    <w:p>
      <w:pPr>
        <w:pStyle w:val="ListParagraph"/>
        <w:numPr>
          <w:ilvl w:val="0"/>
          <w:numId w:val="2"/>
        </w:numPr>
        <w:spacing w:after="80" w:line="290"/>
      </w:pPr>
      <w:r>
        <w:t xml:space="preserve">Four KPI cards: total 2023 beneficiaries, average 2023 spend per beneficiary, the 5-year CAGR measure, and total 2023 spending (sourced from the long table for consistency with the trend charts).</w:t>
      </w:r>
    </w:p>
    <w:p>
      <w:pPr>
        <w:pStyle w:val="ListParagraph"/>
        <w:numPr>
          <w:ilvl w:val="0"/>
          <w:numId w:val="2"/>
        </w:numPr>
        <w:spacing w:after="80" w:line="290"/>
      </w:pPr>
      <w:r>
        <w:t xml:space="preserve">A clustered column chart, “Total Medicare Spending by Drugs,” built from public glp long (2) with Year on the axis, Tot_Spndng summed on the value axis, and Brnd_Name as the legend — the dashboard's primary trend visual.</w:t>
      </w:r>
    </w:p>
    <w:p>
      <w:pPr>
        <w:pStyle w:val="ListParagraph"/>
        <w:numPr>
          <w:ilvl w:val="0"/>
          <w:numId w:val="2"/>
        </w:numPr>
        <w:spacing w:after="80" w:line="290"/>
      </w:pPr>
      <w:r>
        <w:t xml:space="preserve">A donut chart, “Spending Share by Drug (2023),” built from public glp long filtered to Year = 2023, showing each drug's proportional share of total 2023 spend.</w:t>
      </w:r>
    </w:p>
    <w:p>
      <w:pPr>
        <w:pStyle w:val="ListParagraph"/>
        <w:numPr>
          <w:ilvl w:val="0"/>
          <w:numId w:val="2"/>
        </w:numPr>
        <w:spacing w:after="80" w:line="290"/>
      </w:pPr>
      <w:r>
        <w:t xml:space="preserve">A line chart of the YoY Spending Growth measure by Brnd_Name, with Mounjaro excluded via a visual-level filter for the reasons discussed in Section 5.2.</w:t>
      </w:r>
    </w:p>
    <w:p>
      <w:pPr>
        <w:pStyle w:val="ListParagraph"/>
        <w:numPr>
          <w:ilvl w:val="0"/>
          <w:numId w:val="2"/>
        </w:numPr>
        <w:spacing w:after="80" w:line="290"/>
      </w:pPr>
      <w:r>
        <w:t xml:space="preserve">A standalone KPI card for Mounjaro_2023_Spend, paired with a text box explaining its partial-2022-launch distortion — turning a potential charting problem into an explicit, well-labeled insight.</w:t>
      </w:r>
    </w:p>
    <w:p>
      <w:pPr>
        <w:pStyle w:val="Heading2"/>
      </w:pPr>
      <w:r>
        <w:t xml:space="preserve">6.2 Page 2 — Coverage Gap &amp; Cost Burden Analysis</w:t>
      </w:r>
    </w:p>
    <w:p>
      <w:pPr>
        <w:spacing w:after="160" w:line="300"/>
      </w:pPr>
      <w:r>
        <w:t xml:space="preserve">Header: “Coverage Gap &amp; Cost Burden Analysis.” This page shifts from describing the trend to explaining the structural reason behind it.</w:t>
      </w:r>
    </w:p>
    <w:p>
      <w:pPr>
        <w:pStyle w:val="ListParagraph"/>
        <w:numPr>
          <w:ilvl w:val="0"/>
          <w:numId w:val="2"/>
        </w:numPr>
        <w:spacing w:after="80" w:line="290"/>
      </w:pPr>
      <w:r>
        <w:t xml:space="preserve">Five KPI cards: Diabetes_Spend_2023 ($18.22bn, labeled “Ozempic, Trulicity, Rybelsus” in green), Obesity_Spend_2023 ($233.72K, labeled “Wegovy, Saxenda excluded” in red), average cost per claim for Trulicity and for Ozempic, and Ozempic_Price_Growth (25.8%).</w:t>
      </w:r>
    </w:p>
    <w:p>
      <w:pPr>
        <w:pStyle w:val="ListParagraph"/>
        <w:numPr>
          <w:ilvl w:val="0"/>
          <w:numId w:val="2"/>
        </w:numPr>
        <w:spacing w:after="80" w:line="290"/>
      </w:pPr>
      <w:r>
        <w:t xml:space="preserve">A color-coded table built from public glp, listing Brnd_Name, Indication, Coverage_Status, and Avg_Spnd_Per_Clm_2023 — with conditional formatting shading each row green (Covered), amber (Partial), or red (Not Covered).</w:t>
      </w:r>
    </w:p>
    <w:p>
      <w:pPr>
        <w:pStyle w:val="ListParagraph"/>
        <w:numPr>
          <w:ilvl w:val="0"/>
          <w:numId w:val="2"/>
        </w:numPr>
        <w:spacing w:after="80" w:line="290"/>
      </w:pPr>
      <w:r>
        <w:t xml:space="preserve">Two further KPI cards: Beneficiary_Growth_19_23 (471.0%, with the footer “535.7K → 3.06M beneficiaries, 2019–2023”) and Claim_Growth_19_23 (468.70%, with the footer “Driven by new approvals and rising demand, 2019–2023”).</w:t>
      </w:r>
    </w:p>
    <w:p>
      <w:pPr>
        <w:pStyle w:val="ListParagraph"/>
        <w:numPr>
          <w:ilvl w:val="0"/>
          <w:numId w:val="2"/>
        </w:numPr>
        <w:spacing w:after="80" w:line="290"/>
      </w:pPr>
      <w:r>
        <w:t xml:space="preserve">A methodology text box clarifying that coverage status is analyst-derived from FDA indications and Medicare statute, not a field present in the raw CMS data, with full source citations.</w:t>
      </w:r>
    </w:p>
    <w:p>
      <w:pPr>
        <w:pStyle w:val="Heading3"/>
      </w:pPr>
      <w:r>
        <w:t xml:space="preserve">Coverage status methodology (verbatim dashboard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6"/>
              <w:bottom w:val="single" w:color="1F4E79" w:sz="4"/>
              <w:right w:val="single" w:color="1F4E79" w:sz="4"/>
            </w:tcBorders>
            <w:shd w:fill="DCE9F2" w:val="clear"/>
            <w:tcMar>
              <w:top w:type="dxa" w:w="140"/>
              <w:left w:type="dxa" w:w="200"/>
              <w:bottom w:type="dxa" w:w="140"/>
              <w:right w:type="dxa" w:w="200"/>
            </w:tcMar>
          </w:tcPr>
          <w:p>
            <w:pPr>
              <w:spacing w:after="60"/>
            </w:pPr>
            <w:r>
              <w:rPr>
                <w:b/>
                <w:bCs/>
                <w:color w:val="1F4E79"/>
                <w:sz w:val="22"/>
                <w:szCs w:val="22"/>
              </w:rPr>
              <w:t xml:space="preserve">Footnote text used on the dashboard</w:t>
            </w:r>
          </w:p>
          <w:p>
            <w:r>
              <w:rPr>
                <w:sz w:val="21"/>
                <w:szCs w:val="21"/>
              </w:rPr>
              <w:t xml:space="preserve">Coverage status reflects each drug's FDA-approved indication, not a field in the raw CMS data. Covered — Ozempic, Trulicity, Rybelsus, Victoza are approved for Type 2 Diabetes, a covered Part D category. Not Covered — Wegovy, Zepbound, Saxenda are approved only for weight management, which Medicare Part D excludes by law (SSA §1860D-2(e)(2)(A)) — consistent with their near-zero spending in this dataset. Partial — Mounjaro is diabetes-approved but faced formulary/prior-authorization restrictions in 2022–23. Sources: FDA Drugs@FDA, CMS.gov, CMS Medicare Part D Spending by Drug (2019–2023).</w:t>
            </w:r>
          </w:p>
        </w:tc>
      </w:tr>
    </w:tbl>
    <w:p>
      <w:pPr>
        <w:spacing w:after="160"/>
      </w:pPr>
    </w:p>
    <w:p>
      <w:pPr>
        <w:pStyle w:val="Heading2"/>
      </w:pPr>
      <w:r>
        <w:t xml:space="preserve">6.3 Page 3 — Data Quality Check &amp; Key Takeaways</w:t>
      </w:r>
    </w:p>
    <w:p>
      <w:pPr>
        <w:spacing w:after="160" w:line="300"/>
      </w:pPr>
      <w:r>
        <w:t xml:space="preserve">Header: “Data Quality Check &amp; Key Takeaways.” This page closes the analysis by validating the data's integrity and summarizing the overall narrative.</w:t>
      </w:r>
    </w:p>
    <w:p>
      <w:pPr>
        <w:pStyle w:val="ListParagraph"/>
        <w:numPr>
          <w:ilvl w:val="0"/>
          <w:numId w:val="2"/>
        </w:numPr>
        <w:spacing w:after="80" w:line="290"/>
      </w:pPr>
      <w:r>
        <w:t xml:space="preserve">A line chart, “Avg spend per claim trend (diabetes drugs),” built from public clm glp with Year on the axis, Avg_Spnd_Per_Clm summed as the value, and Brnd_Name as the legend — showing Ozempic, Rybelsus, and Trulicity's average cost per prescription climbing in parallel from 2019 to 2023.</w:t>
      </w:r>
    </w:p>
    <w:p>
      <w:pPr>
        <w:pStyle w:val="ListParagraph"/>
        <w:numPr>
          <w:ilvl w:val="0"/>
          <w:numId w:val="2"/>
        </w:numPr>
        <w:spacing w:after="80" w:line="290"/>
      </w:pPr>
      <w:r>
        <w:t xml:space="preserve">An Outlier_Count KPI card displaying 3, paired with a table breakdown of Outlier_Flag_2021 and Outlier_Flag_2023 by Brnd_Name, isolating exactly which drug-years were flagged (Saxenda in 2021; Wegovy twice, in 2023).</w:t>
      </w:r>
    </w:p>
    <w:p>
      <w:pPr>
        <w:pStyle w:val="ListParagraph"/>
        <w:numPr>
          <w:ilvl w:val="0"/>
          <w:numId w:val="2"/>
        </w:numPr>
        <w:spacing w:after="80" w:line="290"/>
      </w:pPr>
      <w:r>
        <w:t xml:space="preserve">An explanatory text box interpreting the outlier result and a closing summary text box restating the project's five key findings.</w:t>
      </w:r>
    </w:p>
    <w:p>
      <w:pPr>
        <w:pStyle w:val="Heading3"/>
      </w:pPr>
      <w:r>
        <w:t xml:space="preserve">Outlier finding (verbatim dashboard footnote)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16"/>
              <w:bottom w:val="single" w:color="1F4E79" w:sz="4"/>
              <w:right w:val="single" w:color="1F4E79" w:sz="4"/>
            </w:tcBorders>
            <w:shd w:fill="DCE9F2" w:val="clear"/>
            <w:tcMar>
              <w:top w:type="dxa" w:w="140"/>
              <w:left w:type="dxa" w:w="200"/>
              <w:bottom w:type="dxa" w:w="140"/>
              <w:right w:type="dxa" w:w="200"/>
            </w:tcMar>
          </w:tcPr>
          <w:p>
            <w:pPr>
              <w:spacing w:after="60"/>
            </w:pPr>
            <w:r>
              <w:rPr>
                <w:b/>
                <w:bCs/>
                <w:color w:val="1F4E79"/>
                <w:sz w:val="22"/>
                <w:szCs w:val="22"/>
              </w:rPr>
              <w:t xml:space="preserve">Footnote text used on the dashboard</w:t>
            </w:r>
          </w:p>
          <w:p>
            <w:r>
              <w:rPr>
                <w:sz w:val="21"/>
                <w:szCs w:val="21"/>
              </w:rPr>
              <w:t xml:space="preserve">3 outlier flags triggered: Saxenda (2021) and Wegovy (2023, 2 flags). Likely driven by sharp average-spend-per-unit shifts as these obesity-indicated drugs had very low Medicare claim volumes — small denominators amplify cost swings. No flags occurred for diabetes-indicated drugs (Ozempic, Trulicity, Rybelsus, Victoza, Mounjaro).</w:t>
            </w:r>
          </w:p>
        </w:tc>
      </w:tr>
    </w:tbl>
    <w:p>
      <w:r>
        <w:br w:type="page"/>
      </w:r>
    </w:p>
    <w:p>
      <w:pPr>
        <w:pStyle w:val="Heading1"/>
      </w:pPr>
      <w:r>
        <w:t xml:space="preserve">7. Key Findings</w:t>
      </w:r>
    </w:p>
    <w:p>
      <w:pPr>
        <w:pStyle w:val="ListParagraph"/>
        <w:numPr>
          <w:ilvl w:val="0"/>
          <w:numId w:val="2"/>
        </w:numPr>
        <w:spacing w:after="80" w:line="290"/>
      </w:pPr>
      <w:r>
        <w:t xml:space="preserve">Medicare Part D spending on GLP-1 drugs rose from approximately $1B in 2019 to over $20B in 2023.</w:t>
      </w:r>
    </w:p>
    <w:p>
      <w:pPr>
        <w:pStyle w:val="ListParagraph"/>
        <w:numPr>
          <w:ilvl w:val="0"/>
          <w:numId w:val="2"/>
        </w:numPr>
        <w:spacing w:after="80" w:line="290"/>
      </w:pPr>
      <w:r>
        <w:t xml:space="preserve">Beneficiaries grew 471%, from 535.7K to 3.06M patients over the same period.</w:t>
      </w:r>
    </w:p>
    <w:p>
      <w:pPr>
        <w:pStyle w:val="ListParagraph"/>
        <w:numPr>
          <w:ilvl w:val="0"/>
          <w:numId w:val="2"/>
        </w:numPr>
        <w:spacing w:after="80" w:line="290"/>
      </w:pPr>
      <w:r>
        <w:t xml:space="preserve">Diabetes-indicated drugs (Ozempic, Trulicity, Rybelsus) account for the vast majority of spend ($18.22bn in 2023 alone) and are fully covered by Medicare Part D.</w:t>
      </w:r>
    </w:p>
    <w:p>
      <w:pPr>
        <w:pStyle w:val="ListParagraph"/>
        <w:numPr>
          <w:ilvl w:val="0"/>
          <w:numId w:val="2"/>
        </w:numPr>
        <w:spacing w:after="80" w:line="290"/>
      </w:pPr>
      <w:r>
        <w:t xml:space="preserve">Obesity-indicated drugs (Wegovy, Zepbound, Saxenda) remain excluded from Part D coverage by statute — 2023 spend on this group was just $233.72K, effectively shifting the cost of obesity treatment directly to patients.</w:t>
      </w:r>
    </w:p>
    <w:p>
      <w:pPr>
        <w:pStyle w:val="ListParagraph"/>
        <w:numPr>
          <w:ilvl w:val="0"/>
          <w:numId w:val="2"/>
        </w:numPr>
        <w:spacing w:after="80" w:line="290"/>
      </w:pPr>
      <w:r>
        <w:t xml:space="preserve">Ozempic's average cost per claim grew 25.8% from 2019 to 2023, showing that price-per-prescription inflation, not only rising patient volume, is a meaningful driver of total spend.</w:t>
      </w:r>
    </w:p>
    <w:p>
      <w:pPr>
        <w:pStyle w:val="ListParagraph"/>
        <w:numPr>
          <w:ilvl w:val="0"/>
          <w:numId w:val="2"/>
        </w:numPr>
        <w:spacing w:after="80" w:line="290"/>
      </w:pPr>
      <w:r>
        <w:t xml:space="preserve">New market entrants (Mounjaro, Zepbound) and pending legislative proposals such as the Treat and Reduce Obesity Act suggest Medicare spending on this drug class will likely continue rising sharply.</w:t>
      </w:r>
    </w:p>
    <w:p>
      <w:pPr>
        <w:pStyle w:val="ListParagraph"/>
        <w:numPr>
          <w:ilvl w:val="0"/>
          <w:numId w:val="2"/>
        </w:numPr>
        <w:spacing w:after="80" w:line="290"/>
      </w:pPr>
      <w:r>
        <w:t xml:space="preserve">CMS's own outlier detection flagged only 3 drug-years across the entire study window, both tied to the lowest-volume obesity-indicated drugs (Saxenda, Wegovy) — reinforcing rather than undermining the coverage-gap narrative.</w:t>
      </w:r>
    </w:p>
    <w:p>
      <w:pPr>
        <w:pStyle w:val="Heading1"/>
      </w:pPr>
      <w:r>
        <w:t xml:space="preserve">8. Methodology Notes &amp; Limitations</w:t>
      </w:r>
    </w:p>
    <w:p>
      <w:pPr>
        <w:pStyle w:val="ListParagraph"/>
        <w:numPr>
          <w:ilvl w:val="0"/>
          <w:numId w:val="2"/>
        </w:numPr>
        <w:spacing w:after="80" w:line="290"/>
      </w:pPr>
      <w:r>
        <w:t xml:space="preserve">Spending figures represent gross drug cost (Medicare + plan + beneficiary payments combined) and exclude manufacturer rebates, which CMS is statutorily prohibited from disclosing publicly.</w:t>
      </w:r>
    </w:p>
    <w:p>
      <w:pPr>
        <w:pStyle w:val="ListParagraph"/>
        <w:numPr>
          <w:ilvl w:val="0"/>
          <w:numId w:val="2"/>
        </w:numPr>
        <w:spacing w:after="80" w:line="290"/>
      </w:pPr>
      <w:r>
        <w:t xml:space="preserve">This dataset reflects Medicare Part D only; it does not capture Medicaid, commercial insurance, or cash-pay spending, all of which are relevant to the full obesity-drug access picture.</w:t>
      </w:r>
    </w:p>
    <w:p>
      <w:pPr>
        <w:pStyle w:val="ListParagraph"/>
        <w:numPr>
          <w:ilvl w:val="0"/>
          <w:numId w:val="2"/>
        </w:numPr>
        <w:spacing w:after="80" w:line="290"/>
      </w:pPr>
      <w:r>
        <w:t xml:space="preserve">Beneficiary and claims figures are suppressed by CMS when fewer than 11 patients are involved, affecting early-year visibility for newly approved drugs such as Zepbound and Mounjaro.</w:t>
      </w:r>
    </w:p>
    <w:p>
      <w:pPr>
        <w:pStyle w:val="ListParagraph"/>
        <w:numPr>
          <w:ilvl w:val="0"/>
          <w:numId w:val="2"/>
        </w:numPr>
        <w:spacing w:after="80" w:line="290"/>
      </w:pPr>
      <w:r>
        <w:t xml:space="preserve">Coverage status (Covered / Partial / Not Covered) and Indication (Diabetes / Obesity / Diabetes + Obesity) are analyst-derived classifications based on FDA-approved indications and Medicare statute, not fields provided directly in the CMS dataset.</w:t>
      </w:r>
    </w:p>
    <w:p>
      <w:pPr>
        <w:pStyle w:val="ListParagraph"/>
        <w:numPr>
          <w:ilvl w:val="0"/>
          <w:numId w:val="2"/>
        </w:numPr>
        <w:spacing w:after="80" w:line="290"/>
      </w:pPr>
      <w:r>
        <w:t xml:space="preserve">Mounjaro's year-over-year spending growth figure is mathematically accurate but reflects a partial 2022 launch year against a full 2023 reporting year; it was deliberately excluded from the standard YoY comparison chart and instead presented as a standalone, clearly labeled finding.</w:t>
      </w:r>
    </w:p>
    <w:p>
      <w:pPr>
        <w:pStyle w:val="ListParagraph"/>
        <w:numPr>
          <w:ilvl w:val="0"/>
          <w:numId w:val="2"/>
        </w:numPr>
        <w:spacing w:after="80" w:line="290"/>
      </w:pPr>
      <w:r>
        <w:t xml:space="preserve">State-level adoption was out of scope for this iteration, since the core Spending by Drug dataset reports national totals only; a future extension could incorporate the Medicare Part D Prescriber dataset for geographic breakdowns.</w:t>
      </w:r>
    </w:p>
    <w:p>
      <w:pPr>
        <w:pStyle w:val="Heading1"/>
      </w:pPr>
      <w:r>
        <w:t xml:space="preserve">9.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Layer</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Tool</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Data sourcing</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CMS Medicare Part D Spending by Drug (data.cms.gov)</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Data cleaning &amp; feature engineering</w:t>
            </w:r>
          </w:p>
        </w:tc>
        <w:tc>
          <w:tcPr>
            <w:tcW w:type="dxa" w:w="6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Python (pandas, NumPy) in Jupyter Notebook</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Exploratory visualization</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Matplotlib</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Data modeling</w:t>
            </w:r>
          </w:p>
        </w:tc>
        <w:tc>
          <w:tcPr>
            <w:tcW w:type="dxa" w:w="6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Power BI (Power Query, M language)</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Calculations &amp; KPIs</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DAX</w:t>
            </w:r>
          </w:p>
        </w:tc>
      </w:tr>
      <w:tr>
        <w:tc>
          <w:tcPr>
            <w:tcW w:type="dxa" w:w="320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Dashboard &amp; visualization</w:t>
            </w:r>
          </w:p>
        </w:tc>
        <w:tc>
          <w:tcPr>
            <w:tcW w:type="dxa" w:w="6160"/>
            <w:tcBorders>
              <w:top w:val="single" w:color="BFBFBF" w:sz="4"/>
              <w:left w:val="single" w:color="BFBFBF" w:sz="4"/>
              <w:bottom w:val="single" w:color="BFBFBF" w:sz="4"/>
              <w:right w:val="single" w:color="BFBFBF" w:sz="4"/>
            </w:tcBorders>
            <w:shd w:fill="F7F9FB" w:val="clear"/>
            <w:tcMar>
              <w:top w:type="dxa" w:w="70"/>
              <w:left w:type="dxa" w:w="120"/>
              <w:bottom w:type="dxa" w:w="70"/>
              <w:right w:type="dxa" w:w="120"/>
            </w:tcMar>
          </w:tcPr>
          <w:p>
            <w:r>
              <w:rPr>
                <w:sz w:val="20"/>
                <w:szCs w:val="20"/>
              </w:rPr>
              <w:t xml:space="preserve">Power BI Desktop (3-page report)</w:t>
            </w:r>
          </w:p>
        </w:tc>
      </w:tr>
      <w:tr>
        <w:tc>
          <w:tcPr>
            <w:tcW w:type="dxa" w:w="320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Documentation</w:t>
            </w:r>
          </w:p>
        </w:tc>
        <w:tc>
          <w:tcPr>
            <w:tcW w:type="dxa" w:w="6160"/>
            <w:tcBorders>
              <w:top w:val="single" w:color="BFBFBF" w:sz="4"/>
              <w:left w:val="single" w:color="BFBFBF" w:sz="4"/>
              <w:bottom w:val="single" w:color="BFBFBF" w:sz="4"/>
              <w:right w:val="single" w:color="BFBFBF" w:sz="4"/>
            </w:tcBorders>
            <w:shd w:fill="FFFFFF" w:val="clear"/>
            <w:tcMar>
              <w:top w:type="dxa" w:w="70"/>
              <w:left w:type="dxa" w:w="120"/>
              <w:bottom w:type="dxa" w:w="70"/>
              <w:right w:type="dxa" w:w="120"/>
            </w:tcMar>
          </w:tcPr>
          <w:p>
            <w:r>
              <w:rPr>
                <w:sz w:val="20"/>
                <w:szCs w:val="20"/>
              </w:rPr>
              <w:t xml:space="preserve">This report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GLP-1 Drug Market Impact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2026-06-17T05:57:14.552Z</dcterms:created>
  <dcterms:modified xsi:type="dcterms:W3CDTF">2026-06-17T05:57:14.552Z</dcterms:modified>
</cp:coreProperties>
</file>

<file path=docProps/custom.xml><?xml version="1.0" encoding="utf-8"?>
<Properties xmlns="http://schemas.openxmlformats.org/officeDocument/2006/custom-properties" xmlns:vt="http://schemas.openxmlformats.org/officeDocument/2006/docPropsVTypes"/>
</file>