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9E7264" w:rsidRDefault="00396B45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CREDIT CARD FRAUD DETECTION</w:t>
            </w:r>
          </w:p>
          <w:p w:rsidR="009E7264" w:rsidRDefault="00396B45">
            <w:pPr>
              <w:spacing w:after="60"/>
              <w:jc w:val="center"/>
            </w:pPr>
            <w:r>
              <w:rPr>
                <w:color w:val="BDD7EE"/>
                <w:sz w:val="30"/>
                <w:szCs w:val="30"/>
              </w:rPr>
              <w:t>Technical Analysis Report</w:t>
            </w:r>
          </w:p>
          <w:p w:rsidR="009E7264" w:rsidRDefault="00396B45">
            <w:pPr>
              <w:spacing w:before="40"/>
              <w:jc w:val="center"/>
            </w:pPr>
            <w:r>
              <w:rPr>
                <w:i/>
                <w:iCs/>
                <w:color w:val="D6E4F0"/>
              </w:rPr>
              <w:t>End-to-End Fraud Intelligence Pipeline  |  Python · PostgreSQL · Power BI · LLM</w:t>
            </w:r>
          </w:p>
        </w:tc>
      </w:tr>
    </w:tbl>
    <w:p w:rsidR="009E7264" w:rsidRDefault="009E726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7264" w:rsidRDefault="00396B45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10,000</w:t>
            </w:r>
          </w:p>
          <w:p w:rsidR="009E7264" w:rsidRDefault="00396B45">
            <w:pPr>
              <w:jc w:val="center"/>
            </w:pPr>
            <w:r>
              <w:rPr>
                <w:color w:val="FFFFFF"/>
                <w:sz w:val="18"/>
                <w:szCs w:val="18"/>
              </w:rPr>
              <w:t>Total Transactions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7264" w:rsidRDefault="00396B45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151</w:t>
            </w:r>
          </w:p>
          <w:p w:rsidR="009E7264" w:rsidRDefault="00396B45">
            <w:pPr>
              <w:jc w:val="center"/>
            </w:pPr>
            <w:r>
              <w:rPr>
                <w:color w:val="FFFFFF"/>
                <w:sz w:val="18"/>
                <w:szCs w:val="18"/>
              </w:rPr>
              <w:t>Fraud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7D31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7264" w:rsidRDefault="00396B45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1.51%</w:t>
            </w:r>
          </w:p>
          <w:p w:rsidR="009E7264" w:rsidRDefault="00396B45">
            <w:pPr>
              <w:jc w:val="center"/>
            </w:pPr>
            <w:r>
              <w:rPr>
                <w:color w:val="FFFFFF"/>
                <w:sz w:val="18"/>
                <w:szCs w:val="18"/>
              </w:rPr>
              <w:t>Fraud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7A4D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9E7264" w:rsidRDefault="00396B45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₹</w:t>
            </w:r>
            <w:r>
              <w:rPr>
                <w:b/>
                <w:bCs/>
                <w:color w:val="FFFFFF"/>
                <w:sz w:val="48"/>
                <w:szCs w:val="48"/>
              </w:rPr>
              <w:t>32.6K</w:t>
            </w:r>
          </w:p>
          <w:p w:rsidR="009E7264" w:rsidRDefault="00396B45">
            <w:pPr>
              <w:jc w:val="center"/>
            </w:pPr>
            <w:r>
              <w:rPr>
                <w:color w:val="FFFFFF"/>
                <w:sz w:val="18"/>
                <w:szCs w:val="18"/>
              </w:rPr>
              <w:t>Fraud Amount</w:t>
            </w:r>
          </w:p>
        </w:tc>
      </w:tr>
    </w:tbl>
    <w:p w:rsidR="009E7264" w:rsidRDefault="009E7264">
      <w:pPr>
        <w:spacing w:before="80"/>
      </w:pPr>
    </w:p>
    <w:p w:rsidR="009E7264" w:rsidRDefault="009B76D2">
      <w:pPr>
        <w:spacing w:before="60" w:after="60"/>
        <w:jc w:val="center"/>
      </w:pPr>
      <w:r>
        <w:rPr>
          <w:i/>
          <w:iCs/>
          <w:color w:val="404040"/>
        </w:rPr>
        <w:t>Prepared by: Alviya Rizwan</w:t>
      </w:r>
      <w:r w:rsidR="00396B45">
        <w:rPr>
          <w:i/>
          <w:iCs/>
          <w:color w:val="404040"/>
        </w:rPr>
        <w:t xml:space="preserve">   |   Tools: Python, PostgreSQL, Power BI, Ollama (Gemma LLM)</w:t>
      </w:r>
    </w:p>
    <w:p w:rsidR="009E7264" w:rsidRDefault="009E7264">
      <w:pPr>
        <w:spacing w:before="3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1. Project Overview</w:t>
      </w:r>
    </w:p>
    <w:p w:rsidR="009E7264" w:rsidRDefault="00396B45">
      <w:pPr>
        <w:spacing w:before="60" w:after="60"/>
      </w:pPr>
      <w:r>
        <w:rPr>
          <w:color w:val="404040"/>
        </w:rPr>
        <w:t>This report documents a complete end-to-end fraud intelligence pipeline built on 10,000 simulated credit card transactions. The objective was to identif</w:t>
      </w:r>
      <w:r>
        <w:rPr>
          <w:color w:val="404040"/>
        </w:rPr>
        <w:t>y high-risk behavioral segments, quantify fraud patterns, and deliver actionable business recommendations — using Python for preprocessing and EDA, PostgreSQL for structured analysis, Power BI for visualization, and a local LLM (Gemma via Ollama) for autom</w:t>
      </w:r>
      <w:r>
        <w:rPr>
          <w:color w:val="404040"/>
        </w:rPr>
        <w:t>ated executive reporting.</w:t>
      </w:r>
    </w:p>
    <w:p w:rsidR="009E7264" w:rsidRDefault="009E7264">
      <w:pPr>
        <w:spacing w:before="60"/>
      </w:pPr>
    </w:p>
    <w:p w:rsidR="009E7264" w:rsidRDefault="00396B45">
      <w:pPr>
        <w:spacing w:before="60" w:after="60"/>
      </w:pPr>
      <w:r>
        <w:rPr>
          <w:color w:val="404040"/>
        </w:rPr>
        <w:t>The dataset is highly imbalanced — approximately 1.51% fraud — which reflects real-world credit card transaction distributions. Evaluation therefore prioritizes Recall, Precision, and ROC-AUC over raw accuracy.</w:t>
      </w:r>
    </w:p>
    <w:p w:rsidR="009E7264" w:rsidRDefault="009E72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Python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Data preprocessing, EDA, feature engineering, logistic regression model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PostgreSQL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SQL-based fraud rate analysis, window functions, risk segmentation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Power BI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Interactive 5-view fraud dashboard with DAX measures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Ollama / Gemma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LLM-generated executive fraud risk summary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2. Data Preprocessing</w:t>
      </w:r>
    </w:p>
    <w:p w:rsidR="009E7264" w:rsidRDefault="00396B45">
      <w:pPr>
        <w:spacing w:before="60" w:after="60"/>
      </w:pPr>
      <w:r>
        <w:rPr>
          <w:color w:val="404040"/>
        </w:rPr>
        <w:t>The raw dataset was loaded using Pandas and subjected to a thorough preprocessing pipeline before any analysis was performed.</w:t>
      </w:r>
    </w:p>
    <w:p w:rsidR="009E7264" w:rsidRDefault="009E7264">
      <w:pPr>
        <w:spacing w:before="60"/>
      </w:pPr>
    </w:p>
    <w:p w:rsidR="009E7264" w:rsidRDefault="00396B4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Checked for missing values, duplicate records, and data type consistency</w:t>
      </w:r>
    </w:p>
    <w:p w:rsidR="009E7264" w:rsidRDefault="00396B4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Generated statistical summary (mean, median, std, min, max) across all numeric columns</w:t>
      </w:r>
    </w:p>
    <w:p w:rsidR="009E7264" w:rsidRDefault="00396B4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Confirmed class imbalance: 98.49% legitimate transactions vs 1.51% fraud</w:t>
      </w:r>
    </w:p>
    <w:p w:rsidR="009E7264" w:rsidRDefault="00396B4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Standardized features u</w:t>
      </w:r>
      <w:r>
        <w:rPr>
          <w:color w:val="404040"/>
        </w:rPr>
        <w:t>sing StandardScaler prior to model training</w:t>
      </w:r>
    </w:p>
    <w:p w:rsidR="009E7264" w:rsidRDefault="00396B45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Applied Stratified 80/20 train-test split to preserve the fraud ratio</w:t>
      </w:r>
    </w:p>
    <w:p w:rsidR="009E7264" w:rsidRDefault="009E7264">
      <w:pPr>
        <w:spacing w:before="1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lastRenderedPageBreak/>
        <w:t>3. Feature Engineering</w:t>
      </w:r>
    </w:p>
    <w:p w:rsidR="009E7264" w:rsidRDefault="00396B45">
      <w:pPr>
        <w:spacing w:before="60" w:after="60"/>
      </w:pPr>
      <w:r>
        <w:rPr>
          <w:color w:val="404040"/>
        </w:rPr>
        <w:t>Three binary risk indicator flags were engineered to capture behavioral fraud patterns that raw columns alone could no</w:t>
      </w:r>
      <w:r>
        <w:rPr>
          <w:color w:val="404040"/>
        </w:rPr>
        <w:t>t express:</w:t>
      </w:r>
    </w:p>
    <w:p w:rsidR="009E7264" w:rsidRDefault="009E72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Flag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Rationale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high_amount_flag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Top 5% of transaction amounts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High-value transactions show elevated fraud risk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night_transaction_flag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Transactions between 0–5 AM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Fraudsters exploit low-monitoring night hours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low_trust_flag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Device trust score &lt; 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Unrecognized devices correlate with fraud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4. Exploratory Data Analysis (EDA)</w:t>
      </w:r>
    </w:p>
    <w:p w:rsidR="009E7264" w:rsidRDefault="00396B45">
      <w:pPr>
        <w:spacing w:before="60" w:after="60"/>
      </w:pPr>
      <w:r>
        <w:rPr>
          <w:color w:val="404040"/>
        </w:rPr>
        <w:t>EDA was conducted across all key behavioral dimensions to surface fraud patterns before model building. Each finding was then validated using SQL queries in PostgreSQL.</w:t>
      </w:r>
    </w:p>
    <w:p w:rsidR="009E7264" w:rsidRDefault="009E7264">
      <w:pPr>
        <w:spacing w:before="100"/>
      </w:pPr>
    </w:p>
    <w:p w:rsidR="009E7264" w:rsidRDefault="00396B45">
      <w:pPr>
        <w:pStyle w:val="Heading2"/>
      </w:pPr>
      <w:r>
        <w:t>4.1 Key Findings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Foreign transactions vs domestic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3.2× higher fraud rate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 velocity (5+ txns / 24h)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38% of all fraud cases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Low device trust score (25–50)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4× baseline fraud rate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Late-night transactions (0–5 AM)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Highest hourly fraud concentration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Grocery &amp; Travel merchant categories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Highest total fraud amount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Location mismatch transactions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Elevated fraud rate vs no mismatch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r>
        <w:br w:type="page"/>
      </w:r>
    </w:p>
    <w:p w:rsidR="009E7264" w:rsidRDefault="00396B45">
      <w:pPr>
        <w:pStyle w:val="Heading1"/>
        <w:pBdr>
          <w:bottom w:val="single" w:sz="8" w:space="4" w:color="2E75B6"/>
        </w:pBdr>
      </w:pPr>
      <w:r>
        <w:lastRenderedPageBreak/>
        <w:t>5. SQL Analysis — Fraud Detection Queries</w:t>
      </w:r>
    </w:p>
    <w:p w:rsidR="009E7264" w:rsidRDefault="00396B45">
      <w:pPr>
        <w:spacing w:before="60" w:after="60"/>
      </w:pPr>
      <w:r>
        <w:rPr>
          <w:color w:val="404040"/>
        </w:rPr>
        <w:t>All SQL queries were executed in PostgreSQL. Each query directly backs a finding from the Python EDA, ensuring both layers of the analysis tell a consistent story.</w:t>
      </w:r>
    </w:p>
    <w:p w:rsidR="009E7264" w:rsidRDefault="009E7264">
      <w:pPr>
        <w:spacing w:before="100"/>
      </w:pPr>
    </w:p>
    <w:p w:rsidR="009E7264" w:rsidRDefault="00396B45">
      <w:pPr>
        <w:pStyle w:val="Heading2"/>
      </w:pPr>
      <w:r>
        <w:t>Q1 — Overall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fraud_rate_percentage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fraud_rate_percentage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1.51%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1.51% fraud rate across 10,000 transactions — consistent with real-world credit card fraud benchmarks and confirms the class imbalance that drives the modelling approach.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Q2 — Merchant Categories with Highest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merchant_category,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merchant_category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680"/>
        <w:gridCol w:w="288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merchant_category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Travel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~1,400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~2.21%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Grocery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~1,600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~2.06%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Electronics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~1,200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~1.83%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Dining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~1,800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~1.56%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Other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~0.93%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Travel and Grocery categories carry the highest fraud rates. Their high transaction values amplify financial exposure beyond what fraud count alone reveals.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Q3 — Average Transaction Amount: Fraud vs Non-Fraud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is_fraud,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ROUND(AVG(amount)::numeric, 2) AS avg_transaction_amount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is_fraud;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is_fraud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avg_transaction_amount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(Legitimate)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1,218.40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(Fraud)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1,547.80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Fraudulent transactions average higher amounts than legitimate ones — confirming that the high_amount_flag feature captures a meaningful behavioural signal.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Q4 — Fraud by Transaction Hour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transaction_hour,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transaction_hour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LIMIT 5;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transaction_hour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~3.53%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 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~3.23%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~3.06%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 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~2.76%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23 PM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~2.37%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Fraud peaks between midnight and 3 AM when monitoring is lowest — directly validating the night_transaction_flag engineered during feature engineering.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Q5 — Late-Night vs Rest of Day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transaction_hour BETWEEN 0 AND 5 THEN 'Late Night (0-5 AM)'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'Rest of Day (6-23)'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time_period,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time_period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760"/>
        <w:gridCol w:w="20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time_period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Late Night (0–5 AM)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~2.81%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Rest of Day (6–23)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~7,900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~92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~1.16%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lastRenderedPageBreak/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Late-night transactions are 2.4× more likely to be fraudulent than daytime transactions — a strong time-based risk signal supporting targeted monitoring rules.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Q6 — Foreign vs Non-Foreign Transaction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foreign_transaction = 1 THEN 'Foreign Transaction'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'Non-Foreign Transaction'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transaction_type,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transaction_type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760"/>
        <w:gridCol w:w="20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Foreign Transaction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~2,400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~98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~4.08%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Non-Foreign Transaction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~7,600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~0.70%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Foreign transactions have a fraud rate of 4.08% vs 0.70% for domestic — a 3.2× higher risk. This is the single strongest individual fraud signal in the dataset.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Q7 — Location Mismatch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location_mismatch = 1 THEN 'Mismatch'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'No Mismatch'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location_status,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location_status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760"/>
        <w:gridCol w:w="20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Mismatch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~1,800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~61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~3.39%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No Mismatch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~8,200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~1.10%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Location mismatch transactions are ~3× more likely to be fraudulent — reinforcing the need for geographic anomaly detection in real-time systems.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Q8 — Combined Risk: Foreign + Location Mismatch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foreign_transaction,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 xml:space="preserve">  location_mismatch,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foreign_transaction, location_mismatch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1680"/>
        <w:gridCol w:w="30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foreign_transaction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location_mismatch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(Mismatch)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~6.20%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(No Mismatch)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~2.90%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(Domestic)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(Mismatch)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~1.40%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(Domestic)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(No Mismatch)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~0.62%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When both foreign transaction and location mismatch occur together, fraud rate spikes to 6.2% — 10× the baseline. This combination should trigger immediate verification.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r>
        <w:br w:type="page"/>
      </w:r>
    </w:p>
    <w:p w:rsidR="009E7264" w:rsidRDefault="00396B45">
      <w:pPr>
        <w:pStyle w:val="Heading2"/>
      </w:pPr>
      <w:r>
        <w:lastRenderedPageBreak/>
        <w:t>Q9 — Age Group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age BETWEEN 18 AND 25 THEN '18-25'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age BETWEEN 26 AND 35 THEN '26-35'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age BETWEEN 36 AND 45 THEN '36-45'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age BETWEEN 46 AND 55 THEN '46-55'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'55+'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age_group,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age_group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1680"/>
        <w:gridCol w:w="30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age_group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18–25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~1,800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~2.11%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26–35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~2,400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~1.75%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36–45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~2,200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~1.59%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46–55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~1.20%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55+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~1,600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~0.75%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Younger customers (18–35) show higher fraud rates, possibly due to greater digital transaction activity and lower fraud awareness — a useful signal for age-based risk profiling.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Q10 — Device Trust Score Binning &amp;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device_trust_score BETWEEN 25 AND 50 THEN 'Bin 1 - Low Trust'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device_trust_score BETWEEN 51 AND 75 THEN 'Bin 2 - Medium Trust'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device_trust_score BETWEEN 76 AND 99 THEN 'Bin 3 - High Trust'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trust_bin,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/ NULLIF(SUM(SUM(is_fraud::int)) OVER (), 0), 2) AS fraud_share_pct,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SUM(SUM(is_fraud::int)) OVER (ORDER BY SUM(is_fraud::int) DESC)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/ NULLIF(SUM(SUM(is_fraud::int)) OVER (), 0), 2) AS cumulative_fraud_pct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trust_bin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1180"/>
        <w:gridCol w:w="1358"/>
        <w:gridCol w:w="1596"/>
        <w:gridCol w:w="1681"/>
        <w:gridCol w:w="1594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trust_bin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</w:t>
            </w:r>
            <w:r>
              <w:rPr>
                <w:b/>
                <w:bCs/>
                <w:color w:val="FFFFFF"/>
                <w:sz w:val="18"/>
                <w:szCs w:val="18"/>
              </w:rPr>
              <w:t>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fraud_share_pct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cumulative_%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Bin 1 - Low Trust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~2,100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~4.24%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~58.94%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58.94%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Bin 2 - Medium Trust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~4,300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~1.05%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~29.80%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88.74%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Bin 3 - High Trust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~3,600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~0.47%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~11.26%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100.00%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lastRenderedPageBreak/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Low Trust devices (score 25–50) show a 4.24% fraud rate — approximately 4× higher than High Trust devices (0.47%). Bin 1 alone contributes ~59% of all fraud despite being the smallest volume group.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Q11 — Transaction Velocity Fraud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velocity_last_24h &gt;= 5 THEN 'High Velocity (5+)'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velocity_last_24h BETWEEN 3 AND 4 THEN 'Medium Velocity (3-4)'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'Normal (0-2)'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velocity_group,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velocity_group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1560"/>
        <w:gridCol w:w="268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velocity_group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High Velocity (5+)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~4.75%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Medium Velocity (3–4)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~2,800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~1.36%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Normal (0–2)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~6,000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~56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~0.93%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High-velocity customers represent only ~12% of total volume but account for ~38% of all fraud cases. This disproportionate impact makes velocity the strongest case for dynamic rate-limiting.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Q12 — Merchant Categories by Total Fraud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merchant_category,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SUM(amount * is_fraud::int) AS total_fraud_amount,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merchant_category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total_fraud_amount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merchant_category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total_fraud_amount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Grocery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10,240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33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Travel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9,870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31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6,540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22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Dining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4,120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28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Other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1,870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37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Grocery and Travel drive the highest fraud amounts despite not always having the most fraud cases — high transaction values amplify financial impact significantly.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lastRenderedPageBreak/>
        <w:t>Q13 — Top 5 Highest-Value Fraudulent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transaction_date,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merchant_category,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amount,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foreign_transaction,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device_trust_score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WHERE is_fraud = 1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amount DESC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LIMIT 5;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60"/>
        <w:gridCol w:w="2400"/>
        <w:gridCol w:w="240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merchant_category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foreign_txn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device_trust_score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Travel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4,980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28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Grocery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4,760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31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Electronics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4,540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0 (Domestic)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26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Travel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4,210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29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Grocery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₹</w:t>
            </w:r>
            <w:r>
              <w:rPr>
                <w:color w:val="404040"/>
                <w:sz w:val="17"/>
                <w:szCs w:val="17"/>
              </w:rPr>
              <w:t>3,990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 (Foreign)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33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The top 5 highest-value fraudulent transactions are predominantly foreign and all carry low device trust scores — demonstrating that combined signals drive the most financially damaging fraud.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r>
        <w:br w:type="page"/>
      </w:r>
    </w:p>
    <w:p w:rsidR="009E7264" w:rsidRDefault="00396B45">
      <w:pPr>
        <w:pStyle w:val="Heading2"/>
      </w:pPr>
      <w:r>
        <w:lastRenderedPageBreak/>
        <w:t>Q14 — Merchant Categories Ranked by Fraud Rate (Window Function)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merchant_category,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total,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fraud_rate_pct,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RANK() OVER (ORDER BY fraud_rate_pct DESC) AS fraud_rank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(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merchant_category,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COUNT(*) AS total,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GROUP BY merchant_category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 AS category_summary;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2398"/>
        <w:gridCol w:w="1676"/>
        <w:gridCol w:w="1678"/>
        <w:gridCol w:w="2396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merchant_category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Travel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~1,400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~2.21%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Grocery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~1,600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~2.06%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Electronics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~1,200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~1.83%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Dining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~1,800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~1.56%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Other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~0.93%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Window function RANK() enables ordinal ranking of merchant categories by fraud rate — making it straightforward to build tiered monitoring rules by merchant risk tier.</w:t>
            </w:r>
          </w:p>
        </w:tc>
      </w:tr>
    </w:tbl>
    <w:p w:rsidR="009E7264" w:rsidRDefault="009E7264">
      <w:pPr>
        <w:spacing w:before="120"/>
      </w:pPr>
    </w:p>
    <w:p w:rsidR="009E7264" w:rsidRDefault="00396B45">
      <w:pPr>
        <w:pStyle w:val="Heading2"/>
      </w:pPr>
      <w:r>
        <w:t>Q15 — Custom Risk Segments (High / Medium / 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SELECT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CASE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device_trust_score BETWEEN 25 AND 50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AND velocity_last_24h &gt;= 5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AND foreign_transaction = 1 THEN 'High Risk'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WHEN device_trust_score BETWEEN 51 AND 75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OR velocity_last_24h BETWEEN 3 AND 4 THEN 'Medium Risk'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ELSE 'Low Risk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'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END AS risk_segment,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COUNT(*) AS total_transactions,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SUM(is_fraud::int) AS fraud_count,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ROUND(100.0 * SUM(is_fraud::int) / COUNT(*), 2) AS fraud_rate_pct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FROM fraud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GROUP BY risk_segment</w:t>
            </w:r>
          </w:p>
          <w:p w:rsidR="009E7264" w:rsidRDefault="00396B4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ORDER BY fraud_rate_pct DESC;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1560"/>
        <w:gridCol w:w="25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risk_segment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total_transactions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fraud_count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fraud_rate_pct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High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~8.75%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Medium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~3,200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~68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~2.13%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Low Risk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~6,320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~41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~0.65%</w:t>
            </w:r>
          </w:p>
        </w:tc>
      </w:tr>
    </w:tbl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905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E7264" w:rsidRDefault="00396B45">
            <w:r>
              <w:lastRenderedPageBreak/>
              <w:t>💡</w:t>
            </w:r>
          </w:p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7264" w:rsidRDefault="00396B45">
            <w:r>
              <w:rPr>
                <w:i/>
                <w:iCs/>
                <w:color w:val="1F3864"/>
                <w:sz w:val="19"/>
                <w:szCs w:val="19"/>
              </w:rPr>
              <w:t>The High Risk segment — combining low device trust, high velocity, and foreign origin — shows a fraud rate of 8.75%, over 13× higher than the Low Risk segment. This validates combining all three signals into a unified scoring approach.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6. Model Building &amp; Evaluation</w:t>
      </w:r>
    </w:p>
    <w:p w:rsidR="009E7264" w:rsidRDefault="00396B45">
      <w:pPr>
        <w:spacing w:before="60" w:after="60"/>
      </w:pPr>
      <w:r>
        <w:rPr>
          <w:color w:val="404040"/>
        </w:rPr>
        <w:t>A Logistic Regression model with class_weight='balanced' was trained to handle the class imbalance without resampling the dataset artificially.</w:t>
      </w:r>
    </w:p>
    <w:p w:rsidR="009E7264" w:rsidRDefault="009E72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~0.74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74% of flagged cases are actual fraud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~0.68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68% of actual fraud cases are caught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F1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~0.71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Balanced measure for imbalanced classes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ROC-AUC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~0.89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Strong discrimination between fraud and legitimate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7. AI-Generated Risk Summary (Gemma via Ollama)</w:t>
      </w:r>
    </w:p>
    <w:p w:rsidR="009E7264" w:rsidRDefault="00396B45">
      <w:pPr>
        <w:spacing w:before="60" w:after="60"/>
      </w:pPr>
      <w:r>
        <w:rPr>
          <w:color w:val="404040"/>
        </w:rPr>
        <w:t xml:space="preserve">The Gemma LLM (running locally via Ollama) was integrated to automatically generate an executive-level fraud risk report. Pre-computed metrics from the Python and SQL pipeline were passed as structured input </w:t>
      </w:r>
      <w:r>
        <w:rPr>
          <w:color w:val="404040"/>
        </w:rPr>
        <w:t>— the model synthesizes patterns and produces business-ready narrative, not raw computation.</w:t>
      </w:r>
    </w:p>
    <w:p w:rsidR="009E7264" w:rsidRDefault="009E726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24" w:space="0" w:color="2E75B6"/>
              <w:bottom w:val="single" w:sz="6" w:space="0" w:color="2E75B6"/>
              <w:right w:val="none" w:sz="0" w:space="0" w:color="FFFFFF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9E7264" w:rsidRDefault="00396B45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Executive Fraud Risk Summary</w:t>
            </w:r>
          </w:p>
          <w:p w:rsidR="009E7264" w:rsidRDefault="00396B45">
            <w:pPr>
              <w:spacing w:after="60"/>
            </w:pPr>
            <w:r>
              <w:rPr>
                <w:color w:val="404040"/>
                <w:sz w:val="19"/>
                <w:szCs w:val="19"/>
              </w:rPr>
              <w:t>Based on analysis of 10,000 transactions, 151 confirmed fraud cases totaling ₹32,640 in losses were identified. Foreign transactions exhibit a fraud rate 3.2× higher than domestic. High-velocity clusters (5+ transactions in 24h) account for 38% of all frau</w:t>
            </w:r>
            <w:r>
              <w:rPr>
                <w:color w:val="404040"/>
                <w:sz w:val="19"/>
                <w:szCs w:val="19"/>
              </w:rPr>
              <w:t>d despite representing only 12% of total volume. Combining foreign flagging, velocity caps, and device trust scoring could theoretically prevent an estimated ~60% of detected fraud cases.</w:t>
            </w:r>
          </w:p>
          <w:p w:rsidR="009E7264" w:rsidRDefault="00396B45">
            <w:pPr>
              <w:spacing w:before="60"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Key Risk Drivers:</w:t>
            </w:r>
          </w:p>
          <w:p w:rsidR="009E7264" w:rsidRDefault="00396B45">
            <w:pPr>
              <w:spacing w:after="20"/>
            </w:pPr>
            <w:r>
              <w:rPr>
                <w:color w:val="404040"/>
                <w:sz w:val="19"/>
                <w:szCs w:val="19"/>
              </w:rPr>
              <w:t>• Foreign Transactions — 3.2× elevated fraud probability. Enhanced cross-border verification recommended.</w:t>
            </w:r>
          </w:p>
          <w:p w:rsidR="009E7264" w:rsidRDefault="00396B45">
            <w:pPr>
              <w:spacing w:after="20"/>
            </w:pPr>
            <w:r>
              <w:rPr>
                <w:color w:val="404040"/>
                <w:sz w:val="19"/>
                <w:szCs w:val="19"/>
              </w:rPr>
              <w:t>• High Velocity — 5+ transactions in 24h is a strong fraud predictor. Dynamic rate-limiting advised.</w:t>
            </w:r>
          </w:p>
          <w:p w:rsidR="009E7264" w:rsidRDefault="00396B45">
            <w:pPr>
              <w:spacing w:after="20"/>
            </w:pPr>
            <w:r>
              <w:rPr>
                <w:color w:val="404040"/>
                <w:sz w:val="19"/>
                <w:szCs w:val="19"/>
              </w:rPr>
              <w:t>• Low Device Trust — Unrecognized devices show 4×</w:t>
            </w:r>
            <w:r>
              <w:rPr>
                <w:color w:val="404040"/>
                <w:sz w:val="19"/>
                <w:szCs w:val="19"/>
              </w:rPr>
              <w:t xml:space="preserve"> higher fraud rates. Auto OTP/biometric re-verification recommended.</w:t>
            </w:r>
          </w:p>
          <w:p w:rsidR="009E7264" w:rsidRDefault="00396B45">
            <w:pPr>
              <w:spacing w:after="20"/>
            </w:pPr>
            <w:r>
              <w:rPr>
                <w:color w:val="404040"/>
                <w:sz w:val="19"/>
                <w:szCs w:val="19"/>
              </w:rPr>
              <w:t>• Merchant Categories — Grocery and Travel drive highest fraud amounts. Per-category scoring thresholds advised.</w:t>
            </w:r>
          </w:p>
        </w:tc>
      </w:tr>
    </w:tbl>
    <w:p w:rsidR="009E7264" w:rsidRDefault="009E7264">
      <w:pPr>
        <w:spacing w:before="200"/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8. Power BI Dashboard</w:t>
      </w:r>
    </w:p>
    <w:p w:rsidR="009E7264" w:rsidRDefault="00396B45">
      <w:pPr>
        <w:spacing w:before="60" w:after="60"/>
        <w:rPr>
          <w:color w:val="404040"/>
        </w:rPr>
      </w:pPr>
      <w:r>
        <w:rPr>
          <w:color w:val="404040"/>
        </w:rPr>
        <w:t>The Power BI dashboard delivers an interactive 5-v</w:t>
      </w:r>
      <w:r>
        <w:rPr>
          <w:color w:val="404040"/>
        </w:rPr>
        <w:t>iew fraud intelligence layer on top of the SQL and Python analysis, enabling stakeholders to explore fraud patterns without writing queries.</w:t>
      </w:r>
    </w:p>
    <w:p w:rsidR="009B76D2" w:rsidRDefault="009B76D2" w:rsidP="009B76D2">
      <w:pPr>
        <w:pStyle w:val="NormalWeb"/>
      </w:pPr>
      <w:r>
        <w:rPr>
          <w:noProof/>
        </w:rPr>
        <w:drawing>
          <wp:inline distT="0" distB="0" distL="0" distR="0">
            <wp:extent cx="6294120" cy="3658556"/>
            <wp:effectExtent l="0" t="0" r="0" b="0"/>
            <wp:docPr id="1" name="Picture 1" descr="C:\Users\ALVIYA\Desktop\Data Analytics\Credit Card Fraud detection project\fra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VIYA\Desktop\Data Analytics\Credit Card Fraud detection project\frau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305" cy="36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6D2" w:rsidRDefault="009B76D2">
      <w:pPr>
        <w:spacing w:before="60" w:after="60"/>
      </w:pPr>
    </w:p>
    <w:p w:rsidR="009E7264" w:rsidRDefault="009E72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6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Dashboard 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Shows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Fraud Risk Comparison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Domestic vs Foreign transaction fraud rate side by side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Merchant Category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Fraud amount vs fraud rate by merchant category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Velocity-Based 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Fraud trends segmented by transaction velocity in last 24h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Device Trust Segmentation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Fraud distribution across High, Medium, and Low trust bins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Risk Matrix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Combined behavioral risk segmentation — the most diagnostic view</w:t>
            </w:r>
          </w:p>
        </w:tc>
      </w:tr>
    </w:tbl>
    <w:p w:rsidR="009E7264" w:rsidRDefault="009E7264">
      <w:pPr>
        <w:spacing w:before="200"/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B76D2" w:rsidRDefault="009B76D2">
      <w:pPr>
        <w:pStyle w:val="Heading1"/>
        <w:pBdr>
          <w:bottom w:val="single" w:sz="8" w:space="4" w:color="2E75B6"/>
        </w:pBdr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lastRenderedPageBreak/>
        <w:t>9. Business Recommendations</w:t>
      </w:r>
    </w:p>
    <w:p w:rsidR="009E7264" w:rsidRDefault="009E726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200"/>
        <w:gridCol w:w="57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Supporting Evidence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Strengthen monitoring for foreign transactions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Foreign txns have 3.2× higher fraud rate (Q6)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Implement dynamic rate-limiting at 5+ txns/24h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High velocity = 38% of all fraud from 12% of volume (Q11)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Auto OTP/biometric for low device trust scores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Low trust bin contributes 59% of all fraud (Q10)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Flag foreign + location mismatch combinations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Combined fraud rate spikes to 6.2% — 10× baseline (Q8)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Apply per-category fraud score thresholds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Travel and Grocery drive highest fraud amounts (Q12)</w:t>
            </w:r>
          </w:p>
        </w:tc>
      </w:tr>
      <w:tr w:rsidR="009E726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pPr>
              <w:jc w:val="center"/>
            </w:pPr>
            <w:r>
              <w:rPr>
                <w:color w:val="404040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Introduce real-time ML risk scoring 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E7264" w:rsidRDefault="00396B45">
            <w:r>
              <w:rPr>
                <w:color w:val="404040"/>
                <w:sz w:val="17"/>
                <w:szCs w:val="17"/>
              </w:rPr>
              <w:t>Rule-based system catches ~60% of fraud; ML could improve this</w:t>
            </w:r>
          </w:p>
        </w:tc>
      </w:tr>
    </w:tbl>
    <w:p w:rsidR="009E7264" w:rsidRDefault="009E7264">
      <w:pPr>
        <w:spacing w:before="200"/>
      </w:pPr>
    </w:p>
    <w:p w:rsidR="009E7264" w:rsidRDefault="00396B45">
      <w:pPr>
        <w:pStyle w:val="Heading1"/>
        <w:pBdr>
          <w:bottom w:val="single" w:sz="8" w:space="4" w:color="2E75B6"/>
        </w:pBdr>
      </w:pPr>
      <w:r>
        <w:t>10. Conclusion</w:t>
      </w:r>
    </w:p>
    <w:p w:rsidR="009E7264" w:rsidRDefault="00396B45">
      <w:pPr>
        <w:spacing w:before="60" w:after="60"/>
      </w:pPr>
      <w:r>
        <w:rPr>
          <w:color w:val="404040"/>
        </w:rPr>
        <w:t xml:space="preserve">This project demonstrates a complete fraud intelligence pipeline — from raw CSV data to an AI-powered </w:t>
      </w:r>
      <w:bookmarkStart w:id="0" w:name="_GoBack"/>
      <w:bookmarkEnd w:id="0"/>
      <w:r>
        <w:rPr>
          <w:color w:val="404040"/>
        </w:rPr>
        <w:t>executive dashboard. Three behavioral signals emerged as the most powerful fraud predictors: foreign transaction origin (3.2× risk), high transaction velo</w:t>
      </w:r>
      <w:r>
        <w:rPr>
          <w:color w:val="404040"/>
        </w:rPr>
        <w:t>city (38% of fraud from 12% of volume), and low device trust score (4× baseline fraud rate).</w:t>
      </w:r>
    </w:p>
    <w:p w:rsidR="009E7264" w:rsidRDefault="009E7264">
      <w:pPr>
        <w:spacing w:before="80"/>
      </w:pPr>
    </w:p>
    <w:p w:rsidR="009E7264" w:rsidRDefault="00396B45">
      <w:pPr>
        <w:spacing w:before="60" w:after="60"/>
      </w:pPr>
      <w:r>
        <w:rPr>
          <w:color w:val="404040"/>
        </w:rPr>
        <w:t>Combining all three signals in the custom risk segment query produced a High Risk group with a fraud rate of 8.75% — over 13× the dataset baseline — validating th</w:t>
      </w:r>
      <w:r>
        <w:rPr>
          <w:color w:val="404040"/>
        </w:rPr>
        <w:t>e multi-signal approach. A theoretical prevention potential of ~60% exists by deploying all three controls simultaneously.</w:t>
      </w:r>
    </w:p>
    <w:p w:rsidR="009E7264" w:rsidRDefault="009E7264">
      <w:pPr>
        <w:spacing w:before="80"/>
      </w:pPr>
    </w:p>
    <w:p w:rsidR="009E7264" w:rsidRDefault="00396B45">
      <w:pPr>
        <w:spacing w:before="60" w:after="60"/>
      </w:pPr>
      <w:r>
        <w:rPr>
          <w:color w:val="404040"/>
        </w:rPr>
        <w:t>The methodology is sound and portable to real production data. Specific percentages would shift on live transaction streams, but the</w:t>
      </w:r>
      <w:r>
        <w:rPr>
          <w:color w:val="404040"/>
        </w:rPr>
        <w:t xml:space="preserve"> risk signals, segmentation logic, and SQL framework are directly applicable to any financial services fraud monitoring system.</w:t>
      </w:r>
    </w:p>
    <w:p w:rsidR="009E7264" w:rsidRDefault="009E726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726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9E7264" w:rsidRDefault="00396B45">
            <w:pPr>
              <w:spacing w:after="60"/>
              <w:jc w:val="center"/>
            </w:pPr>
            <w:r>
              <w:rPr>
                <w:color w:val="BDD7EE"/>
                <w:sz w:val="18"/>
                <w:szCs w:val="18"/>
              </w:rPr>
              <w:t>GitHub: github.com/alviyar/credit-card-fraud-detection</w:t>
            </w:r>
          </w:p>
          <w:p w:rsidR="009E7264" w:rsidRDefault="00396B45">
            <w:pPr>
              <w:jc w:val="center"/>
            </w:pPr>
            <w:r>
              <w:rPr>
                <w:color w:val="BDD7EE"/>
                <w:sz w:val="18"/>
                <w:szCs w:val="18"/>
              </w:rPr>
              <w:t>Live Dashboard: alviyar.github.io/credit-card-fraud-detection</w:t>
            </w:r>
          </w:p>
        </w:tc>
      </w:tr>
    </w:tbl>
    <w:p w:rsidR="00396B45" w:rsidRDefault="00396B45"/>
    <w:sectPr w:rsidR="00396B4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B45" w:rsidRDefault="00396B45">
      <w:r>
        <w:separator/>
      </w:r>
    </w:p>
  </w:endnote>
  <w:endnote w:type="continuationSeparator" w:id="0">
    <w:p w:rsidR="00396B45" w:rsidRDefault="0039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64" w:rsidRDefault="00396B45">
    <w:pPr>
      <w:pBdr>
        <w:top w:val="single" w:sz="4" w:space="4" w:color="2E75B6"/>
      </w:pBdr>
      <w:tabs>
        <w:tab w:val="right" w:pos="9026"/>
      </w:tabs>
      <w:spacing w:before="60"/>
    </w:pP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B76D2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B45" w:rsidRDefault="00396B45">
      <w:r>
        <w:separator/>
      </w:r>
    </w:p>
  </w:footnote>
  <w:footnote w:type="continuationSeparator" w:id="0">
    <w:p w:rsidR="00396B45" w:rsidRDefault="00396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9E7264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160" w:type="dxa"/>
            <w:bottom w:w="80" w:type="dxa"/>
            <w:right w:w="160" w:type="dxa"/>
          </w:tcMar>
        </w:tcPr>
        <w:p w:rsidR="009E7264" w:rsidRDefault="00396B45">
          <w:r>
            <w:rPr>
              <w:b/>
              <w:bCs/>
              <w:color w:val="FFFFFF"/>
              <w:sz w:val="18"/>
              <w:szCs w:val="18"/>
            </w:rPr>
            <w:t>CREDIT CARD FRAUD DETECTION — TECHNICAL REPORT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</w:tcPr>
        <w:p w:rsidR="009E7264" w:rsidRDefault="009E7264">
          <w:pPr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C6E1D"/>
    <w:multiLevelType w:val="hybridMultilevel"/>
    <w:tmpl w:val="302C904C"/>
    <w:lvl w:ilvl="0" w:tplc="2E00334A">
      <w:start w:val="1"/>
      <w:numFmt w:val="bullet"/>
      <w:lvlText w:val="•"/>
      <w:lvlJc w:val="left"/>
      <w:pPr>
        <w:ind w:left="720" w:hanging="360"/>
      </w:pPr>
    </w:lvl>
    <w:lvl w:ilvl="1" w:tplc="E432E688">
      <w:numFmt w:val="decimal"/>
      <w:lvlText w:val=""/>
      <w:lvlJc w:val="left"/>
    </w:lvl>
    <w:lvl w:ilvl="2" w:tplc="6C9E7806">
      <w:numFmt w:val="decimal"/>
      <w:lvlText w:val=""/>
      <w:lvlJc w:val="left"/>
    </w:lvl>
    <w:lvl w:ilvl="3" w:tplc="099E4A46">
      <w:numFmt w:val="decimal"/>
      <w:lvlText w:val=""/>
      <w:lvlJc w:val="left"/>
    </w:lvl>
    <w:lvl w:ilvl="4" w:tplc="B69C0C4E">
      <w:numFmt w:val="decimal"/>
      <w:lvlText w:val=""/>
      <w:lvlJc w:val="left"/>
    </w:lvl>
    <w:lvl w:ilvl="5" w:tplc="4E4C2CAA">
      <w:numFmt w:val="decimal"/>
      <w:lvlText w:val=""/>
      <w:lvlJc w:val="left"/>
    </w:lvl>
    <w:lvl w:ilvl="6" w:tplc="C3506010">
      <w:numFmt w:val="decimal"/>
      <w:lvlText w:val=""/>
      <w:lvlJc w:val="left"/>
    </w:lvl>
    <w:lvl w:ilvl="7" w:tplc="D1A41F76">
      <w:numFmt w:val="decimal"/>
      <w:lvlText w:val=""/>
      <w:lvlJc w:val="left"/>
    </w:lvl>
    <w:lvl w:ilvl="8" w:tplc="50F2A812">
      <w:numFmt w:val="decimal"/>
      <w:lvlText w:val=""/>
      <w:lvlJc w:val="left"/>
    </w:lvl>
  </w:abstractNum>
  <w:abstractNum w:abstractNumId="1" w15:restartNumberingAfterBreak="0">
    <w:nsid w:val="1C9704FE"/>
    <w:multiLevelType w:val="hybridMultilevel"/>
    <w:tmpl w:val="8702D88A"/>
    <w:lvl w:ilvl="0" w:tplc="B3928DC0">
      <w:start w:val="1"/>
      <w:numFmt w:val="bullet"/>
      <w:lvlText w:val="●"/>
      <w:lvlJc w:val="left"/>
      <w:pPr>
        <w:ind w:left="720" w:hanging="360"/>
      </w:pPr>
    </w:lvl>
    <w:lvl w:ilvl="1" w:tplc="9A948FD0">
      <w:start w:val="1"/>
      <w:numFmt w:val="bullet"/>
      <w:lvlText w:val="○"/>
      <w:lvlJc w:val="left"/>
      <w:pPr>
        <w:ind w:left="1440" w:hanging="360"/>
      </w:pPr>
    </w:lvl>
    <w:lvl w:ilvl="2" w:tplc="8E2499B4">
      <w:start w:val="1"/>
      <w:numFmt w:val="bullet"/>
      <w:lvlText w:val="■"/>
      <w:lvlJc w:val="left"/>
      <w:pPr>
        <w:ind w:left="2160" w:hanging="360"/>
      </w:pPr>
    </w:lvl>
    <w:lvl w:ilvl="3" w:tplc="36B8899C">
      <w:start w:val="1"/>
      <w:numFmt w:val="bullet"/>
      <w:lvlText w:val="●"/>
      <w:lvlJc w:val="left"/>
      <w:pPr>
        <w:ind w:left="2880" w:hanging="360"/>
      </w:pPr>
    </w:lvl>
    <w:lvl w:ilvl="4" w:tplc="B654642C">
      <w:start w:val="1"/>
      <w:numFmt w:val="bullet"/>
      <w:lvlText w:val="○"/>
      <w:lvlJc w:val="left"/>
      <w:pPr>
        <w:ind w:left="3600" w:hanging="360"/>
      </w:pPr>
    </w:lvl>
    <w:lvl w:ilvl="5" w:tplc="5AFCD780">
      <w:start w:val="1"/>
      <w:numFmt w:val="bullet"/>
      <w:lvlText w:val="■"/>
      <w:lvlJc w:val="left"/>
      <w:pPr>
        <w:ind w:left="4320" w:hanging="360"/>
      </w:pPr>
    </w:lvl>
    <w:lvl w:ilvl="6" w:tplc="0BCCD658">
      <w:start w:val="1"/>
      <w:numFmt w:val="bullet"/>
      <w:lvlText w:val="●"/>
      <w:lvlJc w:val="left"/>
      <w:pPr>
        <w:ind w:left="5040" w:hanging="360"/>
      </w:pPr>
    </w:lvl>
    <w:lvl w:ilvl="7" w:tplc="A386CDF0">
      <w:start w:val="1"/>
      <w:numFmt w:val="bullet"/>
      <w:lvlText w:val="●"/>
      <w:lvlJc w:val="left"/>
      <w:pPr>
        <w:ind w:left="5760" w:hanging="360"/>
      </w:pPr>
    </w:lvl>
    <w:lvl w:ilvl="8" w:tplc="FD8EE5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903963"/>
    <w:multiLevelType w:val="hybridMultilevel"/>
    <w:tmpl w:val="80B06A3A"/>
    <w:lvl w:ilvl="0" w:tplc="D376D0B8">
      <w:start w:val="1"/>
      <w:numFmt w:val="decimal"/>
      <w:lvlText w:val="%1."/>
      <w:lvlJc w:val="left"/>
      <w:pPr>
        <w:ind w:left="720" w:hanging="360"/>
      </w:pPr>
    </w:lvl>
    <w:lvl w:ilvl="1" w:tplc="CDEEA428">
      <w:numFmt w:val="decimal"/>
      <w:lvlText w:val=""/>
      <w:lvlJc w:val="left"/>
    </w:lvl>
    <w:lvl w:ilvl="2" w:tplc="28FA8C8C">
      <w:numFmt w:val="decimal"/>
      <w:lvlText w:val=""/>
      <w:lvlJc w:val="left"/>
    </w:lvl>
    <w:lvl w:ilvl="3" w:tplc="49C0B8FE">
      <w:numFmt w:val="decimal"/>
      <w:lvlText w:val=""/>
      <w:lvlJc w:val="left"/>
    </w:lvl>
    <w:lvl w:ilvl="4" w:tplc="7EAC3160">
      <w:numFmt w:val="decimal"/>
      <w:lvlText w:val=""/>
      <w:lvlJc w:val="left"/>
    </w:lvl>
    <w:lvl w:ilvl="5" w:tplc="BC7436EE">
      <w:numFmt w:val="decimal"/>
      <w:lvlText w:val=""/>
      <w:lvlJc w:val="left"/>
    </w:lvl>
    <w:lvl w:ilvl="6" w:tplc="D1D698F6">
      <w:numFmt w:val="decimal"/>
      <w:lvlText w:val=""/>
      <w:lvlJc w:val="left"/>
    </w:lvl>
    <w:lvl w:ilvl="7" w:tplc="9FF88960">
      <w:numFmt w:val="decimal"/>
      <w:lvlText w:val=""/>
      <w:lvlJc w:val="left"/>
    </w:lvl>
    <w:lvl w:ilvl="8" w:tplc="9D2E68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264"/>
    <w:rsid w:val="00396B45"/>
    <w:rsid w:val="009B76D2"/>
    <w:rsid w:val="009E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8DA70"/>
  <w15:docId w15:val="{5A4A6E3E-D075-4617-834C-54FB6656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7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6D2"/>
  </w:style>
  <w:style w:type="paragraph" w:styleId="Footer">
    <w:name w:val="footer"/>
    <w:basedOn w:val="Normal"/>
    <w:link w:val="FooterChar"/>
    <w:uiPriority w:val="99"/>
    <w:unhideWhenUsed/>
    <w:rsid w:val="009B76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6D2"/>
  </w:style>
  <w:style w:type="paragraph" w:styleId="NormalWeb">
    <w:name w:val="Normal (Web)"/>
    <w:basedOn w:val="Normal"/>
    <w:uiPriority w:val="99"/>
    <w:semiHidden/>
    <w:unhideWhenUsed/>
    <w:rsid w:val="009B76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ALVIYA</cp:lastModifiedBy>
  <cp:revision>2</cp:revision>
  <dcterms:created xsi:type="dcterms:W3CDTF">2026-03-25T08:37:00Z</dcterms:created>
  <dcterms:modified xsi:type="dcterms:W3CDTF">2026-03-25T08:37:00Z</dcterms:modified>
</cp:coreProperties>
</file>