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</w:pPr>
      <w:r>
        <w:rPr>
          <w:rFonts w:ascii="Arial" w:hAnsi="Arial" w:cs="Arial"/>
          <w:b/>
          <w:color w:val="C8102E"/>
          <w:sz w:val="36"/>
          <w:rtl w:val="1"/>
          <w:szCs w:val="36"/>
          <w:bCs/>
        </w:rPr>
        <w:t>نموذج عقد مبادلة عقارين (محرر رسمي)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777777"/>
          <w:sz w:val="20"/>
          <w:rtl w:val="1"/>
          <w:szCs w:val="20"/>
        </w:rPr>
        <w:t>Modèle d'acte d'échange immobilier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8A0C22"/>
          <w:sz w:val="20"/>
          <w:rtl w:val="1"/>
          <w:szCs w:val="20"/>
        </w:rPr>
        <w:t>طبقا للفصول 619 وما يليها من قانون الالتزامات والعقود (المعاوضة)، والقانون 39.08 (المادة 4)، وظهير التحفيظ العقاري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محرر رسمي / ثابت التاريخ رقم: [            ]   —   الفهرس عدد: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بتاريخ: [      ] / [      ] /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لدى الأستاذ(ة): [            ] ، ☐ موثق(ة) ☐ عدلان ☐ محام(ية) مقبول(ة) لدى محكمة النقض ، الكائن مكتبه بـ [            ].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الطرف الأول — الطرف الأول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الطرف الثاني — الطرف الثاني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1) العقار الأول (في ملك الطرف الأول)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العقار المسمى «[            ]» ، موضوع الرسم العقاري عدد [            ] ، الكائن بـ [            ] ، المساحة [      ] م² ، ويتكون من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أصل الملكية: [            ] — الوضعية: ☐ خال من كل تحمل ☐ مثقل بـ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القيمة المتفق عليها: [            ] درهما.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2) العقار الثاني (في ملك الطرف الثاني)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العقار المسمى «[            ]» ، موضوع الرسم العقاري عدد [            ] ، الكائن بـ [            ] ، المساحة [      ] م² ، ويتكون من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أصل الملكية: [            ] — الوضعية: ☐ خال من كل تحمل ☐ مثقل بـ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القيمة المتفق عليها: [            ] درهما.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3) المبادلة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بمقتضى هذا العقد، تبادل الطرفان ملكية العقارين المعينين أعلاه، فأعطى الطرف الأول عقاره للطرف الثاني، وأعطى الطرف الثاني عقاره للطرف الأول، بجميع حقوقهما ومرافقهما، مبادلة تامة ناقلة للملكية.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4) المعدل (فرق القيمة)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لا معدل بين الطرفين لتساوي القيمتين.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نظرا لفرق القيمة، أدى الطرف [      ] للطرف الآخر معدلا قدره [            ] درهما (بالحروف: [            ])، بواسطة ☐ شيك مسطر رقم [      ] ☐ تحويل بنكي مرجع [      ]، وأقر المتوصل بالإبراء منه.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5) الحيازة والضمان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يتسلم كل طرف العقار الذي آل إليه ☐ من تاريخ هذا العقد ☐ بتاريخ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يضمن كل طرف للآخر التعرض والاستحقاق والعيوب الخفية بشأن العقار الذي أعطاه، طبقا لأحكام البيع المطبقة على المعاوضة.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6) التصريحات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يصرح كل طرف بأنه المالك الوحيد لعقاره، وأنه أدى جميع الضرائب والرسوم المتعلقة به (شهادة الإبراء الضريبي مرفقة)، وأنه غير موضوع نزاع أو حجز.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يصرح الطرفان بأن القيم المذكورة هي القيم الحقيقية للعقارين.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7) المصاريف والضرائب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تؤدى واجبات التسجيل والمحافظة العقارية حسب القانون، ويتحمل كل طرف الضريبة على الأرباح العقارية المتعلقة بالعقار الذي أعطاه، والمصاريف الأخرى ☐ مناصفة ☐ حسب الاتفاق التالي: [            ].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8) الختام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وإشهادا بذلك حرر هذا العقد وقرئ على الطرفين فصادقا عليه ووقعاه مع المحرر.</w:t>
      </w:r>
    </w:p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الطرف الأول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الطرف الثاني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المحرر</w:t>
            </w:r>
          </w:p>
        </w:tc>
      </w:tr>
      <w:tr>
        <w:trPr>
          <w:trHeight w:val="1417"/>
        </w:trP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p>
      <w:pPr>
        <w:bidi w:val="1"/>
        <w:spacing w:after="80"/>
      </w:pPr>
      <w:r>
        <w:rPr>
          <w:rFonts w:ascii="Arial" w:hAnsi="Arial" w:cs="Arial"/>
          <w:b w:val="0"/>
          <w:color w:val="888888"/>
          <w:sz w:val="18"/>
          <w:rtl w:val="1"/>
          <w:szCs w:val="18"/>
        </w:rPr>
        <w:t>نموذج للعمل والتعديل حسب كل حالة — وكالة الوسيط 777 العقارية، مكناس. لا يكتسب الصفة الرسمية إلا بتحريره من طرف موثق أو عدلين أو محام مقبول لدى محكمة النقض.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