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Continuity of Care, Clinical Escalation,</w:t>
        <w:br/>
        <w:t>and Medication Management</w:t>
      </w:r>
    </w:p>
    <w:p>
      <w:pPr>
        <w:jc w:val="center"/>
      </w:pPr>
      <w:r>
        <w:rPr>
          <w:i/>
          <w:sz w:val="24"/>
        </w:rPr>
        <w:t>A systems-focused review of the documented mental-health treatment trajectory preceding January 24, 2023</w:t>
      </w:r>
    </w:p>
    <w:p>
      <w:pPr>
        <w:jc w:val="center"/>
      </w:pPr>
      <w:r>
        <w:rPr>
          <w:b/>
        </w:rPr>
        <w:t>Lindsay Clancy case | Research synthesis</w:t>
      </w:r>
    </w:p>
    <w:p>
      <w:pPr>
        <w:pStyle w:val="ReportNote"/>
      </w:pPr>
      <w:r>
        <w:t>Scope note: This report synthesizes the information supplied in the research notes, which in turn cite trial testimony, court reporting, and secondary sources. It is designed to identify continuity-of-care and system-design questions. It does not make a finding of malpractice, causation, or individual clinician fault, and it does not substitute for review of the complete primary medical record.</w:t>
      </w:r>
    </w:p>
    <w:p>
      <w:r>
        <w:br w:type="page"/>
      </w:r>
    </w:p>
    <w:p>
      <w:pPr>
        <w:pStyle w:val="Heading1"/>
      </w:pPr>
      <w:r>
        <w:t>Executive Summary</w:t>
      </w:r>
    </w:p>
    <w:p>
      <w:r>
        <w:t>The central systems question is whether a patient experiencing months of unresolved psychiatric deterioration, recent suicidal concern, severe sleep disturbance, emergency evaluation, psychiatric hospitalization, persistent functional symptoms, and continuing medication changes was transitioned into a closed-loop, high-contact care structure after discharge.</w:t>
      </w:r>
    </w:p>
    <w:p>
      <w:r>
        <w:t>The supplied record describes a course beginning in late summer 2022 with anxiety, depression, and insomnia; intensifying through December with severe sleep disruption, intrusive and suicidal thoughts, diagnostic concern for bipolar-spectrum illness, and emergency-level evaluation; and continuing into January with psychiatric hospitalization followed by outpatient telehealth medication management. By January 16 and January 23, the notes still describe low or flat mood, impaired motivation, anxiety, fragmented sleep, emotional numbness, and difficulty bonding, despite the absence of reported suicidal or homicidal ideation or overt psychosis at those visits.</w:t>
      </w:r>
    </w:p>
    <w:p>
      <w:r>
        <w:t>The most consequential issue is therefore broader than the number of prescriptions written. The record, as summarized here, does not make visible a single accountable post-discharge coordinator, a shared longitudinal treatment plan across providers, a clearly documented high-frequency observation schedule, or a closed-loop escalation pathway confirming that recommended higher levels of care were actually arranged and completed.</w:t>
      </w:r>
    </w:p>
    <w:p>
      <w:pPr>
        <w:pStyle w:val="Heading2"/>
      </w:pPr>
      <w:r>
        <w:t>Key Findings</w:t>
      </w:r>
    </w:p>
    <w:p>
      <w:pPr>
        <w:pStyle w:val="ListBullet"/>
      </w:pPr>
      <w:r>
        <w:t>The documented decline extended for approximately five months before the January crisis, with no clearly documented marked post-hospital stabilization before January 24.</w:t>
      </w:r>
    </w:p>
    <w:p>
      <w:pPr>
        <w:pStyle w:val="ListBullet"/>
      </w:pPr>
      <w:r>
        <w:t>Multiple clinicians and settings were involved, while cross-provider record exchange and unified medication reconciliation appear incomplete in the public record summarized here.</w:t>
      </w:r>
    </w:p>
    <w:p>
      <w:pPr>
        <w:pStyle w:val="ListBullet"/>
      </w:pPr>
      <w:r>
        <w:t>The final post-discharge plan appears to have centered on outpatient symptom monitoring and medication adjustment rather than a visibly structured PHP, IOP, bridge-clinic, or similarly high-contact transition program.</w:t>
      </w:r>
    </w:p>
    <w:p>
      <w:pPr>
        <w:pStyle w:val="ListBullet"/>
      </w:pPr>
      <w:r>
        <w:t>The frequently cited '13 medications' figure should not be described as 13 sequential medication changes. The supplied notes distinguish distinct drugs, prescription transactions, dose changes, tapers, restarts, and bridge prescriptions.</w:t>
      </w:r>
    </w:p>
    <w:p>
      <w:pPr>
        <w:pStyle w:val="ListBullet"/>
      </w:pPr>
      <w:r>
        <w:t>Lamotrigine at 25 mg represented a slow-titrated, longer-horizon mood-stabilization strategy. The supplied research notes emphasize that it is not ordinarily a rapid stand-alone intervention for acute mania, psychosis, severe agitation, or a rapidly escalating postpartum psychiatric syndrome.</w:t>
      </w:r>
    </w:p>
    <w:p>
      <w:pPr>
        <w:pStyle w:val="ListBullet"/>
      </w:pPr>
      <w:r>
        <w:t>Future system design should emphasize one accountable coordinator, one reconciled medication record, one explicit acuity plan, operationalized family/caregiver support when authorized, and closed-loop confirmation of referrals and follow-up.</w:t>
      </w:r>
    </w:p>
    <w:p>
      <w:pPr>
        <w:pStyle w:val="Heading1"/>
      </w:pPr>
      <w:r>
        <w:t>1. Longitudinal Clinical Trajectory</w:t>
      </w:r>
    </w:p>
    <w:tbl>
      <w:tblPr>
        <w:tblStyle w:val="TableGrid"/>
        <w:tblW w:type="auto" w:w="0"/>
        <w:jc w:val="center"/>
        <w:tblLook w:firstColumn="1" w:firstRow="1" w:lastColumn="0" w:lastRow="0" w:noHBand="0" w:noVBand="1" w:val="04A0"/>
      </w:tblPr>
      <w:tblGrid>
        <w:gridCol w:w="4968"/>
        <w:gridCol w:w="4968"/>
      </w:tblGrid>
      <w:tr>
        <w:tc>
          <w:tcPr>
            <w:tcW w:type="dxa" w:w="4968"/>
          </w:tcPr>
          <w:p>
            <w:r>
              <w:t>Date / period</w:t>
            </w:r>
          </w:p>
        </w:tc>
        <w:tc>
          <w:tcPr>
            <w:tcW w:type="dxa" w:w="4968"/>
          </w:tcPr>
          <w:p>
            <w:r>
              <w:t>Documented trajectory in supplied notes</w:t>
            </w:r>
          </w:p>
        </w:tc>
      </w:tr>
      <w:tr>
        <w:tc>
          <w:tcPr>
            <w:tcW w:type="dxa" w:w="4968"/>
            <w:vAlign w:val="top"/>
          </w:tcPr>
          <w:p>
            <w:r>
              <w:t>May 26, 2022</w:t>
            </w:r>
          </w:p>
        </w:tc>
        <w:tc>
          <w:tcPr>
            <w:tcW w:type="dxa" w:w="4968"/>
            <w:vAlign w:val="top"/>
          </w:tcPr>
          <w:p>
            <w:r>
              <w:t>Birth of third child, Callan.</w:t>
            </w:r>
          </w:p>
        </w:tc>
      </w:tr>
      <w:tr>
        <w:tc>
          <w:tcPr>
            <w:tcW w:type="dxa" w:w="4968"/>
            <w:vAlign w:val="top"/>
          </w:tcPr>
          <w:p>
            <w:r>
              <w:t>June-July 2022</w:t>
            </w:r>
          </w:p>
        </w:tc>
        <w:tc>
          <w:tcPr>
            <w:tcW w:type="dxa" w:w="4968"/>
            <w:vAlign w:val="top"/>
          </w:tcPr>
          <w:p>
            <w:r>
              <w:t>No significant symptoms reported in the supplied summary; described as happy and energetic.</w:t>
            </w:r>
          </w:p>
        </w:tc>
      </w:tr>
      <w:tr>
        <w:tc>
          <w:tcPr>
            <w:tcW w:type="dxa" w:w="4968"/>
            <w:vAlign w:val="top"/>
          </w:tcPr>
          <w:p>
            <w:r>
              <w:t>Mid-August 2022</w:t>
            </w:r>
          </w:p>
        </w:tc>
        <w:tc>
          <w:tcPr>
            <w:tcW w:type="dxa" w:w="4968"/>
            <w:vAlign w:val="top"/>
          </w:tcPr>
          <w:p>
            <w:r>
              <w:t>Abrupt mood change with anxiety, depression, and insomnia; family support increased.</w:t>
            </w:r>
          </w:p>
        </w:tc>
      </w:tr>
      <w:tr>
        <w:tc>
          <w:tcPr>
            <w:tcW w:type="dxa" w:w="4968"/>
            <w:vAlign w:val="top"/>
          </w:tcPr>
          <w:p>
            <w:r>
              <w:t>Sept. 2022</w:t>
            </w:r>
          </w:p>
        </w:tc>
        <w:tc>
          <w:tcPr>
            <w:tcW w:type="dxa" w:w="4968"/>
            <w:vAlign w:val="top"/>
          </w:tcPr>
          <w:p>
            <w:r>
              <w:t>Outpatient psychiatric treatment begins. Severe depression screening score is documented; sertraline/Zoloft prescribed.</w:t>
            </w:r>
          </w:p>
        </w:tc>
      </w:tr>
      <w:tr>
        <w:tc>
          <w:tcPr>
            <w:tcW w:type="dxa" w:w="4968"/>
            <w:vAlign w:val="top"/>
          </w:tcPr>
          <w:p>
            <w:r>
              <w:t>Oct.-Nov. 2022</w:t>
            </w:r>
          </w:p>
        </w:tc>
        <w:tc>
          <w:tcPr>
            <w:tcW w:type="dxa" w:w="4968"/>
            <w:vAlign w:val="top"/>
          </w:tcPr>
          <w:p>
            <w:r>
              <w:t>Persistent anxiety and substantial sleep difficulty; medication concerns continue and additional providers become involved.</w:t>
            </w:r>
          </w:p>
        </w:tc>
      </w:tr>
      <w:tr>
        <w:tc>
          <w:tcPr>
            <w:tcW w:type="dxa" w:w="4968"/>
            <w:vAlign w:val="top"/>
          </w:tcPr>
          <w:p>
            <w:r>
              <w:t>Dec. 1</w:t>
            </w:r>
          </w:p>
        </w:tc>
        <w:tc>
          <w:tcPr>
            <w:tcW w:type="dxa" w:w="4968"/>
            <w:vAlign w:val="top"/>
          </w:tcPr>
          <w:p>
            <w:r>
              <w:t>Reports feeling close to suicidal thinking while denying current suicidality.</w:t>
            </w:r>
          </w:p>
        </w:tc>
      </w:tr>
      <w:tr>
        <w:tc>
          <w:tcPr>
            <w:tcW w:type="dxa" w:w="4968"/>
            <w:vAlign w:val="top"/>
          </w:tcPr>
          <w:p>
            <w:r>
              <w:t>Dec. 6</w:t>
            </w:r>
          </w:p>
        </w:tc>
        <w:tc>
          <w:tcPr>
            <w:tcW w:type="dxa" w:w="4968"/>
            <w:vAlign w:val="top"/>
          </w:tcPr>
          <w:p>
            <w:r>
              <w:t>Severe insomnia after sertraline and racing thoughts contribute to bipolar-spectrum concern; lamotrigine 25 mg is introduced as a mood-stabilization strategy.</w:t>
            </w:r>
          </w:p>
        </w:tc>
      </w:tr>
      <w:tr>
        <w:tc>
          <w:tcPr>
            <w:tcW w:type="dxa" w:w="4968"/>
            <w:vAlign w:val="top"/>
          </w:tcPr>
          <w:p>
            <w:r>
              <w:t>Dec. 15-16</w:t>
            </w:r>
          </w:p>
        </w:tc>
        <w:tc>
          <w:tcPr>
            <w:tcW w:type="dxa" w:w="4968"/>
            <w:vAlign w:val="top"/>
          </w:tcPr>
          <w:p>
            <w:r>
              <w:t>Persistent intrusive suicidal thoughts / 'worst day'; emergency evaluation and a higher level of care are recommended.</w:t>
            </w:r>
          </w:p>
        </w:tc>
      </w:tr>
      <w:tr>
        <w:tc>
          <w:tcPr>
            <w:tcW w:type="dxa" w:w="4968"/>
            <w:vAlign w:val="top"/>
          </w:tcPr>
          <w:p>
            <w:r>
              <w:t>Late Dec.-early Jan.</w:t>
            </w:r>
          </w:p>
        </w:tc>
        <w:tc>
          <w:tcPr>
            <w:tcW w:type="dxa" w:w="4968"/>
            <w:vAlign w:val="top"/>
          </w:tcPr>
          <w:p>
            <w:r>
              <w:t>Psychiatric hospitalization at McLean for approximately 4.5 days; postpartum specialty evaluation also occurs.</w:t>
            </w:r>
          </w:p>
        </w:tc>
      </w:tr>
      <w:tr>
        <w:tc>
          <w:tcPr>
            <w:tcW w:type="dxa" w:w="4968"/>
            <w:vAlign w:val="top"/>
          </w:tcPr>
          <w:p>
            <w:r>
              <w:t>Jan. 6-23</w:t>
            </w:r>
          </w:p>
        </w:tc>
        <w:tc>
          <w:tcPr>
            <w:tcW w:type="dxa" w:w="4968"/>
            <w:vAlign w:val="top"/>
          </w:tcPr>
          <w:p>
            <w:r>
              <w:t>Ongoing depressed/flat affect, low motivation, anxiety, sleep disturbance, and repeated medication-management decisions after discharge.</w:t>
            </w:r>
          </w:p>
        </w:tc>
      </w:tr>
      <w:tr>
        <w:tc>
          <w:tcPr>
            <w:tcW w:type="dxa" w:w="4968"/>
            <w:vAlign w:val="top"/>
          </w:tcPr>
          <w:p>
            <w:r>
              <w:t>Jan. 23</w:t>
            </w:r>
          </w:p>
        </w:tc>
        <w:tc>
          <w:tcPr>
            <w:tcW w:type="dxa" w:w="4968"/>
            <w:vAlign w:val="top"/>
          </w:tcPr>
          <w:p>
            <w:r>
              <w:t>Final Tufts telehealth visit: depressed/flat or anxious presentation, low motivation/numbness; denial of SI/HI; no observed psychosis or mania; medication plan adjusted.</w:t>
            </w:r>
          </w:p>
        </w:tc>
      </w:tr>
      <w:tr>
        <w:tc>
          <w:tcPr>
            <w:tcW w:type="dxa" w:w="4968"/>
            <w:vAlign w:val="top"/>
          </w:tcPr>
          <w:p>
            <w:r>
              <w:t>Jan. 24</w:t>
            </w:r>
          </w:p>
        </w:tc>
        <w:tc>
          <w:tcPr>
            <w:tcW w:type="dxa" w:w="4968"/>
            <w:vAlign w:val="top"/>
          </w:tcPr>
          <w:p>
            <w:r>
              <w:t>Case-event endpoint.</w:t>
            </w:r>
          </w:p>
        </w:tc>
      </w:tr>
    </w:tbl>
    <w:p>
      <w:pPr>
        <w:pStyle w:val="Heading1"/>
      </w:pPr>
      <w:r>
        <w:t>2. December 6 as a Diagnostic and Treatment Fork</w:t>
      </w:r>
    </w:p>
    <w:p>
      <w:r>
        <w:t>The December 6 visit is important because the supplied notes place several signals together: moderate-to-severe depression, anxiety, racing thoughts and concentration problems, and a reported 48 consecutive hours without sleep after sertraline. Rebecca Jollotta reportedly characterized that sleep reaction as unusual and raised possible bipolar-spectrum illness or a mixed/hypomanic state. At the same time, the mental-status findings summarized in the notes did not show hallucinations, reported SI/HI, overt psychosis, or observed mania.</w:t>
      </w:r>
    </w:p>
    <w:p>
      <w:r>
        <w:t>This creates a clinically important fork in the record: the patient could appear organized and goal-directed during an appointment while the longitudinal history was simultaneously becoming more concerning. A system designed around longitudinal risk would preserve both facts rather than allowing a single reassuring mental-status snapshot to erase the trajectory.</w:t>
      </w:r>
    </w:p>
    <w:p>
      <w:r>
        <w:t>Lamotrigine 25 mg was prescribed on December 6 according to the supplied notes. The same notes characterize lamotrigine as commonly used for bipolar maintenance and depressive relapse prevention, with slow titration required because of serious rash risk. That makes it relevant as a longer-horizon strategy, while leaving a separate question about what acute containment, monitoring, sleep restoration, or faster-acting treatment was appropriate if clinicians believed the syndrome was rapidly escalating.</w:t>
      </w:r>
    </w:p>
    <w:p>
      <w:pPr>
        <w:pStyle w:val="Heading1"/>
      </w:pPr>
      <w:r>
        <w:t>3. Post-Hospitalization Period: January 6-24</w:t>
      </w:r>
    </w:p>
    <w:p>
      <w:r>
        <w:t>The post-discharge interval is the clearest place to examine continuity of care. The supplied record describes continuing symptoms rather than a clearly documented recovery: low mood, flat affect, anxiety, fragmented sleep, low motivation, numbness, and difficulty bonding with the infant. The active outpatient psychiatrist was Dr. Jennifer Tufts, primarily through telehealth medication-management visits.</w:t>
      </w:r>
    </w:p>
    <w:tbl>
      <w:tblPr>
        <w:tblStyle w:val="TableGrid"/>
        <w:tblW w:type="auto" w:w="0"/>
        <w:jc w:val="center"/>
        <w:tblLook w:firstColumn="1" w:firstRow="1" w:lastColumn="0" w:lastRow="0" w:noHBand="0" w:noVBand="1" w:val="04A0"/>
      </w:tblPr>
      <w:tblGrid>
        <w:gridCol w:w="4968"/>
        <w:gridCol w:w="4968"/>
      </w:tblGrid>
      <w:tr>
        <w:tc>
          <w:tcPr>
            <w:tcW w:type="dxa" w:w="4968"/>
          </w:tcPr>
          <w:p>
            <w:r>
              <w:t>Date</w:t>
            </w:r>
          </w:p>
        </w:tc>
        <w:tc>
          <w:tcPr>
            <w:tcW w:type="dxa" w:w="4968"/>
          </w:tcPr>
          <w:p>
            <w:r>
              <w:t>Medication / management event</w:t>
            </w:r>
          </w:p>
        </w:tc>
      </w:tr>
      <w:tr>
        <w:tc>
          <w:tcPr>
            <w:tcW w:type="dxa" w:w="4968"/>
          </w:tcPr>
          <w:p>
            <w:r>
              <w:t>Jan. 6</w:t>
            </w:r>
          </w:p>
        </w:tc>
        <w:tc>
          <w:tcPr>
            <w:tcW w:type="dxa" w:w="4968"/>
          </w:tcPr>
          <w:p>
            <w:r>
              <w:t>Deterioration documented; trazodone increase to 150 mg planned; Ativan and melatonin continued.</w:t>
            </w:r>
          </w:p>
        </w:tc>
      </w:tr>
      <w:tr>
        <w:tc>
          <w:tcPr>
            <w:tcW w:type="dxa" w:w="4968"/>
          </w:tcPr>
          <w:p>
            <w:r>
              <w:t>Jan. 9</w:t>
            </w:r>
          </w:p>
        </w:tc>
        <w:tc>
          <w:tcPr>
            <w:tcW w:type="dxa" w:w="4968"/>
          </w:tcPr>
          <w:p>
            <w:r>
              <w:t>Diazepam/Valium prescribed or returned to the regimen.</w:t>
            </w:r>
          </w:p>
        </w:tc>
      </w:tr>
      <w:tr>
        <w:tc>
          <w:tcPr>
            <w:tcW w:type="dxa" w:w="4968"/>
          </w:tcPr>
          <w:p>
            <w:r>
              <w:t>Jan. 12</w:t>
            </w:r>
          </w:p>
        </w:tc>
        <w:tc>
          <w:tcPr>
            <w:tcW w:type="dxa" w:w="4968"/>
          </w:tcPr>
          <w:p>
            <w:r>
              <w:t>Trazodone 150 mg prescription documented.</w:t>
            </w:r>
          </w:p>
        </w:tc>
      </w:tr>
      <w:tr>
        <w:tc>
          <w:tcPr>
            <w:tcW w:type="dxa" w:w="4968"/>
          </w:tcPr>
          <w:p>
            <w:r>
              <w:t>Jan. 16</w:t>
            </w:r>
          </w:p>
        </w:tc>
        <w:tc>
          <w:tcPr>
            <w:tcW w:type="dxa" w:w="4968"/>
          </w:tcPr>
          <w:p>
            <w:r>
              <w:t>Very low mood and fragmented sleep during diazepam taper; amitriptyline 10 mg added.</w:t>
            </w:r>
          </w:p>
        </w:tc>
      </w:tr>
      <w:tr>
        <w:tc>
          <w:tcPr>
            <w:tcW w:type="dxa" w:w="4968"/>
          </w:tcPr>
          <w:p>
            <w:r>
              <w:t>Jan. 23</w:t>
            </w:r>
          </w:p>
        </w:tc>
        <w:tc>
          <w:tcPr>
            <w:tcW w:type="dxa" w:w="4968"/>
          </w:tcPr>
          <w:p>
            <w:r>
              <w:t>Diazepam taper slowed; amitriptyline increase to 20 mg advised; no emergency evaluation or hospitalization recommended based on denial of SI/HI and lack of observed psychosis/mania.</w:t>
            </w:r>
          </w:p>
        </w:tc>
      </w:tr>
    </w:tbl>
    <w:p>
      <w:r>
        <w:t>The notes identify no documented active escalation pathway in the final eight days such as daily clinical contact, inpatient readmission, confirmed PHP/IOP enrollment, home-based crisis services, or a documented child-safety/supervision plan. This is an evidentiary limitation rather than proof that no such plan existed.</w:t>
      </w:r>
    </w:p>
    <w:p>
      <w:pPr>
        <w:pStyle w:val="Heading1"/>
      </w:pPr>
      <w:r>
        <w:t>4. Medication Burden: What the Numbers Do and Do Not Mean</w:t>
      </w:r>
    </w:p>
    <w:p>
      <w:r>
        <w:t>The supplied material correctly distinguishes medication burden from medication switching. It reports approximately 13 distinct psychiatric medications over about four months and more than 30 prescription transactions, but those counts can include refills, different strengths, tapers, bridge prescriptions, restarts, and medications prescribed but not necessarily taken.</w:t>
      </w:r>
    </w:p>
    <w:p>
      <w:r>
        <w:t>For the roughly 18 days after McLean discharge, the notes support approximately three to five substantive treatment changes, depending on how the trazodone implementation and diazepam restart are classified. The clinically significant pattern is the combination of recent hospitalization, persistent symptoms, active sleep disturbance, benzodiazepine strategy changes, antidepressant adjustment, and multiple care settings—not a simplistic claim of '13 medication changes.'</w:t>
      </w:r>
    </w:p>
    <w:p>
      <w:pPr>
        <w:pStyle w:val="Heading1"/>
      </w:pPr>
      <w:r>
        <w:t>5. Continuity-of-Care Question</w:t>
      </w:r>
    </w:p>
    <w:p>
      <w:r>
        <w:t>The public record summarized in the notes does not identify a single clinician or multidisciplinary team serving as a clearly documented post-discharge care coordinator responsible for the integrated plan, cross-provider record reconciliation, monitoring of response, family collateral, and escalation decisions.</w:t>
      </w:r>
    </w:p>
    <w:p>
      <w:r>
        <w:t>The concern is structural. A severely symptomatic patient should not have to function as the sole integrator of a complex psychiatric care network. The notes describe outpatient psychiatry, perinatal behavioral health, emergency care, McLean inpatient care, and Women &amp; Infants services. They also state that Tufts relied substantially on the patient's self-report and did not have a complete shared longitudinal record across those settings.</w:t>
      </w:r>
    </w:p>
    <w:p>
      <w:pPr>
        <w:pStyle w:val="Heading1"/>
      </w:pPr>
      <w:r>
        <w:t>6. System Redesign Opportunities</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 point</w:t>
            </w:r>
          </w:p>
        </w:tc>
        <w:tc>
          <w:tcPr>
            <w:tcW w:type="dxa" w:w="4968"/>
          </w:tcPr>
          <w:p>
            <w:r>
              <w:t>Future-state design</w:t>
            </w:r>
          </w:p>
        </w:tc>
      </w:tr>
      <w:tr>
        <w:tc>
          <w:tcPr>
            <w:tcW w:type="dxa" w:w="4968"/>
          </w:tcPr>
          <w:p>
            <w:r>
              <w:t>Early medication activation / insomnia</w:t>
            </w:r>
          </w:p>
        </w:tc>
        <w:tc>
          <w:tcPr>
            <w:tcW w:type="dxa" w:w="4968"/>
          </w:tcPr>
          <w:p>
            <w:r>
              <w:t>Trigger a direct check-in within days of a psychotropic start or increase; structured sleep, activation, and suicide-risk reassessment; predefined escalation thresholds.</w:t>
            </w:r>
          </w:p>
        </w:tc>
      </w:tr>
      <w:tr>
        <w:tc>
          <w:tcPr>
            <w:tcW w:type="dxa" w:w="4968"/>
          </w:tcPr>
          <w:p>
            <w:r>
              <w:t>Multiple prescribers</w:t>
            </w:r>
          </w:p>
        </w:tc>
        <w:tc>
          <w:tcPr>
            <w:tcW w:type="dxa" w:w="4968"/>
          </w:tcPr>
          <w:p>
            <w:r>
              <w:t>Require bidirectional records exchange and assign one clinician/team to reconcile diagnosis, medication list, doses, tapers, adverse effects, and next appointments.</w:t>
            </w:r>
          </w:p>
        </w:tc>
      </w:tr>
      <w:tr>
        <w:tc>
          <w:tcPr>
            <w:tcW w:type="dxa" w:w="4968"/>
          </w:tcPr>
          <w:p>
            <w:r>
              <w:t>Suicidal proximity / ER-level care</w:t>
            </w:r>
          </w:p>
        </w:tc>
        <w:tc>
          <w:tcPr>
            <w:tcW w:type="dxa" w:w="4968"/>
          </w:tcPr>
          <w:p>
            <w:r>
              <w:t>Update a written safety plan, schedule follow-up before discharge, obtain authorized collateral, address child-care/supervision, and confirm—not merely recommend—PHP/IOP or other higher-level care.</w:t>
            </w:r>
          </w:p>
        </w:tc>
      </w:tr>
      <w:tr>
        <w:tc>
          <w:tcPr>
            <w:tcW w:type="dxa" w:w="4968"/>
          </w:tcPr>
          <w:p>
            <w:r>
              <w:t>Psychiatric discharge</w:t>
            </w:r>
          </w:p>
        </w:tc>
        <w:tc>
          <w:tcPr>
            <w:tcW w:type="dxa" w:w="4968"/>
          </w:tcPr>
          <w:p>
            <w:r>
              <w:t>Use a warm handoff: direct clinician-to-clinician communication, complete medication reconciliation, confirmed appointments, and rapid post-discharge contact.</w:t>
            </w:r>
          </w:p>
        </w:tc>
      </w:tr>
      <w:tr>
        <w:tc>
          <w:tcPr>
            <w:tcW w:type="dxa" w:w="4968"/>
          </w:tcPr>
          <w:p>
            <w:r>
              <w:t>Persistent post-discharge symptoms</w:t>
            </w:r>
          </w:p>
        </w:tc>
        <w:tc>
          <w:tcPr>
            <w:tcW w:type="dxa" w:w="4968"/>
          </w:tcPr>
          <w:p>
            <w:r>
              <w:t>Use a step-up rule based on trajectory and functional recovery, not solely a single SI/HI denial; consider face-to-face reassessment, bridge clinic, PHP/IOP, mobile crisis, or another high-contact model.</w:t>
            </w:r>
          </w:p>
        </w:tc>
      </w:tr>
      <w:tr>
        <w:tc>
          <w:tcPr>
            <w:tcW w:type="dxa" w:w="4968"/>
          </w:tcPr>
          <w:p>
            <w:r>
              <w:t>Family/caregiver support</w:t>
            </w:r>
          </w:p>
        </w:tc>
        <w:tc>
          <w:tcPr>
            <w:tcW w:type="dxa" w:w="4968"/>
          </w:tcPr>
          <w:p>
            <w:r>
              <w:t>With consent, define who observes daily functioning, supports medication administration when needed, manages child-care coverage, contacts the care team, and knows same-day escalation triggers.</w:t>
            </w:r>
          </w:p>
        </w:tc>
      </w:tr>
      <w:tr>
        <w:tc>
          <w:tcPr>
            <w:tcW w:type="dxa" w:w="4968"/>
          </w:tcPr>
          <w:p>
            <w:r>
              <w:t>Medication management</w:t>
            </w:r>
          </w:p>
        </w:tc>
        <w:tc>
          <w:tcPr>
            <w:tcW w:type="dxa" w:w="4968"/>
          </w:tcPr>
          <w:p>
            <w:r>
              <w:t>Maintain one active medication ledger with indication, prescriber, dose, start/stop date, taper schedule, adherence status, pharmacy data, and adverse-effect watchpoints.</w:t>
            </w:r>
          </w:p>
        </w:tc>
      </w:tr>
    </w:tbl>
    <w:p>
      <w:pPr>
        <w:pStyle w:val="Heading1"/>
      </w:pPr>
      <w:r>
        <w:t>7. Proposed Closed-Loop Care Model</w:t>
      </w:r>
    </w:p>
    <w:p>
      <w:pPr>
        <w:pStyle w:val="ListNumber"/>
      </w:pPr>
      <w:r>
        <w:t>One accountable coordinator: a named psychiatrist, perinatal psychiatrist, transition clinician, or multidisciplinary team owns the integrated plan.</w:t>
      </w:r>
    </w:p>
    <w:p>
      <w:pPr>
        <w:pStyle w:val="ListNumber"/>
      </w:pPr>
      <w:r>
        <w:t>One shared longitudinal record: releases are executed and inpatient, ER, perinatal, therapy, primary-care, and medication information are reconciled.</w:t>
      </w:r>
    </w:p>
    <w:p>
      <w:pPr>
        <w:pStyle w:val="ListNumber"/>
      </w:pPr>
      <w:r>
        <w:t>One explicit acuity plan: the record states who sees the patient, how often, by what modality, and which changes automatically trigger same-day crisis assessment, PHP/IOP evaluation, emergency care, or admission.</w:t>
      </w:r>
    </w:p>
    <w:p>
      <w:pPr>
        <w:pStyle w:val="ListNumber"/>
      </w:pPr>
      <w:r>
        <w:t>One family-informed safety plan: when authorized, supporters receive operational roles, warning signs, medication expectations, child-care protections, and escalation instructions.</w:t>
      </w:r>
    </w:p>
    <w:p>
      <w:pPr>
        <w:pStyle w:val="ListNumber"/>
      </w:pPr>
      <w:r>
        <w:t>Closed-loop confirmation: a referral is not treated as complete until attendance, medication reconciliation, support activation, and clinical response are confirmed.</w:t>
      </w:r>
    </w:p>
    <w:p>
      <w:pPr>
        <w:pStyle w:val="Heading1"/>
      </w:pPr>
      <w:r>
        <w:t>8. Questions Requiring Primary-Record Resolution</w:t>
      </w:r>
    </w:p>
    <w:p>
      <w:pPr>
        <w:pStyle w:val="ListBullet"/>
      </w:pPr>
      <w:r>
        <w:t>What were the exact McLean admission and discharge dates, diagnoses, daily assessments, medication changes, and discharge criteria?</w:t>
      </w:r>
    </w:p>
    <w:p>
      <w:pPr>
        <w:pStyle w:val="ListBullet"/>
      </w:pPr>
      <w:r>
        <w:t>What did the McLean safety plan and medication-reconciliation documents require after discharge?</w:t>
      </w:r>
    </w:p>
    <w:p>
      <w:pPr>
        <w:pStyle w:val="ListBullet"/>
      </w:pPr>
      <w:r>
        <w:t>Was PHP or IOP formally referred, accepted, waitlisted, attended, declined, or unavailable?</w:t>
      </w:r>
    </w:p>
    <w:p>
      <w:pPr>
        <w:pStyle w:val="ListBullet"/>
      </w:pPr>
      <w:r>
        <w:t>Which clinicians communicated directly with one another, on what dates, and with what information?</w:t>
      </w:r>
    </w:p>
    <w:p>
      <w:pPr>
        <w:pStyle w:val="ListBullet"/>
      </w:pPr>
      <w:r>
        <w:t>What releases of information existed among Tufts, South Shore Perinatal Behavioral Health, McLean, Women &amp; Infants, ER clinicians, primary care, and family supports?</w:t>
      </w:r>
    </w:p>
    <w:p>
      <w:pPr>
        <w:pStyle w:val="ListBullet"/>
      </w:pPr>
      <w:r>
        <w:t>What was the complete medication administration history, as distinct from prescriptions written or bottles recovered?</w:t>
      </w:r>
    </w:p>
    <w:p>
      <w:pPr>
        <w:pStyle w:val="ListBullet"/>
      </w:pPr>
      <w:r>
        <w:t>What family collateral was documented, and was there a formal supervision or child-safety plan during medication transitions?</w:t>
      </w:r>
    </w:p>
    <w:p>
      <w:pPr>
        <w:pStyle w:val="ListBullet"/>
      </w:pPr>
      <w:r>
        <w:t>What specific symptoms or thresholds would have triggered same-day reassessment, PHP/IOP, crisis evaluation, or readmission?</w:t>
      </w:r>
    </w:p>
    <w:p>
      <w:pPr>
        <w:pStyle w:val="ListBullet"/>
      </w:pPr>
      <w:r>
        <w:t>How frequently was the patient directly observed after discharge, and which contacts were in person versus telehealth?</w:t>
      </w:r>
    </w:p>
    <w:p>
      <w:pPr>
        <w:pStyle w:val="Heading1"/>
      </w:pPr>
      <w:r>
        <w:t>Conclusion</w:t>
      </w:r>
    </w:p>
    <w:p>
      <w:r>
        <w:t>The most useful systems-level question is not whether a single clinician should have predicted a specific act. It is whether the care system recognized and responded to the cumulative trajectory: months of unresolved decline, severe sleep disruption, suicidal concern, emergency evaluation, psychiatric hospitalization, persistent post-discharge symptoms, and continuing medication changes.</w:t>
      </w:r>
    </w:p>
    <w:p>
      <w:r>
        <w:t>A safer future-state model would reduce dependence on the patient as the information bridge between fragmented providers. It would assign ownership, reconcile records and medications, require observable and appropriately frequent reassessment, operationalize authorized family support, and automatically increase treatment intensity when recovery after hospitalization is not clearly occurring.</w:t>
      </w:r>
    </w:p>
    <w:p>
      <w:pPr>
        <w:pStyle w:val="Heading1"/>
      </w:pPr>
      <w:r>
        <w:t>Source and Evidentiary Limitations</w:t>
      </w:r>
    </w:p>
    <w:p>
      <w:r>
        <w:t>This report was prepared from the user-supplied research compilation. That compilation references trial testimony, court documents, news reporting, transcripts, and clinical guidance, but this report does not independently authenticate every underlying citation. Statements about what the public record 'does not show' should be read literally: absence from the reviewed public material is not proof that a document, communication, or intervention did not exist. Any legal, clinical-standard-of-care, or causation conclusion should be reserved until the complete primary record is reviewed.</w:t>
      </w:r>
    </w:p>
    <w:p>
      <w:pPr>
        <w:pStyle w:val="Heading1"/>
      </w:pPr>
      <w:r>
        <w:t>9. Questions the Record Invites but Does Not Resolve</w:t>
      </w:r>
    </w:p>
    <w:p>
      <w:r>
        <w:t>Once the encounters are placed on a single longitudinal line, an additional inquiry emerges: who owned stabilization after the course had escalated to emergency evaluation and psychiatric hospitalization? The supplied material describes substantial care, but the public record summarized here does not make visible a single person or team responsible for determining whether the combined treatment was actually producing recovery.</w:t>
      </w:r>
    </w:p>
    <w:p>
      <w:pPr>
        <w:pStyle w:val="Heading2"/>
      </w:pPr>
      <w:r>
        <w:t>A focused examination of the care architecture would ask:</w:t>
      </w:r>
    </w:p>
    <w:p>
      <w:pPr>
        <w:pStyle w:val="ListBullet"/>
      </w:pPr>
      <w:r>
        <w:t>Who was the accountable post-McLean clinician or team?</w:t>
      </w:r>
    </w:p>
    <w:p>
      <w:pPr>
        <w:pStyle w:val="ListBullet"/>
      </w:pPr>
      <w:r>
        <w:t>Who received and reviewed the complete inpatient record?</w:t>
      </w:r>
    </w:p>
    <w:p>
      <w:pPr>
        <w:pStyle w:val="ListBullet"/>
      </w:pPr>
      <w:r>
        <w:t>Who reconciled every medication actually being taken, including starts, stops, tapers, overlapping prescriptions, and adverse effects?</w:t>
      </w:r>
    </w:p>
    <w:p>
      <w:pPr>
        <w:pStyle w:val="ListBullet"/>
      </w:pPr>
      <w:r>
        <w:t>Who communicated directly with McLean, Women &amp; Infants, the perinatal program, emergency clinicians, and the outpatient psychiatrist?</w:t>
      </w:r>
    </w:p>
    <w:p>
      <w:pPr>
        <w:pStyle w:val="ListBullet"/>
      </w:pPr>
      <w:r>
        <w:t>Who was monitoring longitudinal improvement rather than relying primarily on whether SI/HI was denied during a particular encounter?</w:t>
      </w:r>
    </w:p>
    <w:p>
      <w:pPr>
        <w:pStyle w:val="ListBullet"/>
      </w:pPr>
      <w:r>
        <w:t>How frequently was the patient directly observed in person after discharge?</w:t>
      </w:r>
    </w:p>
    <w:p>
      <w:pPr>
        <w:pStyle w:val="ListBullet"/>
      </w:pPr>
      <w:r>
        <w:t>What constituted treatment failure or inadequate post-discharge recovery?</w:t>
      </w:r>
    </w:p>
    <w:p>
      <w:pPr>
        <w:pStyle w:val="ListBullet"/>
      </w:pPr>
      <w:r>
        <w:t>Was PHP/IOP merely recommended, or was enrollment, attendance, refusal, waitlist status, or unavailability actually confirmed?</w:t>
      </w:r>
    </w:p>
    <w:p>
      <w:pPr>
        <w:pStyle w:val="ListBullet"/>
      </w:pPr>
      <w:r>
        <w:t>What was the contingency plan if the patient failed to stabilize?</w:t>
      </w:r>
    </w:p>
    <w:p>
      <w:pPr>
        <w:pStyle w:val="ListBullet"/>
      </w:pPr>
      <w:r>
        <w:t>Who collected collateral from family members, and was there an operational supervision or child-safety plan?</w:t>
      </w:r>
    </w:p>
    <w:p>
      <w:pPr>
        <w:pStyle w:val="ListBullet"/>
      </w:pPr>
      <w:r>
        <w:t>Who had responsibility for recognizing that the overall trajectory remained unresolved even if individual encounters did not show overt psychosis or disclosed SI/HI?</w:t>
      </w:r>
    </w:p>
    <w:p>
      <w:pPr>
        <w:pStyle w:val="Heading2"/>
      </w:pPr>
      <w:r>
        <w:t>Medication management as a systems question</w:t>
      </w:r>
    </w:p>
    <w:p>
      <w:r>
        <w:t>Counts such as “13 medications” or “30+ prescriptions” should not substitute for reconstructing the management architecture. The more probative questions are who prescribed each drug, what it was intended to treat, which clinicians knew about concurrent or recently discontinued drugs, what response was expected, how response was measured, and what happened when symptoms persisted. The supplied Tufts medication compilation also cautions that prescription documentation does not establish ingestion, adherence, duration, or concurrency.</w:t>
      </w:r>
    </w:p>
    <w:p>
      <w:pPr>
        <w:pStyle w:val="Heading2"/>
      </w:pPr>
      <w:r>
        <w:t>Lamotrigine and the stabilization interval</w:t>
      </w:r>
    </w:p>
    <w:p>
      <w:r>
        <w:t>The newly supplied medication compilation supports that lamotrigine 25 mg was documented by December 16, but that excerpt does not reliably establish the original prescription date, prescriber, adherence, or subsequent titration. The exact initiation date should therefore remain unresolved pending primary medication and pharmacy records.</w:t>
      </w:r>
    </w:p>
    <w:p>
      <w:r>
        <w:t>Because lamotrigine is a slow-titrated, longer-horizon mood-stabilization strategy, the systems question is broader than why it was selected: while clinicians waited for a slow-titrated strategy to become useful, what contemporaneous plan provided acute stabilization, sleep protection, direct observation, repeated reassessment, and escalation if deterioration continued?</w:t>
      </w:r>
    </w:p>
    <w:p>
      <w:pPr>
        <w:pStyle w:val="Heading2"/>
      </w:pPr>
      <w:r>
        <w:t>The broader distinction</w:t>
      </w:r>
    </w:p>
    <w:p>
      <w:r>
        <w:t>A care system can contain many appointments, prescriptions, referrals, and individually reasonable decisions while still lacking longitudinal ownership. The central future-system question is whether anyone was explicitly responsible for integrating those encounters and determining whether the patient was stabilizing over time. A reassuring finding during one appointment should be interpreted alongside the cumulative trajectory.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synthesis | Continuity of care and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