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F4D78"/>
          <w:sz w:val="48"/>
        </w:rPr>
        <w:t>ICARUS CASEWORK V1</w:t>
      </w:r>
    </w:p>
    <w:p>
      <w:pPr>
        <w:spacing w:after="320"/>
      </w:pPr>
      <w:r>
        <w:rPr>
          <w:rFonts w:ascii="Calibri" w:hAnsi="Calibri"/>
          <w:color w:val="667085"/>
          <w:sz w:val="28"/>
        </w:rPr>
        <w:t>Lindsay Clancy Longitudinal Case Reconstruction</w:t>
      </w:r>
    </w:p>
    <w:p>
      <w:pPr>
        <w:spacing w:after="40"/>
      </w:pPr>
      <w:r>
        <w:rPr>
          <w:rFonts w:ascii="Calibri" w:hAnsi="Calibri"/>
          <w:b/>
          <w:color w:val="1F4D78"/>
          <w:sz w:val="22"/>
        </w:rPr>
        <w:t xml:space="preserve">Document: </w:t>
      </w:r>
      <w:r>
        <w:rPr>
          <w:rFonts w:ascii="Calibri" w:hAnsi="Calibri"/>
          <w:color w:val="17212B"/>
          <w:sz w:val="22"/>
        </w:rPr>
        <w:t>Product and research specification</w:t>
      </w:r>
    </w:p>
    <w:p>
      <w:pPr>
        <w:spacing w:after="40"/>
      </w:pPr>
      <w:r>
        <w:rPr>
          <w:rFonts w:ascii="Calibri" w:hAnsi="Calibri"/>
          <w:b/>
          <w:color w:val="1F4D78"/>
          <w:sz w:val="22"/>
        </w:rPr>
        <w:t xml:space="preserve">Working title: </w:t>
      </w:r>
      <w:r>
        <w:rPr>
          <w:rFonts w:ascii="Calibri" w:hAnsi="Calibri"/>
          <w:color w:val="17212B"/>
          <w:sz w:val="22"/>
        </w:rPr>
        <w:t>The Woman Before the Defendant</w:t>
      </w:r>
    </w:p>
    <w:p>
      <w:pPr>
        <w:spacing w:after="40"/>
      </w:pPr>
      <w:r>
        <w:rPr>
          <w:rFonts w:ascii="Calibri" w:hAnsi="Calibri"/>
          <w:b/>
          <w:color w:val="1F4D78"/>
          <w:sz w:val="22"/>
        </w:rPr>
        <w:t xml:space="preserve">Version: </w:t>
      </w:r>
      <w:r>
        <w:rPr>
          <w:rFonts w:ascii="Calibri" w:hAnsi="Calibri"/>
          <w:color w:val="17212B"/>
          <w:sz w:val="22"/>
        </w:rPr>
        <w:t>0.1 — research prototype</w:t>
      </w:r>
    </w:p>
    <w:p>
      <w:pPr>
        <w:spacing w:after="40"/>
      </w:pPr>
      <w:r>
        <w:rPr>
          <w:rFonts w:ascii="Calibri" w:hAnsi="Calibri"/>
          <w:b/>
          <w:color w:val="1F4D78"/>
          <w:sz w:val="22"/>
        </w:rPr>
        <w:t xml:space="preserve">Case record date: </w:t>
      </w:r>
      <w:r>
        <w:rPr>
          <w:rFonts w:ascii="Calibri" w:hAnsi="Calibri"/>
          <w:color w:val="17212B"/>
          <w:sz w:val="22"/>
        </w:rPr>
        <w:t>Public record through August 13, 2026</w:t>
      </w:r>
    </w:p>
    <w:p>
      <w:pPr>
        <w:spacing w:after="40"/>
      </w:pPr>
      <w:r>
        <w:rPr>
          <w:rFonts w:ascii="Calibri" w:hAnsi="Calibri"/>
          <w:b/>
          <w:color w:val="1F4D78"/>
          <w:sz w:val="22"/>
        </w:rPr>
        <w:t xml:space="preserve">Initial user: </w:t>
      </w:r>
      <w:r>
        <w:rPr>
          <w:rFonts w:ascii="Calibri" w:hAnsi="Calibri"/>
          <w:color w:val="17212B"/>
          <w:sz w:val="22"/>
        </w:rPr>
        <w:t>True-crime researcher / long-form content creator</w:t>
      </w:r>
    </w:p>
    <w:p>
      <w:pPr>
        <w:spacing w:after="8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before="80" w:after="80"/>
            </w:pPr>
            <w:r>
              <w:rPr>
                <w:rFonts w:ascii="Calibri" w:hAnsi="Calibri"/>
                <w:b/>
                <w:color w:val="1F4D78"/>
                <w:sz w:val="18"/>
              </w:rPr>
              <w:t>GOVERNING PRINCIPLE</w:t>
              <w:br/>
            </w:r>
            <w:r>
              <w:rPr>
                <w:rFonts w:ascii="Calibri" w:hAnsi="Calibri"/>
                <w:b/>
                <w:color w:val="1F4D78"/>
                <w:sz w:val="24"/>
              </w:rPr>
              <w:t>Preserve her voice. Reconstruct the conditions. Test every account equally. Show the evidence and uncertainty.</w:t>
            </w:r>
          </w:p>
        </w:tc>
      </w:tr>
    </w:tbl>
    <w:p>
      <w:pPr>
        <w:spacing w:after="20"/>
      </w:pPr>
    </w:p>
    <w:p>
      <w:pPr>
        <w:pStyle w:val="Heading1"/>
      </w:pPr>
      <w:r>
        <w:t>1. Executive summary</w:t>
      </w:r>
    </w:p>
    <w:p>
      <w:pPr>
        <w:spacing w:after="120"/>
      </w:pPr>
      <w:r>
        <w:rPr>
          <w:rFonts w:ascii="Calibri" w:hAnsi="Calibri"/>
          <w:i w:val="0"/>
          <w:color w:val="17212B"/>
          <w:sz w:val="22"/>
        </w:rPr>
        <w:t>Icarus Casework V1 is a source-grounded case-reconstruction workspace for true-crime research. Its first demonstration case reconstructs Lindsay Clancy’s physical, mental, relational, household, and healthcare trajectory before January 24, 2023; the disputed incident window; and the formation of the subsequent legal and public narrative.</w:t>
      </w:r>
    </w:p>
    <w:p>
      <w:pPr>
        <w:spacing w:after="120"/>
      </w:pPr>
      <w:r>
        <w:rPr>
          <w:rFonts w:ascii="Calibri" w:hAnsi="Calibri"/>
          <w:i w:val="0"/>
          <w:color w:val="17212B"/>
          <w:sz w:val="22"/>
        </w:rPr>
        <w:t>The product separates source statements from verified events, preserves provenance and contradiction, and builds synchronized timelines from journals, medical information introduced in the public record, communications, testimony, household activity, physical evidence, and trial reporting. No person or institution becomes the authoritative narrator by role alone.</w:t>
      </w:r>
    </w:p>
    <w:p>
      <w:pPr>
        <w:spacing w:after="120"/>
      </w:pPr>
      <w:r>
        <w:rPr>
          <w:rFonts w:ascii="Calibri" w:hAnsi="Calibri"/>
          <w:i w:val="0"/>
          <w:color w:val="17212B"/>
          <w:sz w:val="22"/>
        </w:rPr>
        <w:t>The parties reportedly do not dispute that Lindsay caused the children’s deaths. The central legal dispute is criminal responsibility. V1 therefore does not need to manufacture an alternative perpetrator to test whether the prevailing account is complete. It examines what conditions had to exist for the incident and the court’s competing interpretations to become possible. [S1]</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CE8E8"/>
          </w:tcPr>
          <w:p>
            <w:pPr>
              <w:spacing w:before="80" w:after="80"/>
            </w:pPr>
            <w:r>
              <w:rPr>
                <w:rFonts w:ascii="Calibri" w:hAnsi="Calibri"/>
                <w:b/>
                <w:color w:val="9B1C1C"/>
                <w:sz w:val="18"/>
              </w:rPr>
              <w:t>CENTRAL QUESTION</w:t>
              <w:br/>
            </w:r>
            <w:r>
              <w:rPr>
                <w:rFonts w:ascii="Calibri" w:hAnsi="Calibri"/>
                <w:b/>
                <w:color w:val="9B1C1C"/>
                <w:sz w:val="24"/>
              </w:rPr>
              <w:t>What had to happen to this woman—in her body, brain, household, and healthcare system—for January 24 to become possible?</w:t>
            </w:r>
          </w:p>
        </w:tc>
      </w:tr>
    </w:tbl>
    <w:p>
      <w:pPr>
        <w:spacing w:after="20"/>
      </w:pPr>
    </w:p>
    <w:p>
      <w:pPr>
        <w:pStyle w:val="Heading1"/>
      </w:pPr>
      <w:r>
        <w:t>2. Case thesis</w:t>
      </w:r>
    </w:p>
    <w:p>
      <w:pPr>
        <w:spacing w:after="120"/>
      </w:pPr>
      <w:r>
        <w:rPr>
          <w:rFonts w:ascii="Calibri" w:hAnsi="Calibri"/>
          <w:i w:val="0"/>
          <w:color w:val="17212B"/>
          <w:sz w:val="22"/>
        </w:rPr>
        <w:t>Before Lindsay Clancy became the defendant in a murder trial, she spent months documenting that she was becoming unable to function, repeatedly seeking help, cycling through psychiatric treatment, and continuing to carry responsibility for three young children. Icarus reconstructs that period from her journal, medical record, communications, witness testimony, household activity, physical evidence, and the trial record—without allowing any single person or institution to become the narrator by default.</w:t>
      </w:r>
    </w:p>
    <w:p>
      <w:pPr>
        <w:spacing w:after="120"/>
      </w:pPr>
      <w:r>
        <w:rPr>
          <w:rFonts w:ascii="Calibri" w:hAnsi="Calibri"/>
          <w:i w:val="0"/>
          <w:color w:val="17212B"/>
          <w:sz w:val="22"/>
        </w:rPr>
        <w:t>Her physical survival is also extraordinary. Public trial reporting describes a core temperature around 82.1°F, unstable thoracic-spine fractures, severe injuries requiring intubation, and resulting paralysis. While intubated, she communicated by writing on a whiteboard. These are working claims for V1 and must be verified against primary trial testimony, transcripts, or admitted exhibits before being promoted to verified case facts. [S2][S3]</w:t>
      </w:r>
    </w:p>
    <w:p>
      <w:pPr>
        <w:spacing w:after="120"/>
      </w:pPr>
      <w:r>
        <w:rPr>
          <w:rFonts w:ascii="Calibri" w:hAnsi="Calibri"/>
          <w:i w:val="0"/>
          <w:color w:val="17212B"/>
          <w:sz w:val="22"/>
        </w:rPr>
        <w:t>The deeper story is that the court is examining whether she understood reality during a catastrophic interval while the full system in which her reality deteriorated remains incompletely reconstructed.</w:t>
      </w:r>
    </w:p>
    <w:p>
      <w:pPr>
        <w:pStyle w:val="Heading1"/>
      </w:pPr>
      <w:r>
        <w:t>3. Product objective and V1 boundary</w:t>
      </w:r>
    </w:p>
    <w:p>
      <w:pPr>
        <w:pStyle w:val="Heading2"/>
      </w:pPr>
      <w:r>
        <w:t>3.1 Objective</w:t>
      </w:r>
    </w:p>
    <w:p>
      <w:pPr>
        <w:spacing w:after="120"/>
      </w:pPr>
      <w:r>
        <w:rPr>
          <w:rFonts w:ascii="Calibri" w:hAnsi="Calibri"/>
          <w:i w:val="0"/>
          <w:color w:val="17212B"/>
          <w:sz w:val="22"/>
        </w:rPr>
        <w:t>Create a reproducible, source-linked reconstruction that allows a researcher to see what was reported, what the available evidence supports, where accounts conflict, what conditions each interpretation requires, and what remains unknown.</w:t>
      </w:r>
    </w:p>
    <w:p>
      <w:pPr>
        <w:pStyle w:val="Heading2"/>
      </w:pPr>
      <w:r>
        <w:t>3.2 Initial product boundary</w:t>
      </w:r>
    </w:p>
    <w:p>
      <w:pPr>
        <w:pStyle w:val="ListBullet"/>
        <w:spacing w:after="80" w:line="280" w:lineRule="auto"/>
      </w:pPr>
      <w:r>
        <w:rPr>
          <w:rFonts w:ascii="Calibri" w:hAnsi="Calibri"/>
          <w:color w:val="17212B"/>
          <w:sz w:val="22"/>
        </w:rPr>
        <w:t>Use public records, public trial coverage, authorized uploads, and creator-supplied research materials.</w:t>
      </w:r>
    </w:p>
    <w:p>
      <w:pPr>
        <w:pStyle w:val="ListBullet"/>
        <w:spacing w:after="80" w:line="280" w:lineRule="auto"/>
      </w:pPr>
      <w:r>
        <w:rPr>
          <w:rFonts w:ascii="Calibri" w:hAnsi="Calibri"/>
          <w:color w:val="17212B"/>
          <w:sz w:val="22"/>
        </w:rPr>
        <w:t>Support journal, transcript, PDF, audio, video, screenshot, spreadsheet, call-log, calendar, and location-data ingestion.</w:t>
      </w:r>
    </w:p>
    <w:p>
      <w:pPr>
        <w:pStyle w:val="ListBullet"/>
        <w:spacing w:after="80" w:line="280" w:lineRule="auto"/>
      </w:pPr>
      <w:r>
        <w:rPr>
          <w:rFonts w:ascii="Calibri" w:hAnsi="Calibri"/>
          <w:color w:val="17212B"/>
          <w:sz w:val="22"/>
        </w:rPr>
        <w:t>Produce research and storytelling outputs for a creator, not legal conclusions or clinical decisions.</w:t>
      </w:r>
    </w:p>
    <w:p>
      <w:pPr>
        <w:pStyle w:val="ListBullet"/>
        <w:spacing w:after="80" w:line="280" w:lineRule="auto"/>
      </w:pPr>
      <w:r>
        <w:rPr>
          <w:rFonts w:ascii="Calibri" w:hAnsi="Calibri"/>
          <w:color w:val="17212B"/>
          <w:sz w:val="22"/>
        </w:rPr>
        <w:t>Version the reconstruction as new trial testimony and exhibits enter the public record.</w:t>
      </w:r>
    </w:p>
    <w:p>
      <w:pPr>
        <w:pStyle w:val="Heading2"/>
      </w:pPr>
      <w:r>
        <w:t>3.3 Explicit non-goals</w:t>
      </w:r>
    </w:p>
    <w:p>
      <w:pPr>
        <w:pStyle w:val="ListBullet"/>
        <w:spacing w:after="80" w:line="280" w:lineRule="auto"/>
      </w:pPr>
      <w:r>
        <w:rPr>
          <w:rFonts w:ascii="Calibri" w:hAnsi="Calibri"/>
          <w:color w:val="17212B"/>
          <w:sz w:val="22"/>
        </w:rPr>
        <w:t>Determine guilt, innocence, legal insanity, diagnosis, or witness truthfulness.</w:t>
      </w:r>
    </w:p>
    <w:p>
      <w:pPr>
        <w:pStyle w:val="ListBullet"/>
        <w:spacing w:after="80" w:line="280" w:lineRule="auto"/>
      </w:pPr>
      <w:r>
        <w:rPr>
          <w:rFonts w:ascii="Calibri" w:hAnsi="Calibri"/>
          <w:color w:val="17212B"/>
          <w:sz w:val="22"/>
        </w:rPr>
        <w:t>Assign a credibility score based on relationship, title, profession, or institutional status.</w:t>
      </w:r>
    </w:p>
    <w:p>
      <w:pPr>
        <w:pStyle w:val="ListBullet"/>
        <w:spacing w:after="80" w:line="280" w:lineRule="auto"/>
      </w:pPr>
      <w:r>
        <w:rPr>
          <w:rFonts w:ascii="Calibri" w:hAnsi="Calibri"/>
          <w:color w:val="17212B"/>
          <w:sz w:val="22"/>
        </w:rPr>
        <w:t>Present simulation frequency as the probability that a hypothesis is true.</w:t>
      </w:r>
    </w:p>
    <w:p>
      <w:pPr>
        <w:pStyle w:val="ListBullet"/>
        <w:spacing w:after="80" w:line="280" w:lineRule="auto"/>
      </w:pPr>
      <w:r>
        <w:rPr>
          <w:rFonts w:ascii="Calibri" w:hAnsi="Calibri"/>
          <w:color w:val="17212B"/>
          <w:sz w:val="22"/>
        </w:rPr>
        <w:t>Claim courtroom admissibility, HIPAA compliance, law-enforcement readiness, or forensic validation in V1.</w:t>
      </w:r>
    </w:p>
    <w:p>
      <w:pPr>
        <w:pStyle w:val="ListBullet"/>
        <w:spacing w:after="80" w:line="280" w:lineRule="auto"/>
      </w:pPr>
      <w:r>
        <w:rPr>
          <w:rFonts w:ascii="Calibri" w:hAnsi="Calibri"/>
          <w:color w:val="17212B"/>
          <w:sz w:val="22"/>
        </w:rPr>
        <w:t>Infer motive where the record supports only conduct, sequence, or effect.</w:t>
      </w:r>
    </w:p>
    <w:p>
      <w:pPr>
        <w:pStyle w:val="Heading1"/>
      </w:pPr>
      <w:r>
        <w:t>4. Evidence doctrine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before="80" w:after="80"/>
            </w:pPr>
            <w:r>
              <w:rPr>
                <w:rFonts w:ascii="Calibri" w:hAnsi="Calibri"/>
                <w:b/>
                <w:color w:val="1F4D78"/>
                <w:sz w:val="18"/>
              </w:rPr>
              <w:t>SOURCE NEUTRALITY</w:t>
              <w:br/>
            </w:r>
            <w:r>
              <w:rPr>
                <w:rFonts w:ascii="Calibri" w:hAnsi="Calibri"/>
                <w:b/>
                <w:color w:val="1F4D78"/>
                <w:sz w:val="24"/>
              </w:rPr>
              <w:t>Mother, doctor, friend, husband, police officer, clinician, journalist, and self are source roles—and nothing more.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9"/>
              </w:rPr>
              <w:t>Doctrine</w:t>
            </w:r>
          </w:p>
        </w:tc>
        <w:tc>
          <w:tcPr>
            <w:tcW w:type="dxa" w:w="7160"/>
            <w:shd w:fill="F2F4F7"/>
            <w:vAlign w:val="center"/>
            <w:tcMar>
              <w:top w:w="80" w:type="dxa"/>
              <w:start w:w="120" w:type="dxa"/>
              <w:bottom w:w="80" w:type="dxa"/>
              <w:end w:w="120" w:type="dxa"/>
            </w:tcMar>
          </w:tcPr>
          <w:p>
            <w:pPr>
              <w:spacing w:after="0"/>
            </w:pPr>
            <w:r>
              <w:rPr>
                <w:rFonts w:ascii="Calibri" w:hAnsi="Calibri"/>
                <w:b/>
                <w:color w:val="1F4D78"/>
                <w:sz w:val="19"/>
              </w:rPr>
              <w:t>Requirement</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Source ≠ fact</w:t>
            </w:r>
          </w:p>
        </w:tc>
        <w:tc>
          <w:tcPr>
            <w:tcW w:type="dxa" w:w="7160"/>
            <w:vAlign w:val="center"/>
            <w:tcMar>
              <w:top w:w="80" w:type="dxa"/>
              <w:start w:w="120" w:type="dxa"/>
              <w:bottom w:w="80" w:type="dxa"/>
              <w:end w:w="120" w:type="dxa"/>
            </w:tcMar>
          </w:tcPr>
          <w:p>
            <w:pPr>
              <w:spacing w:after="0"/>
            </w:pPr>
            <w:r>
              <w:rPr>
                <w:rFonts w:ascii="Calibri" w:hAnsi="Calibri"/>
                <w:color w:val="17212B"/>
                <w:sz w:val="19"/>
              </w:rPr>
              <w:t>A statement creates an attributed claim. It does not automatically create a verified event.</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Role ≠ credibility</w:t>
            </w:r>
          </w:p>
        </w:tc>
        <w:tc>
          <w:tcPr>
            <w:tcW w:type="dxa" w:w="7160"/>
            <w:vAlign w:val="center"/>
            <w:tcMar>
              <w:top w:w="80" w:type="dxa"/>
              <w:start w:w="120" w:type="dxa"/>
              <w:bottom w:w="80" w:type="dxa"/>
              <w:end w:w="120" w:type="dxa"/>
            </w:tcMar>
          </w:tcPr>
          <w:p>
            <w:pPr>
              <w:spacing w:after="0"/>
            </w:pPr>
            <w:r>
              <w:rPr>
                <w:rFonts w:ascii="Calibri" w:hAnsi="Calibri"/>
                <w:color w:val="17212B"/>
                <w:sz w:val="19"/>
              </w:rPr>
              <w:t>Relationship and professional title do not establish motive, accuracy, neutrality, or benevolence.</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Originals remain immutable</w:t>
            </w:r>
          </w:p>
        </w:tc>
        <w:tc>
          <w:tcPr>
            <w:tcW w:type="dxa" w:w="7160"/>
            <w:vAlign w:val="center"/>
            <w:tcMar>
              <w:top w:w="80" w:type="dxa"/>
              <w:start w:w="120" w:type="dxa"/>
              <w:bottom w:w="80" w:type="dxa"/>
              <w:end w:w="120" w:type="dxa"/>
            </w:tcMar>
          </w:tcPr>
          <w:p>
            <w:pPr>
              <w:spacing w:after="0"/>
            </w:pPr>
            <w:r>
              <w:rPr>
                <w:rFonts w:ascii="Calibri" w:hAnsi="Calibri"/>
                <w:color w:val="17212B"/>
                <w:sz w:val="19"/>
              </w:rPr>
              <w:t>Structured extraction occurs in a separate layer; the source file, wording, and timestamp remain available.</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Observation ≠ interpretation</w:t>
            </w:r>
          </w:p>
        </w:tc>
        <w:tc>
          <w:tcPr>
            <w:tcW w:type="dxa" w:w="7160"/>
            <w:vAlign w:val="center"/>
            <w:tcMar>
              <w:top w:w="80" w:type="dxa"/>
              <w:start w:w="120" w:type="dxa"/>
              <w:bottom w:w="80" w:type="dxa"/>
              <w:end w:w="120" w:type="dxa"/>
            </w:tcMar>
          </w:tcPr>
          <w:p>
            <w:pPr>
              <w:spacing w:after="0"/>
            </w:pPr>
            <w:r>
              <w:rPr>
                <w:rFonts w:ascii="Calibri" w:hAnsi="Calibri"/>
                <w:color w:val="17212B"/>
                <w:sz w:val="19"/>
              </w:rPr>
              <w:t>Exact conduct and language are retained separately from diagnostic, moral, or legal characterization.</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Repetition ≠ corroboration</w:t>
            </w:r>
          </w:p>
        </w:tc>
        <w:tc>
          <w:tcPr>
            <w:tcW w:type="dxa" w:w="7160"/>
            <w:vAlign w:val="center"/>
            <w:tcMar>
              <w:top w:w="80" w:type="dxa"/>
              <w:start w:w="120" w:type="dxa"/>
              <w:bottom w:w="80" w:type="dxa"/>
              <w:end w:w="120" w:type="dxa"/>
            </w:tcMar>
          </w:tcPr>
          <w:p>
            <w:pPr>
              <w:spacing w:after="0"/>
            </w:pPr>
            <w:r>
              <w:rPr>
                <w:rFonts w:ascii="Calibri" w:hAnsi="Calibri"/>
                <w:color w:val="17212B"/>
                <w:sz w:val="19"/>
              </w:rPr>
              <w:t>Claim lineage identifies when multiple reports originate from one narrator.</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Contradiction is data</w:t>
            </w:r>
          </w:p>
        </w:tc>
        <w:tc>
          <w:tcPr>
            <w:tcW w:type="dxa" w:w="7160"/>
            <w:vAlign w:val="center"/>
            <w:tcMar>
              <w:top w:w="80" w:type="dxa"/>
              <w:start w:w="120" w:type="dxa"/>
              <w:bottom w:w="80" w:type="dxa"/>
              <w:end w:w="120" w:type="dxa"/>
            </w:tcMar>
          </w:tcPr>
          <w:p>
            <w:pPr>
              <w:spacing w:after="0"/>
            </w:pPr>
            <w:r>
              <w:rPr>
                <w:rFonts w:ascii="Calibri" w:hAnsi="Calibri"/>
                <w:color w:val="17212B"/>
                <w:sz w:val="19"/>
              </w:rPr>
              <w:t>Conflicting accounts remain visible and are not silently reconciled.</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Uncertainty is explicit</w:t>
            </w:r>
          </w:p>
        </w:tc>
        <w:tc>
          <w:tcPr>
            <w:tcW w:type="dxa" w:w="7160"/>
            <w:vAlign w:val="center"/>
            <w:tcMar>
              <w:top w:w="80" w:type="dxa"/>
              <w:start w:w="120" w:type="dxa"/>
              <w:bottom w:w="80" w:type="dxa"/>
              <w:end w:w="120" w:type="dxa"/>
            </w:tcMar>
          </w:tcPr>
          <w:p>
            <w:pPr>
              <w:spacing w:after="0"/>
            </w:pPr>
            <w:r>
              <w:rPr>
                <w:rFonts w:ascii="Calibri" w:hAnsi="Calibri"/>
                <w:color w:val="17212B"/>
                <w:sz w:val="19"/>
              </w:rPr>
              <w:t>Exact, approximate, interval, relative, and unknown time are represented differently.</w:t>
            </w:r>
          </w:p>
        </w:tc>
      </w:tr>
      <w:tr>
        <w:tc>
          <w:tcPr>
            <w:tcW w:type="dxa" w:w="2200"/>
            <w:vAlign w:val="center"/>
            <w:tcMar>
              <w:top w:w="80" w:type="dxa"/>
              <w:start w:w="120" w:type="dxa"/>
              <w:bottom w:w="80" w:type="dxa"/>
              <w:end w:w="120" w:type="dxa"/>
            </w:tcMar>
          </w:tcPr>
          <w:p>
            <w:pPr>
              <w:spacing w:after="0"/>
            </w:pPr>
            <w:r>
              <w:rPr>
                <w:rFonts w:ascii="Calibri" w:hAnsi="Calibri"/>
                <w:color w:val="17212B"/>
                <w:sz w:val="19"/>
              </w:rPr>
              <w:t>Inference is reproducible</w:t>
            </w:r>
          </w:p>
        </w:tc>
        <w:tc>
          <w:tcPr>
            <w:tcW w:type="dxa" w:w="7160"/>
            <w:vAlign w:val="center"/>
            <w:tcMar>
              <w:top w:w="80" w:type="dxa"/>
              <w:start w:w="120" w:type="dxa"/>
              <w:bottom w:w="80" w:type="dxa"/>
              <w:end w:w="120" w:type="dxa"/>
            </w:tcMar>
          </w:tcPr>
          <w:p>
            <w:pPr>
              <w:spacing w:after="0"/>
            </w:pPr>
            <w:r>
              <w:rPr>
                <w:rFonts w:ascii="Calibri" w:hAnsi="Calibri"/>
                <w:color w:val="17212B"/>
                <w:sz w:val="19"/>
              </w:rPr>
              <w:t>Every generated pattern or scenario links back to inputs, assumptions, model version, and source passages.</w:t>
            </w:r>
          </w:p>
        </w:tc>
      </w:tr>
    </w:tbl>
    <w:p>
      <w:pPr>
        <w:spacing w:after="20"/>
      </w:pPr>
    </w:p>
    <w:p>
      <w:pPr>
        <w:pStyle w:val="Heading1"/>
      </w:pPr>
      <w:r>
        <w:t>5. Storytelling spine</w:t>
      </w:r>
    </w:p>
    <w:p>
      <w:pPr>
        <w:spacing w:after="60"/>
      </w:pPr>
      <w:r>
        <w:rPr>
          <w:rFonts w:ascii="Calibri" w:hAnsi="Calibri"/>
          <w:b/>
          <w:color w:val="17212B"/>
          <w:sz w:val="22"/>
        </w:rPr>
        <w:t>The woman.</w:t>
      </w:r>
      <w:r>
        <w:rPr>
          <w:rFonts w:ascii="Calibri" w:hAnsi="Calibri"/>
          <w:i w:val="0"/>
          <w:color w:val="17212B"/>
          <w:sz w:val="22"/>
        </w:rPr>
        <w:t xml:space="preserve"> Establish her work, relationships, parenting, pregnancy, birth, and prior physical and mental baseline.</w:t>
      </w:r>
    </w:p>
    <w:p>
      <w:pPr>
        <w:spacing w:after="60"/>
      </w:pPr>
      <w:r>
        <w:rPr>
          <w:rFonts w:ascii="Calibri" w:hAnsi="Calibri"/>
          <w:b/>
          <w:color w:val="17212B"/>
          <w:sz w:val="22"/>
        </w:rPr>
        <w:t>The deterioration.</w:t>
      </w:r>
      <w:r>
        <w:rPr>
          <w:rFonts w:ascii="Calibri" w:hAnsi="Calibri"/>
          <w:i w:val="0"/>
          <w:color w:val="17212B"/>
          <w:sz w:val="22"/>
        </w:rPr>
        <w:t xml:space="preserve"> Layer her dated words against sleep, medications, care contacts, cognition, suicidality, observation, and household demands.</w:t>
      </w:r>
    </w:p>
    <w:p>
      <w:pPr>
        <w:spacing w:after="60"/>
      </w:pPr>
      <w:r>
        <w:rPr>
          <w:rFonts w:ascii="Calibri" w:hAnsi="Calibri"/>
          <w:b/>
          <w:color w:val="17212B"/>
          <w:sz w:val="22"/>
        </w:rPr>
        <w:t>The system around her.</w:t>
      </w:r>
      <w:r>
        <w:rPr>
          <w:rFonts w:ascii="Calibri" w:hAnsi="Calibri"/>
          <w:i w:val="0"/>
          <w:color w:val="17212B"/>
          <w:sz w:val="22"/>
        </w:rPr>
        <w:t xml:space="preserve"> Show who knew what, where clinical handoffs failed, what support existed, and what responsibilities remained hers.</w:t>
      </w:r>
    </w:p>
    <w:p>
      <w:pPr>
        <w:spacing w:after="60"/>
      </w:pPr>
      <w:r>
        <w:rPr>
          <w:rFonts w:ascii="Calibri" w:hAnsi="Calibri"/>
          <w:b/>
          <w:color w:val="17212B"/>
          <w:sz w:val="22"/>
        </w:rPr>
        <w:t>The incident window.</w:t>
      </w:r>
      <w:r>
        <w:rPr>
          <w:rFonts w:ascii="Calibri" w:hAnsi="Calibri"/>
          <w:i w:val="0"/>
          <w:color w:val="17212B"/>
          <w:sz w:val="22"/>
        </w:rPr>
        <w:t xml:space="preserve"> Constrain the sequence using time, calls, location, physical and medical evidence, and explicit uncertainty.</w:t>
      </w:r>
    </w:p>
    <w:p>
      <w:pPr>
        <w:spacing w:after="60"/>
      </w:pPr>
      <w:r>
        <w:rPr>
          <w:rFonts w:ascii="Calibri" w:hAnsi="Calibri"/>
          <w:b/>
          <w:color w:val="17212B"/>
          <w:sz w:val="22"/>
        </w:rPr>
        <w:t>The narrative capture.</w:t>
      </w:r>
      <w:r>
        <w:rPr>
          <w:rFonts w:ascii="Calibri" w:hAnsi="Calibri"/>
          <w:i w:val="0"/>
          <w:color w:val="17212B"/>
          <w:sz w:val="22"/>
        </w:rPr>
        <w:t xml:space="preserve"> Trace how attributed statements became assumptions, repeated facts, and competing legal theories.</w:t>
      </w:r>
    </w:p>
    <w:p>
      <w:pPr>
        <w:spacing w:after="60"/>
      </w:pPr>
      <w:r>
        <w:rPr>
          <w:rFonts w:ascii="Calibri" w:hAnsi="Calibri"/>
          <w:b/>
          <w:color w:val="17212B"/>
          <w:sz w:val="22"/>
        </w:rPr>
        <w:t>The postpartum story.</w:t>
      </w:r>
      <w:r>
        <w:rPr>
          <w:rFonts w:ascii="Calibri" w:hAnsi="Calibri"/>
          <w:i w:val="0"/>
          <w:color w:val="17212B"/>
          <w:sz w:val="22"/>
        </w:rPr>
        <w:t xml:space="preserve"> Show how maternal distress is individualized while care burden, sleep, relationships, and treatment fragmentation remain under-measured.</w:t>
      </w:r>
    </w:p>
    <w:p>
      <w:r>
        <w:br w:type="page"/>
      </w:r>
    </w:p>
    <w:p>
      <w:pPr>
        <w:pStyle w:val="Heading1"/>
      </w:pPr>
      <w:r>
        <w:t>6. Reconstruction model</w:t>
      </w:r>
    </w:p>
    <w:p>
      <w:pPr>
        <w:pStyle w:val="Heading2"/>
      </w:pPr>
      <w:r>
        <w:t>6.1 Primary objects</w:t>
      </w:r>
    </w:p>
    <w:tbl>
      <w:tblPr>
        <w:tblStyle w:val="TableGrid"/>
        <w:tblW w:type="dxa" w:w="9360"/>
        <w:jc w:val="left"/>
        <w:tblLayout w:type="fixed"/>
        <w:tblLook w:firstColumn="1" w:firstRow="1" w:lastColumn="0" w:lastRow="0" w:noHBand="0" w:noVBand="1" w:val="04A0"/>
        <w:tblInd w:w="120" w:type="dxa"/>
      </w:tblPr>
      <w:tblGrid>
        <w:gridCol w:w="1400"/>
        <w:gridCol w:w="2950"/>
        <w:gridCol w:w="5010"/>
      </w:tblGrid>
      <w:tr>
        <w:trPr>
          <w:tblHeader w:val="true"/>
        </w:trPr>
        <w:tc>
          <w:tcPr>
            <w:tcW w:type="dxa" w:w="1400"/>
            <w:shd w:fill="F2F4F7"/>
            <w:vAlign w:val="center"/>
            <w:tcMar>
              <w:top w:w="80" w:type="dxa"/>
              <w:start w:w="120" w:type="dxa"/>
              <w:bottom w:w="80" w:type="dxa"/>
              <w:end w:w="120" w:type="dxa"/>
            </w:tcMar>
          </w:tcPr>
          <w:p>
            <w:pPr>
              <w:spacing w:after="0"/>
            </w:pPr>
            <w:r>
              <w:rPr>
                <w:rFonts w:ascii="Calibri" w:hAnsi="Calibri"/>
                <w:b/>
                <w:color w:val="1F4D78"/>
                <w:sz w:val="19"/>
              </w:rPr>
              <w:t>Object</w:t>
            </w:r>
          </w:p>
        </w:tc>
        <w:tc>
          <w:tcPr>
            <w:tcW w:type="dxa" w:w="2950"/>
            <w:shd w:fill="F2F4F7"/>
            <w:vAlign w:val="center"/>
            <w:tcMar>
              <w:top w:w="80" w:type="dxa"/>
              <w:start w:w="120" w:type="dxa"/>
              <w:bottom w:w="80" w:type="dxa"/>
              <w:end w:w="120" w:type="dxa"/>
            </w:tcMar>
          </w:tcPr>
          <w:p>
            <w:pPr>
              <w:spacing w:after="0"/>
            </w:pPr>
            <w:r>
              <w:rPr>
                <w:rFonts w:ascii="Calibri" w:hAnsi="Calibri"/>
                <w:b/>
                <w:color w:val="1F4D78"/>
                <w:sz w:val="19"/>
              </w:rPr>
              <w:t>Purpose</w:t>
            </w:r>
          </w:p>
        </w:tc>
        <w:tc>
          <w:tcPr>
            <w:tcW w:type="dxa" w:w="5010"/>
            <w:shd w:fill="F2F4F7"/>
            <w:vAlign w:val="center"/>
            <w:tcMar>
              <w:top w:w="80" w:type="dxa"/>
              <w:start w:w="120" w:type="dxa"/>
              <w:bottom w:w="80" w:type="dxa"/>
              <w:end w:w="120" w:type="dxa"/>
            </w:tcMar>
          </w:tcPr>
          <w:p>
            <w:pPr>
              <w:spacing w:after="0"/>
            </w:pPr>
            <w:r>
              <w:rPr>
                <w:rFonts w:ascii="Calibri" w:hAnsi="Calibri"/>
                <w:b/>
                <w:color w:val="1F4D78"/>
                <w:sz w:val="19"/>
              </w:rPr>
              <w:t>Minimum fields</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Source</w:t>
            </w:r>
          </w:p>
        </w:tc>
        <w:tc>
          <w:tcPr>
            <w:tcW w:type="dxa" w:w="2950"/>
            <w:vAlign w:val="center"/>
            <w:tcMar>
              <w:top w:w="80" w:type="dxa"/>
              <w:start w:w="120" w:type="dxa"/>
              <w:bottom w:w="80" w:type="dxa"/>
              <w:end w:w="120" w:type="dxa"/>
            </w:tcMar>
          </w:tcPr>
          <w:p>
            <w:pPr>
              <w:spacing w:after="0"/>
            </w:pPr>
            <w:r>
              <w:rPr>
                <w:rFonts w:ascii="Calibri" w:hAnsi="Calibri"/>
                <w:color w:val="17212B"/>
                <w:sz w:val="19"/>
              </w:rPr>
              <w:t>Original document, recording, export, testimony, or artifact</w:t>
            </w:r>
          </w:p>
        </w:tc>
        <w:tc>
          <w:tcPr>
            <w:tcW w:type="dxa" w:w="5010"/>
            <w:vAlign w:val="center"/>
            <w:tcMar>
              <w:top w:w="80" w:type="dxa"/>
              <w:start w:w="120" w:type="dxa"/>
              <w:bottom w:w="80" w:type="dxa"/>
              <w:end w:w="120" w:type="dxa"/>
            </w:tcMar>
          </w:tcPr>
          <w:p>
            <w:pPr>
              <w:spacing w:after="0"/>
            </w:pPr>
            <w:r>
              <w:rPr>
                <w:rFonts w:ascii="Calibri" w:hAnsi="Calibri"/>
                <w:color w:val="17212B"/>
                <w:sz w:val="19"/>
              </w:rPr>
              <w:t>Identity, custodian/publisher, source type, dates, hash, access status</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Claim</w:t>
            </w:r>
          </w:p>
        </w:tc>
        <w:tc>
          <w:tcPr>
            <w:tcW w:type="dxa" w:w="2950"/>
            <w:vAlign w:val="center"/>
            <w:tcMar>
              <w:top w:w="80" w:type="dxa"/>
              <w:start w:w="120" w:type="dxa"/>
              <w:bottom w:w="80" w:type="dxa"/>
              <w:end w:w="120" w:type="dxa"/>
            </w:tcMar>
          </w:tcPr>
          <w:p>
            <w:pPr>
              <w:spacing w:after="0"/>
            </w:pPr>
            <w:r>
              <w:rPr>
                <w:rFonts w:ascii="Calibri" w:hAnsi="Calibri"/>
                <w:color w:val="17212B"/>
                <w:sz w:val="19"/>
              </w:rPr>
              <w:t>What a source asserts</w:t>
            </w:r>
          </w:p>
        </w:tc>
        <w:tc>
          <w:tcPr>
            <w:tcW w:type="dxa" w:w="5010"/>
            <w:vAlign w:val="center"/>
            <w:tcMar>
              <w:top w:w="80" w:type="dxa"/>
              <w:start w:w="120" w:type="dxa"/>
              <w:bottom w:w="80" w:type="dxa"/>
              <w:end w:w="120" w:type="dxa"/>
            </w:tcMar>
          </w:tcPr>
          <w:p>
            <w:pPr>
              <w:spacing w:after="0"/>
            </w:pPr>
            <w:r>
              <w:rPr>
                <w:rFonts w:ascii="Calibri" w:hAnsi="Calibri"/>
                <w:color w:val="17212B"/>
                <w:sz w:val="19"/>
              </w:rPr>
              <w:t>Claimant, subject, exact text, claimed time, report time, directness, citation</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Event</w:t>
            </w:r>
          </w:p>
        </w:tc>
        <w:tc>
          <w:tcPr>
            <w:tcW w:type="dxa" w:w="2950"/>
            <w:vAlign w:val="center"/>
            <w:tcMar>
              <w:top w:w="80" w:type="dxa"/>
              <w:start w:w="120" w:type="dxa"/>
              <w:bottom w:w="80" w:type="dxa"/>
              <w:end w:w="120" w:type="dxa"/>
            </w:tcMar>
          </w:tcPr>
          <w:p>
            <w:pPr>
              <w:spacing w:after="0"/>
            </w:pPr>
            <w:r>
              <w:rPr>
                <w:rFonts w:ascii="Calibri" w:hAnsi="Calibri"/>
                <w:color w:val="17212B"/>
                <w:sz w:val="19"/>
              </w:rPr>
              <w:t>Something that may have occurred</w:t>
            </w:r>
          </w:p>
        </w:tc>
        <w:tc>
          <w:tcPr>
            <w:tcW w:type="dxa" w:w="5010"/>
            <w:vAlign w:val="center"/>
            <w:tcMar>
              <w:top w:w="80" w:type="dxa"/>
              <w:start w:w="120" w:type="dxa"/>
              <w:bottom w:w="80" w:type="dxa"/>
              <w:end w:w="120" w:type="dxa"/>
            </w:tcMar>
          </w:tcPr>
          <w:p>
            <w:pPr>
              <w:spacing w:after="0"/>
            </w:pPr>
            <w:r>
              <w:rPr>
                <w:rFonts w:ascii="Calibri" w:hAnsi="Calibri"/>
                <w:color w:val="17212B"/>
                <w:sz w:val="19"/>
              </w:rPr>
              <w:t>Actors, action, object, place, time interval, status, linked claims</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Entity</w:t>
            </w:r>
          </w:p>
        </w:tc>
        <w:tc>
          <w:tcPr>
            <w:tcW w:type="dxa" w:w="2950"/>
            <w:vAlign w:val="center"/>
            <w:tcMar>
              <w:top w:w="80" w:type="dxa"/>
              <w:start w:w="120" w:type="dxa"/>
              <w:bottom w:w="80" w:type="dxa"/>
              <w:end w:w="120" w:type="dxa"/>
            </w:tcMar>
          </w:tcPr>
          <w:p>
            <w:pPr>
              <w:spacing w:after="0"/>
            </w:pPr>
            <w:r>
              <w:rPr>
                <w:rFonts w:ascii="Calibri" w:hAnsi="Calibri"/>
                <w:color w:val="17212B"/>
                <w:sz w:val="19"/>
              </w:rPr>
              <w:t>Person, device, medication, place, organization, or account</w:t>
            </w:r>
          </w:p>
        </w:tc>
        <w:tc>
          <w:tcPr>
            <w:tcW w:type="dxa" w:w="5010"/>
            <w:vAlign w:val="center"/>
            <w:tcMar>
              <w:top w:w="80" w:type="dxa"/>
              <w:start w:w="120" w:type="dxa"/>
              <w:bottom w:w="80" w:type="dxa"/>
              <w:end w:w="120" w:type="dxa"/>
            </w:tcMar>
          </w:tcPr>
          <w:p>
            <w:pPr>
              <w:spacing w:after="0"/>
            </w:pPr>
            <w:r>
              <w:rPr>
                <w:rFonts w:ascii="Calibri" w:hAnsi="Calibri"/>
                <w:color w:val="17212B"/>
                <w:sz w:val="19"/>
              </w:rPr>
              <w:t>Canonical identity, aliases, type, validity interval</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Evidence</w:t>
            </w:r>
          </w:p>
        </w:tc>
        <w:tc>
          <w:tcPr>
            <w:tcW w:type="dxa" w:w="2950"/>
            <w:vAlign w:val="center"/>
            <w:tcMar>
              <w:top w:w="80" w:type="dxa"/>
              <w:start w:w="120" w:type="dxa"/>
              <w:bottom w:w="80" w:type="dxa"/>
              <w:end w:w="120" w:type="dxa"/>
            </w:tcMar>
          </w:tcPr>
          <w:p>
            <w:pPr>
              <w:spacing w:after="0"/>
            </w:pPr>
            <w:r>
              <w:rPr>
                <w:rFonts w:ascii="Calibri" w:hAnsi="Calibri"/>
                <w:color w:val="17212B"/>
                <w:sz w:val="19"/>
              </w:rPr>
              <w:t>Material bearing on a claim or event</w:t>
            </w:r>
          </w:p>
        </w:tc>
        <w:tc>
          <w:tcPr>
            <w:tcW w:type="dxa" w:w="5010"/>
            <w:vAlign w:val="center"/>
            <w:tcMar>
              <w:top w:w="80" w:type="dxa"/>
              <w:start w:w="120" w:type="dxa"/>
              <w:bottom w:w="80" w:type="dxa"/>
              <w:end w:w="120" w:type="dxa"/>
            </w:tcMar>
          </w:tcPr>
          <w:p>
            <w:pPr>
              <w:spacing w:after="0"/>
            </w:pPr>
            <w:r>
              <w:rPr>
                <w:rFonts w:ascii="Calibri" w:hAnsi="Calibri"/>
                <w:color w:val="17212B"/>
                <w:sz w:val="19"/>
              </w:rPr>
              <w:t>Source link, relationship, limits, authentication state</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Observation</w:t>
            </w:r>
          </w:p>
        </w:tc>
        <w:tc>
          <w:tcPr>
            <w:tcW w:type="dxa" w:w="2950"/>
            <w:vAlign w:val="center"/>
            <w:tcMar>
              <w:top w:w="80" w:type="dxa"/>
              <w:start w:w="120" w:type="dxa"/>
              <w:bottom w:w="80" w:type="dxa"/>
              <w:end w:w="120" w:type="dxa"/>
            </w:tcMar>
          </w:tcPr>
          <w:p>
            <w:pPr>
              <w:spacing w:after="0"/>
            </w:pPr>
            <w:r>
              <w:rPr>
                <w:rFonts w:ascii="Calibri" w:hAnsi="Calibri"/>
                <w:color w:val="17212B"/>
                <w:sz w:val="19"/>
              </w:rPr>
              <w:t>Behaviorally specific report</w:t>
            </w:r>
          </w:p>
        </w:tc>
        <w:tc>
          <w:tcPr>
            <w:tcW w:type="dxa" w:w="5010"/>
            <w:vAlign w:val="center"/>
            <w:tcMar>
              <w:top w:w="80" w:type="dxa"/>
              <w:start w:w="120" w:type="dxa"/>
              <w:bottom w:w="80" w:type="dxa"/>
              <w:end w:w="120" w:type="dxa"/>
            </w:tcMar>
          </w:tcPr>
          <w:p>
            <w:pPr>
              <w:spacing w:after="0"/>
            </w:pPr>
            <w:r>
              <w:rPr>
                <w:rFonts w:ascii="Calibri" w:hAnsi="Calibri"/>
                <w:color w:val="17212B"/>
                <w:sz w:val="19"/>
              </w:rPr>
              <w:t>Observer, directness, time, exact wording, supporting artifact</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Pattern</w:t>
            </w:r>
          </w:p>
        </w:tc>
        <w:tc>
          <w:tcPr>
            <w:tcW w:type="dxa" w:w="2950"/>
            <w:vAlign w:val="center"/>
            <w:tcMar>
              <w:top w:w="80" w:type="dxa"/>
              <w:start w:w="120" w:type="dxa"/>
              <w:bottom w:w="80" w:type="dxa"/>
              <w:end w:w="120" w:type="dxa"/>
            </w:tcMar>
          </w:tcPr>
          <w:p>
            <w:pPr>
              <w:spacing w:after="0"/>
            </w:pPr>
            <w:r>
              <w:rPr>
                <w:rFonts w:ascii="Calibri" w:hAnsi="Calibri"/>
                <w:color w:val="17212B"/>
                <w:sz w:val="19"/>
              </w:rPr>
              <w:t>Repeated conditional sequence across time</w:t>
            </w:r>
          </w:p>
        </w:tc>
        <w:tc>
          <w:tcPr>
            <w:tcW w:type="dxa" w:w="5010"/>
            <w:vAlign w:val="center"/>
            <w:tcMar>
              <w:top w:w="80" w:type="dxa"/>
              <w:start w:w="120" w:type="dxa"/>
              <w:bottom w:w="80" w:type="dxa"/>
              <w:end w:w="120" w:type="dxa"/>
            </w:tcMar>
          </w:tcPr>
          <w:p>
            <w:pPr>
              <w:spacing w:after="0"/>
            </w:pPr>
            <w:r>
              <w:rPr>
                <w:rFonts w:ascii="Calibri" w:hAnsi="Calibri"/>
                <w:color w:val="17212B"/>
                <w:sz w:val="19"/>
              </w:rPr>
              <w:t>Event set, function, recurrence, asymmetry, cumulative effect</w:t>
            </w:r>
          </w:p>
        </w:tc>
      </w:tr>
      <w:tr>
        <w:tc>
          <w:tcPr>
            <w:tcW w:type="dxa" w:w="1400"/>
            <w:vAlign w:val="center"/>
            <w:tcMar>
              <w:top w:w="80" w:type="dxa"/>
              <w:start w:w="120" w:type="dxa"/>
              <w:bottom w:w="80" w:type="dxa"/>
              <w:end w:w="120" w:type="dxa"/>
            </w:tcMar>
          </w:tcPr>
          <w:p>
            <w:pPr>
              <w:spacing w:after="0"/>
            </w:pPr>
            <w:r>
              <w:rPr>
                <w:rFonts w:ascii="Calibri" w:hAnsi="Calibri"/>
                <w:color w:val="17212B"/>
                <w:sz w:val="19"/>
              </w:rPr>
              <w:t>Hypothesis</w:t>
            </w:r>
          </w:p>
        </w:tc>
        <w:tc>
          <w:tcPr>
            <w:tcW w:type="dxa" w:w="2950"/>
            <w:vAlign w:val="center"/>
            <w:tcMar>
              <w:top w:w="80" w:type="dxa"/>
              <w:start w:w="120" w:type="dxa"/>
              <w:bottom w:w="80" w:type="dxa"/>
              <w:end w:w="120" w:type="dxa"/>
            </w:tcMar>
          </w:tcPr>
          <w:p>
            <w:pPr>
              <w:spacing w:after="0"/>
            </w:pPr>
            <w:r>
              <w:rPr>
                <w:rFonts w:ascii="Calibri" w:hAnsi="Calibri"/>
                <w:color w:val="17212B"/>
                <w:sz w:val="19"/>
              </w:rPr>
              <w:t>Proposed reconstruction</w:t>
            </w:r>
          </w:p>
        </w:tc>
        <w:tc>
          <w:tcPr>
            <w:tcW w:type="dxa" w:w="5010"/>
            <w:vAlign w:val="center"/>
            <w:tcMar>
              <w:top w:w="80" w:type="dxa"/>
              <w:start w:w="120" w:type="dxa"/>
              <w:bottom w:w="80" w:type="dxa"/>
              <w:end w:w="120" w:type="dxa"/>
            </w:tcMar>
          </w:tcPr>
          <w:p>
            <w:pPr>
              <w:spacing w:after="0"/>
            </w:pPr>
            <w:r>
              <w:rPr>
                <w:rFonts w:ascii="Calibri" w:hAnsi="Calibri"/>
                <w:color w:val="17212B"/>
                <w:sz w:val="19"/>
              </w:rPr>
              <w:t>Required conditions, support, conflicts, assumptions, unresolved inputs</w:t>
            </w:r>
          </w:p>
        </w:tc>
      </w:tr>
    </w:tbl>
    <w:p>
      <w:pPr>
        <w:spacing w:after="20"/>
      </w:pPr>
    </w:p>
    <w:p>
      <w:pPr>
        <w:pStyle w:val="Heading2"/>
      </w:pPr>
      <w:r>
        <w:t>6.2 Epistemic states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vAlign w:val="center"/>
            <w:tcMar>
              <w:top w:w="80" w:type="dxa"/>
              <w:start w:w="120" w:type="dxa"/>
              <w:bottom w:w="80" w:type="dxa"/>
              <w:end w:w="120" w:type="dxa"/>
            </w:tcMar>
          </w:tcPr>
          <w:p>
            <w:pPr>
              <w:spacing w:after="0"/>
            </w:pPr>
            <w:r>
              <w:rPr>
                <w:rFonts w:ascii="Calibri" w:hAnsi="Calibri"/>
                <w:b/>
                <w:color w:val="1F4D78"/>
                <w:sz w:val="19"/>
              </w:rPr>
              <w:t>State</w:t>
            </w:r>
          </w:p>
        </w:tc>
        <w:tc>
          <w:tcPr>
            <w:tcW w:type="dxa" w:w="7560"/>
            <w:shd w:fill="F2F4F7"/>
            <w:vAlign w:val="center"/>
            <w:tcMar>
              <w:top w:w="80" w:type="dxa"/>
              <w:start w:w="120" w:type="dxa"/>
              <w:bottom w:w="80" w:type="dxa"/>
              <w:end w:w="120" w:type="dxa"/>
            </w:tcMar>
          </w:tcPr>
          <w:p>
            <w:pPr>
              <w:spacing w:after="0"/>
            </w:pPr>
            <w:r>
              <w:rPr>
                <w:rFonts w:ascii="Calibri" w:hAnsi="Calibri"/>
                <w:b/>
                <w:color w:val="1F4D78"/>
                <w:sz w:val="19"/>
              </w:rPr>
              <w:t>Meaning</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Reported</w:t>
            </w:r>
          </w:p>
        </w:tc>
        <w:tc>
          <w:tcPr>
            <w:tcW w:type="dxa" w:w="7560"/>
            <w:vAlign w:val="center"/>
            <w:tcMar>
              <w:top w:w="80" w:type="dxa"/>
              <w:start w:w="120" w:type="dxa"/>
              <w:bottom w:w="80" w:type="dxa"/>
              <w:end w:w="120" w:type="dxa"/>
            </w:tcMar>
          </w:tcPr>
          <w:p>
            <w:pPr>
              <w:spacing w:after="0"/>
            </w:pPr>
            <w:r>
              <w:rPr>
                <w:rFonts w:ascii="Calibri" w:hAnsi="Calibri"/>
                <w:color w:val="17212B"/>
                <w:sz w:val="19"/>
              </w:rPr>
              <w:t>An attributable source made the claim.</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Artifact-supported</w:t>
            </w:r>
          </w:p>
        </w:tc>
        <w:tc>
          <w:tcPr>
            <w:tcW w:type="dxa" w:w="7560"/>
            <w:vAlign w:val="center"/>
            <w:tcMar>
              <w:top w:w="80" w:type="dxa"/>
              <w:start w:w="120" w:type="dxa"/>
              <w:bottom w:w="80" w:type="dxa"/>
              <w:end w:w="120" w:type="dxa"/>
            </w:tcMar>
          </w:tcPr>
          <w:p>
            <w:pPr>
              <w:spacing w:after="0"/>
            </w:pPr>
            <w:r>
              <w:rPr>
                <w:rFonts w:ascii="Calibri" w:hAnsi="Calibri"/>
                <w:color w:val="17212B"/>
                <w:sz w:val="19"/>
              </w:rPr>
              <w:t>A contemporaneous record or artifact supports some portion of the claim.</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Corroborated</w:t>
            </w:r>
          </w:p>
        </w:tc>
        <w:tc>
          <w:tcPr>
            <w:tcW w:type="dxa" w:w="7560"/>
            <w:vAlign w:val="center"/>
            <w:tcMar>
              <w:top w:w="80" w:type="dxa"/>
              <w:start w:w="120" w:type="dxa"/>
              <w:bottom w:w="80" w:type="dxa"/>
              <w:end w:w="120" w:type="dxa"/>
            </w:tcMar>
          </w:tcPr>
          <w:p>
            <w:pPr>
              <w:spacing w:after="0"/>
            </w:pPr>
            <w:r>
              <w:rPr>
                <w:rFonts w:ascii="Calibri" w:hAnsi="Calibri"/>
                <w:color w:val="17212B"/>
                <w:sz w:val="19"/>
              </w:rPr>
              <w:t>Sufficiently independent sources support the same material proposition.</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Contested</w:t>
            </w:r>
          </w:p>
        </w:tc>
        <w:tc>
          <w:tcPr>
            <w:tcW w:type="dxa" w:w="7560"/>
            <w:vAlign w:val="center"/>
            <w:tcMar>
              <w:top w:w="80" w:type="dxa"/>
              <w:start w:w="120" w:type="dxa"/>
              <w:bottom w:w="80" w:type="dxa"/>
              <w:end w:w="120" w:type="dxa"/>
            </w:tcMar>
          </w:tcPr>
          <w:p>
            <w:pPr>
              <w:spacing w:after="0"/>
            </w:pPr>
            <w:r>
              <w:rPr>
                <w:rFonts w:ascii="Calibri" w:hAnsi="Calibri"/>
                <w:color w:val="17212B"/>
                <w:sz w:val="19"/>
              </w:rPr>
              <w:t>Credible sources or evidence conflict.</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Contradicted</w:t>
            </w:r>
          </w:p>
        </w:tc>
        <w:tc>
          <w:tcPr>
            <w:tcW w:type="dxa" w:w="7560"/>
            <w:vAlign w:val="center"/>
            <w:tcMar>
              <w:top w:w="80" w:type="dxa"/>
              <w:start w:w="120" w:type="dxa"/>
              <w:bottom w:w="80" w:type="dxa"/>
              <w:end w:w="120" w:type="dxa"/>
            </w:tcMar>
          </w:tcPr>
          <w:p>
            <w:pPr>
              <w:spacing w:after="0"/>
            </w:pPr>
            <w:r>
              <w:rPr>
                <w:rFonts w:ascii="Calibri" w:hAnsi="Calibri"/>
                <w:color w:val="17212B"/>
                <w:sz w:val="19"/>
              </w:rPr>
              <w:t>Material evidence conflicts with the proposition.</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Stipulated</w:t>
            </w:r>
          </w:p>
        </w:tc>
        <w:tc>
          <w:tcPr>
            <w:tcW w:type="dxa" w:w="7560"/>
            <w:vAlign w:val="center"/>
            <w:tcMar>
              <w:top w:w="80" w:type="dxa"/>
              <w:start w:w="120" w:type="dxa"/>
              <w:bottom w:w="80" w:type="dxa"/>
              <w:end w:w="120" w:type="dxa"/>
            </w:tcMar>
          </w:tcPr>
          <w:p>
            <w:pPr>
              <w:spacing w:after="0"/>
            </w:pPr>
            <w:r>
              <w:rPr>
                <w:rFonts w:ascii="Calibri" w:hAnsi="Calibri"/>
                <w:color w:val="17212B"/>
                <w:sz w:val="19"/>
              </w:rPr>
              <w:t>The parties formally agreed for purposes of the proceeding.</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Adjudicated</w:t>
            </w:r>
          </w:p>
        </w:tc>
        <w:tc>
          <w:tcPr>
            <w:tcW w:type="dxa" w:w="7560"/>
            <w:vAlign w:val="center"/>
            <w:tcMar>
              <w:top w:w="80" w:type="dxa"/>
              <w:start w:w="120" w:type="dxa"/>
              <w:bottom w:w="80" w:type="dxa"/>
              <w:end w:w="120" w:type="dxa"/>
            </w:tcMar>
          </w:tcPr>
          <w:p>
            <w:pPr>
              <w:spacing w:after="0"/>
            </w:pPr>
            <w:r>
              <w:rPr>
                <w:rFonts w:ascii="Calibri" w:hAnsi="Calibri"/>
                <w:color w:val="17212B"/>
                <w:sz w:val="19"/>
              </w:rPr>
              <w:t>A court or jury made a finding; underlying evidence and legal context remain visible.</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Inferred</w:t>
            </w:r>
          </w:p>
        </w:tc>
        <w:tc>
          <w:tcPr>
            <w:tcW w:type="dxa" w:w="7560"/>
            <w:vAlign w:val="center"/>
            <w:tcMar>
              <w:top w:w="80" w:type="dxa"/>
              <w:start w:w="120" w:type="dxa"/>
              <w:bottom w:w="80" w:type="dxa"/>
              <w:end w:w="120" w:type="dxa"/>
            </w:tcMar>
          </w:tcPr>
          <w:p>
            <w:pPr>
              <w:spacing w:after="0"/>
            </w:pPr>
            <w:r>
              <w:rPr>
                <w:rFonts w:ascii="Calibri" w:hAnsi="Calibri"/>
                <w:color w:val="17212B"/>
                <w:sz w:val="19"/>
              </w:rPr>
              <w:t>Derived from disclosed relationships among other records.</w:t>
            </w:r>
          </w:p>
        </w:tc>
      </w:tr>
      <w:tr>
        <w:tc>
          <w:tcPr>
            <w:tcW w:type="dxa" w:w="1800"/>
            <w:vAlign w:val="center"/>
            <w:tcMar>
              <w:top w:w="80" w:type="dxa"/>
              <w:start w:w="120" w:type="dxa"/>
              <w:bottom w:w="80" w:type="dxa"/>
              <w:end w:w="120" w:type="dxa"/>
            </w:tcMar>
          </w:tcPr>
          <w:p>
            <w:pPr>
              <w:spacing w:after="0"/>
            </w:pPr>
            <w:r>
              <w:rPr>
                <w:rFonts w:ascii="Calibri" w:hAnsi="Calibri"/>
                <w:color w:val="17212B"/>
                <w:sz w:val="19"/>
              </w:rPr>
              <w:t>Unresolved</w:t>
            </w:r>
          </w:p>
        </w:tc>
        <w:tc>
          <w:tcPr>
            <w:tcW w:type="dxa" w:w="7560"/>
            <w:vAlign w:val="center"/>
            <w:tcMar>
              <w:top w:w="80" w:type="dxa"/>
              <w:start w:w="120" w:type="dxa"/>
              <w:bottom w:w="80" w:type="dxa"/>
              <w:end w:w="120" w:type="dxa"/>
            </w:tcMar>
          </w:tcPr>
          <w:p>
            <w:pPr>
              <w:spacing w:after="0"/>
            </w:pPr>
            <w:r>
              <w:rPr>
                <w:rFonts w:ascii="Calibri" w:hAnsi="Calibri"/>
                <w:color w:val="17212B"/>
                <w:sz w:val="19"/>
              </w:rPr>
              <w:t>Available evidence cannot support a determination.</w:t>
            </w:r>
          </w:p>
        </w:tc>
      </w:tr>
    </w:tbl>
    <w:p>
      <w:pPr>
        <w:spacing w:after="20"/>
      </w:pPr>
    </w:p>
    <w:p>
      <w:pPr>
        <w:pStyle w:val="Heading1"/>
      </w:pPr>
      <w:r>
        <w:t>7. Synchronized timeline lanes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F2F4F7"/>
            <w:vAlign w:val="center"/>
            <w:tcMar>
              <w:top w:w="80" w:type="dxa"/>
              <w:start w:w="120" w:type="dxa"/>
              <w:bottom w:w="80" w:type="dxa"/>
              <w:end w:w="120" w:type="dxa"/>
            </w:tcMar>
          </w:tcPr>
          <w:p>
            <w:pPr>
              <w:spacing w:after="0"/>
            </w:pPr>
            <w:r>
              <w:rPr>
                <w:rFonts w:ascii="Calibri" w:hAnsi="Calibri"/>
                <w:b/>
                <w:color w:val="1F4D78"/>
                <w:sz w:val="19"/>
              </w:rPr>
              <w:t>Lane</w:t>
            </w:r>
          </w:p>
        </w:tc>
        <w:tc>
          <w:tcPr>
            <w:tcW w:type="dxa" w:w="7460"/>
            <w:shd w:fill="F2F4F7"/>
            <w:vAlign w:val="center"/>
            <w:tcMar>
              <w:top w:w="80" w:type="dxa"/>
              <w:start w:w="120" w:type="dxa"/>
              <w:bottom w:w="80" w:type="dxa"/>
              <w:end w:w="120" w:type="dxa"/>
            </w:tcMar>
          </w:tcPr>
          <w:p>
            <w:pPr>
              <w:spacing w:after="0"/>
            </w:pPr>
            <w:r>
              <w:rPr>
                <w:rFonts w:ascii="Calibri" w:hAnsi="Calibri"/>
                <w:b/>
                <w:color w:val="1F4D78"/>
                <w:sz w:val="19"/>
              </w:rPr>
              <w:t>Content</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Self record</w:t>
            </w:r>
          </w:p>
        </w:tc>
        <w:tc>
          <w:tcPr>
            <w:tcW w:type="dxa" w:w="7460"/>
            <w:vAlign w:val="center"/>
            <w:tcMar>
              <w:top w:w="80" w:type="dxa"/>
              <w:start w:w="120" w:type="dxa"/>
              <w:bottom w:w="80" w:type="dxa"/>
              <w:end w:w="120" w:type="dxa"/>
            </w:tcMar>
          </w:tcPr>
          <w:p>
            <w:pPr>
              <w:spacing w:after="0"/>
            </w:pPr>
            <w:r>
              <w:rPr>
                <w:rFonts w:ascii="Calibri" w:hAnsi="Calibri"/>
                <w:color w:val="17212B"/>
                <w:sz w:val="19"/>
              </w:rPr>
              <w:t>Journal entries, messages, searches, reported symptoms, requests for help</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Clinical</w:t>
            </w:r>
          </w:p>
        </w:tc>
        <w:tc>
          <w:tcPr>
            <w:tcW w:type="dxa" w:w="7460"/>
            <w:vAlign w:val="center"/>
            <w:tcMar>
              <w:top w:w="80" w:type="dxa"/>
              <w:start w:w="120" w:type="dxa"/>
              <w:bottom w:w="80" w:type="dxa"/>
              <w:end w:w="120" w:type="dxa"/>
            </w:tcMar>
          </w:tcPr>
          <w:p>
            <w:pPr>
              <w:spacing w:after="0"/>
            </w:pPr>
            <w:r>
              <w:rPr>
                <w:rFonts w:ascii="Calibri" w:hAnsi="Calibri"/>
                <w:color w:val="17212B"/>
                <w:sz w:val="19"/>
              </w:rPr>
              <w:t>Visits, diagnoses considered, medication changes, admissions, discharge, handoffs</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Physical state</w:t>
            </w:r>
          </w:p>
        </w:tc>
        <w:tc>
          <w:tcPr>
            <w:tcW w:type="dxa" w:w="7460"/>
            <w:vAlign w:val="center"/>
            <w:tcMar>
              <w:top w:w="80" w:type="dxa"/>
              <w:start w:w="120" w:type="dxa"/>
              <w:bottom w:w="80" w:type="dxa"/>
              <w:end w:w="120" w:type="dxa"/>
            </w:tcMar>
          </w:tcPr>
          <w:p>
            <w:pPr>
              <w:spacing w:after="0"/>
            </w:pPr>
            <w:r>
              <w:rPr>
                <w:rFonts w:ascii="Calibri" w:hAnsi="Calibri"/>
                <w:color w:val="17212B"/>
                <w:sz w:val="19"/>
              </w:rPr>
              <w:t>Sleep, weight, appetite, injury, temperature, speech, movement, recovery</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Household operations</w:t>
            </w:r>
          </w:p>
        </w:tc>
        <w:tc>
          <w:tcPr>
            <w:tcW w:type="dxa" w:w="7460"/>
            <w:vAlign w:val="center"/>
            <w:tcMar>
              <w:top w:w="80" w:type="dxa"/>
              <w:start w:w="120" w:type="dxa"/>
              <w:bottom w:w="80" w:type="dxa"/>
              <w:end w:w="120" w:type="dxa"/>
            </w:tcMar>
          </w:tcPr>
          <w:p>
            <w:pPr>
              <w:spacing w:after="0"/>
            </w:pPr>
            <w:r>
              <w:rPr>
                <w:rFonts w:ascii="Calibri" w:hAnsi="Calibri"/>
                <w:color w:val="17212B"/>
                <w:sz w:val="19"/>
              </w:rPr>
              <w:t>Childcare, meals, medication errands, appointments, transportation, mental load</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Social environment</w:t>
            </w:r>
          </w:p>
        </w:tc>
        <w:tc>
          <w:tcPr>
            <w:tcW w:type="dxa" w:w="7460"/>
            <w:vAlign w:val="center"/>
            <w:tcMar>
              <w:top w:w="80" w:type="dxa"/>
              <w:start w:w="120" w:type="dxa"/>
              <w:bottom w:w="80" w:type="dxa"/>
              <w:end w:w="120" w:type="dxa"/>
            </w:tcMar>
          </w:tcPr>
          <w:p>
            <w:pPr>
              <w:spacing w:after="0"/>
            </w:pPr>
            <w:r>
              <w:rPr>
                <w:rFonts w:ascii="Calibri" w:hAnsi="Calibri"/>
                <w:color w:val="17212B"/>
                <w:sz w:val="19"/>
              </w:rPr>
              <w:t>Family help, friend contact, isolation, observations, disputed support decisions</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Incident</w:t>
            </w:r>
          </w:p>
        </w:tc>
        <w:tc>
          <w:tcPr>
            <w:tcW w:type="dxa" w:w="7460"/>
            <w:vAlign w:val="center"/>
            <w:tcMar>
              <w:top w:w="80" w:type="dxa"/>
              <w:start w:w="120" w:type="dxa"/>
              <w:bottom w:w="80" w:type="dxa"/>
              <w:end w:w="120" w:type="dxa"/>
            </w:tcMar>
          </w:tcPr>
          <w:p>
            <w:pPr>
              <w:spacing w:after="0"/>
            </w:pPr>
            <w:r>
              <w:rPr>
                <w:rFonts w:ascii="Calibri" w:hAnsi="Calibri"/>
                <w:color w:val="17212B"/>
                <w:sz w:val="19"/>
              </w:rPr>
              <w:t>Movement, communication, locations, physical evidence, emergency response</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Narrative</w:t>
            </w:r>
          </w:p>
        </w:tc>
        <w:tc>
          <w:tcPr>
            <w:tcW w:type="dxa" w:w="7460"/>
            <w:vAlign w:val="center"/>
            <w:tcMar>
              <w:top w:w="80" w:type="dxa"/>
              <w:start w:w="120" w:type="dxa"/>
              <w:bottom w:w="80" w:type="dxa"/>
              <w:end w:w="120" w:type="dxa"/>
            </w:tcMar>
          </w:tcPr>
          <w:p>
            <w:pPr>
              <w:spacing w:after="0"/>
            </w:pPr>
            <w:r>
              <w:rPr>
                <w:rFonts w:ascii="Calibri" w:hAnsi="Calibri"/>
                <w:color w:val="17212B"/>
                <w:sz w:val="19"/>
              </w:rPr>
              <w:t>First reports, police framing, media repetition, testimony, prosecution and defense theories</w:t>
            </w:r>
          </w:p>
        </w:tc>
      </w:tr>
      <w:tr>
        <w:tc>
          <w:tcPr>
            <w:tcW w:type="dxa" w:w="1900"/>
            <w:vAlign w:val="center"/>
            <w:tcMar>
              <w:top w:w="80" w:type="dxa"/>
              <w:start w:w="120" w:type="dxa"/>
              <w:bottom w:w="80" w:type="dxa"/>
              <w:end w:w="120" w:type="dxa"/>
            </w:tcMar>
          </w:tcPr>
          <w:p>
            <w:pPr>
              <w:spacing w:after="0"/>
            </w:pPr>
            <w:r>
              <w:rPr>
                <w:rFonts w:ascii="Calibri" w:hAnsi="Calibri"/>
                <w:color w:val="17212B"/>
                <w:sz w:val="19"/>
              </w:rPr>
              <w:t>Legal</w:t>
            </w:r>
          </w:p>
        </w:tc>
        <w:tc>
          <w:tcPr>
            <w:tcW w:type="dxa" w:w="7460"/>
            <w:vAlign w:val="center"/>
            <w:tcMar>
              <w:top w:w="80" w:type="dxa"/>
              <w:start w:w="120" w:type="dxa"/>
              <w:bottom w:w="80" w:type="dxa"/>
              <w:end w:w="120" w:type="dxa"/>
            </w:tcMar>
          </w:tcPr>
          <w:p>
            <w:pPr>
              <w:spacing w:after="0"/>
            </w:pPr>
            <w:r>
              <w:rPr>
                <w:rFonts w:ascii="Calibri" w:hAnsi="Calibri"/>
                <w:color w:val="17212B"/>
                <w:sz w:val="19"/>
              </w:rPr>
              <w:t>Charges, motions, exhibits, stipulations, rulings, expert opinions, jury-facing record</w:t>
            </w:r>
          </w:p>
        </w:tc>
      </w:tr>
    </w:tbl>
    <w:p>
      <w:pPr>
        <w:spacing w:after="20"/>
      </w:pPr>
    </w:p>
    <w:p>
      <w:pPr>
        <w:pStyle w:val="Heading1"/>
      </w:pPr>
      <w:r>
        <w:t>8. Longitudinal state reconstruction</w:t>
      </w:r>
    </w:p>
    <w:p>
      <w:pPr>
        <w:spacing w:after="120"/>
      </w:pPr>
      <w:r>
        <w:rPr>
          <w:rFonts w:ascii="Calibri" w:hAnsi="Calibri"/>
          <w:i w:val="0"/>
          <w:color w:val="17212B"/>
          <w:sz w:val="22"/>
        </w:rPr>
        <w:t>The minimum retrospective window is 90 days before the incident, with daily resolution over the final 30 days and event-level resolution inside the incident window. The model should preserve earlier baseline periods when available.</w:t>
      </w:r>
    </w:p>
    <w:tbl>
      <w:tblPr>
        <w:tblStyle w:val="TableGrid"/>
        <w:tblW w:type="dxa" w:w="9360"/>
        <w:jc w:val="left"/>
        <w:tblLayout w:type="fixed"/>
        <w:tblLook w:firstColumn="1" w:firstRow="1" w:lastColumn="0" w:lastRow="0" w:noHBand="0" w:noVBand="1" w:val="04A0"/>
        <w:tblInd w:w="120" w:type="dxa"/>
      </w:tblPr>
      <w:tblGrid>
        <w:gridCol w:w="1950"/>
        <w:gridCol w:w="7410"/>
      </w:tblGrid>
      <w:tr>
        <w:trPr>
          <w:tblHeader w:val="true"/>
        </w:trPr>
        <w:tc>
          <w:tcPr>
            <w:tcW w:type="dxa" w:w="1950"/>
            <w:shd w:fill="F2F4F7"/>
            <w:vAlign w:val="center"/>
            <w:tcMar>
              <w:top w:w="80" w:type="dxa"/>
              <w:start w:w="120" w:type="dxa"/>
              <w:bottom w:w="80" w:type="dxa"/>
              <w:end w:w="120" w:type="dxa"/>
            </w:tcMar>
          </w:tcPr>
          <w:p>
            <w:pPr>
              <w:spacing w:after="0"/>
            </w:pPr>
            <w:r>
              <w:rPr>
                <w:rFonts w:ascii="Calibri" w:hAnsi="Calibri"/>
                <w:b/>
                <w:color w:val="1F4D78"/>
                <w:sz w:val="19"/>
              </w:rPr>
              <w:t>Dimension</w:t>
            </w:r>
          </w:p>
        </w:tc>
        <w:tc>
          <w:tcPr>
            <w:tcW w:type="dxa" w:w="7410"/>
            <w:shd w:fill="F2F4F7"/>
            <w:vAlign w:val="center"/>
            <w:tcMar>
              <w:top w:w="80" w:type="dxa"/>
              <w:start w:w="120" w:type="dxa"/>
              <w:bottom w:w="80" w:type="dxa"/>
              <w:end w:w="120" w:type="dxa"/>
            </w:tcMar>
          </w:tcPr>
          <w:p>
            <w:pPr>
              <w:spacing w:after="0"/>
            </w:pPr>
            <w:r>
              <w:rPr>
                <w:rFonts w:ascii="Calibri" w:hAnsi="Calibri"/>
                <w:b/>
                <w:color w:val="1F4D78"/>
                <w:sz w:val="19"/>
              </w:rPr>
              <w:t>Tracked variables</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Sleep</w:t>
            </w:r>
          </w:p>
        </w:tc>
        <w:tc>
          <w:tcPr>
            <w:tcW w:type="dxa" w:w="7410"/>
            <w:vAlign w:val="center"/>
            <w:tcMar>
              <w:top w:w="80" w:type="dxa"/>
              <w:start w:w="120" w:type="dxa"/>
              <w:bottom w:w="80" w:type="dxa"/>
              <w:end w:w="120" w:type="dxa"/>
            </w:tcMar>
          </w:tcPr>
          <w:p>
            <w:pPr>
              <w:spacing w:after="0"/>
            </w:pPr>
            <w:r>
              <w:rPr>
                <w:rFonts w:ascii="Calibri" w:hAnsi="Calibri"/>
                <w:color w:val="17212B"/>
                <w:sz w:val="19"/>
              </w:rPr>
              <w:t>Duration, interruptions, opportunity to rest, observer basis, uncertainty</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Medication</w:t>
            </w:r>
          </w:p>
        </w:tc>
        <w:tc>
          <w:tcPr>
            <w:tcW w:type="dxa" w:w="7410"/>
            <w:vAlign w:val="center"/>
            <w:tcMar>
              <w:top w:w="80" w:type="dxa"/>
              <w:start w:w="120" w:type="dxa"/>
              <w:bottom w:w="80" w:type="dxa"/>
              <w:end w:w="120" w:type="dxa"/>
            </w:tcMar>
          </w:tcPr>
          <w:p>
            <w:pPr>
              <w:spacing w:after="0"/>
            </w:pPr>
            <w:r>
              <w:rPr>
                <w:rFonts w:ascii="Calibri" w:hAnsi="Calibri"/>
                <w:color w:val="17212B"/>
                <w:sz w:val="19"/>
              </w:rPr>
              <w:t>Prescribed, dispensed, reportedly taken, changed, stopped, detected, and clinical rationale</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Cognition</w:t>
            </w:r>
          </w:p>
        </w:tc>
        <w:tc>
          <w:tcPr>
            <w:tcW w:type="dxa" w:w="7410"/>
            <w:vAlign w:val="center"/>
            <w:tcMar>
              <w:top w:w="80" w:type="dxa"/>
              <w:start w:w="120" w:type="dxa"/>
              <w:bottom w:w="80" w:type="dxa"/>
              <w:end w:w="120" w:type="dxa"/>
            </w:tcMar>
          </w:tcPr>
          <w:p>
            <w:pPr>
              <w:spacing w:after="0"/>
            </w:pPr>
            <w:r>
              <w:rPr>
                <w:rFonts w:ascii="Calibri" w:hAnsi="Calibri"/>
                <w:color w:val="17212B"/>
                <w:sz w:val="19"/>
              </w:rPr>
              <w:t>Planning difficulty, brain fog, memory, speech, coherence, unusual beliefs</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Mood and risk</w:t>
            </w:r>
          </w:p>
        </w:tc>
        <w:tc>
          <w:tcPr>
            <w:tcW w:type="dxa" w:w="7410"/>
            <w:vAlign w:val="center"/>
            <w:tcMar>
              <w:top w:w="80" w:type="dxa"/>
              <w:start w:w="120" w:type="dxa"/>
              <w:bottom w:w="80" w:type="dxa"/>
              <w:end w:w="120" w:type="dxa"/>
            </w:tcMar>
          </w:tcPr>
          <w:p>
            <w:pPr>
              <w:spacing w:after="0"/>
            </w:pPr>
            <w:r>
              <w:rPr>
                <w:rFonts w:ascii="Calibri" w:hAnsi="Calibri"/>
                <w:color w:val="17212B"/>
                <w:sz w:val="19"/>
              </w:rPr>
              <w:t>Anxiety, depression, agitation, numbness, suicidality, intrusive thoughts, reported voices</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Physical function</w:t>
            </w:r>
          </w:p>
        </w:tc>
        <w:tc>
          <w:tcPr>
            <w:tcW w:type="dxa" w:w="7410"/>
            <w:vAlign w:val="center"/>
            <w:tcMar>
              <w:top w:w="80" w:type="dxa"/>
              <w:start w:w="120" w:type="dxa"/>
              <w:bottom w:w="80" w:type="dxa"/>
              <w:end w:w="120" w:type="dxa"/>
            </w:tcMar>
          </w:tcPr>
          <w:p>
            <w:pPr>
              <w:spacing w:after="0"/>
            </w:pPr>
            <w:r>
              <w:rPr>
                <w:rFonts w:ascii="Calibri" w:hAnsi="Calibri"/>
                <w:color w:val="17212B"/>
                <w:sz w:val="19"/>
              </w:rPr>
              <w:t>Weight, appetite, pain, postpartum recovery, illness, mobility, acute injury</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Care access</w:t>
            </w:r>
          </w:p>
        </w:tc>
        <w:tc>
          <w:tcPr>
            <w:tcW w:type="dxa" w:w="7410"/>
            <w:vAlign w:val="center"/>
            <w:tcMar>
              <w:top w:w="80" w:type="dxa"/>
              <w:start w:w="120" w:type="dxa"/>
              <w:bottom w:w="80" w:type="dxa"/>
              <w:end w:w="120" w:type="dxa"/>
            </w:tcMar>
          </w:tcPr>
          <w:p>
            <w:pPr>
              <w:spacing w:after="0"/>
            </w:pPr>
            <w:r>
              <w:rPr>
                <w:rFonts w:ascii="Calibri" w:hAnsi="Calibri"/>
                <w:color w:val="17212B"/>
                <w:sz w:val="19"/>
              </w:rPr>
              <w:t>Appointments, crisis calls, admissions sought, admissions declined, discharge and follow-up</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Care burden</w:t>
            </w:r>
          </w:p>
        </w:tc>
        <w:tc>
          <w:tcPr>
            <w:tcW w:type="dxa" w:w="7410"/>
            <w:vAlign w:val="center"/>
            <w:tcMar>
              <w:top w:w="80" w:type="dxa"/>
              <w:start w:w="120" w:type="dxa"/>
              <w:bottom w:w="80" w:type="dxa"/>
              <w:end w:w="120" w:type="dxa"/>
            </w:tcMar>
          </w:tcPr>
          <w:p>
            <w:pPr>
              <w:spacing w:after="0"/>
            </w:pPr>
            <w:r>
              <w:rPr>
                <w:rFonts w:ascii="Calibri" w:hAnsi="Calibri"/>
                <w:color w:val="17212B"/>
                <w:sz w:val="19"/>
              </w:rPr>
              <w:t>Childcare, feeding, meals, errands, scheduling, night care, health coordination</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Support</w:t>
            </w:r>
          </w:p>
        </w:tc>
        <w:tc>
          <w:tcPr>
            <w:tcW w:type="dxa" w:w="7410"/>
            <w:vAlign w:val="center"/>
            <w:tcMar>
              <w:top w:w="80" w:type="dxa"/>
              <w:start w:w="120" w:type="dxa"/>
              <w:bottom w:w="80" w:type="dxa"/>
              <w:end w:w="120" w:type="dxa"/>
            </w:tcMar>
          </w:tcPr>
          <w:p>
            <w:pPr>
              <w:spacing w:after="0"/>
            </w:pPr>
            <w:r>
              <w:rPr>
                <w:rFonts w:ascii="Calibri" w:hAnsi="Calibri"/>
                <w:color w:val="17212B"/>
                <w:sz w:val="19"/>
              </w:rPr>
              <w:t>Offers, acceptance or refusal, stated reasons, practical availability, consequences</w:t>
            </w:r>
          </w:p>
        </w:tc>
      </w:tr>
      <w:tr>
        <w:tc>
          <w:tcPr>
            <w:tcW w:type="dxa" w:w="1950"/>
            <w:vAlign w:val="center"/>
            <w:tcMar>
              <w:top w:w="80" w:type="dxa"/>
              <w:start w:w="120" w:type="dxa"/>
              <w:bottom w:w="80" w:type="dxa"/>
              <w:end w:w="120" w:type="dxa"/>
            </w:tcMar>
          </w:tcPr>
          <w:p>
            <w:pPr>
              <w:spacing w:after="0"/>
            </w:pPr>
            <w:r>
              <w:rPr>
                <w:rFonts w:ascii="Calibri" w:hAnsi="Calibri"/>
                <w:color w:val="17212B"/>
                <w:sz w:val="19"/>
              </w:rPr>
              <w:t>Relational conditions</w:t>
            </w:r>
          </w:p>
        </w:tc>
        <w:tc>
          <w:tcPr>
            <w:tcW w:type="dxa" w:w="7410"/>
            <w:vAlign w:val="center"/>
            <w:tcMar>
              <w:top w:w="80" w:type="dxa"/>
              <w:start w:w="120" w:type="dxa"/>
              <w:bottom w:w="80" w:type="dxa"/>
              <w:end w:w="120" w:type="dxa"/>
            </w:tcMar>
          </w:tcPr>
          <w:p>
            <w:pPr>
              <w:spacing w:after="0"/>
            </w:pPr>
            <w:r>
              <w:rPr>
                <w:rFonts w:ascii="Calibri" w:hAnsi="Calibri"/>
                <w:color w:val="17212B"/>
                <w:sz w:val="19"/>
              </w:rPr>
              <w:t>Decision asymmetry, interference, surveillance, imposed costs, behavioral contraction</w:t>
            </w:r>
          </w:p>
        </w:tc>
      </w:tr>
    </w:tbl>
    <w:p>
      <w:pPr>
        <w:spacing w:after="20"/>
      </w:pPr>
    </w:p>
    <w:p>
      <w:pPr>
        <w:pStyle w:val="Heading1"/>
      </w:pPr>
      <w:r>
        <w:t>9. Incident Window and Scenario Lab</w:t>
      </w:r>
    </w:p>
    <w:p>
      <w:pPr>
        <w:spacing w:after="120"/>
      </w:pPr>
      <w:r>
        <w:rPr>
          <w:rFonts w:ascii="Calibri" w:hAnsi="Calibri"/>
          <w:i w:val="0"/>
          <w:color w:val="17212B"/>
          <w:sz w:val="22"/>
        </w:rPr>
        <w:t>Scenario Lab tests what must be true for competing reconstructions to remain feasible. It does not output a guilt score or a probability that a story is true.</w:t>
      </w:r>
    </w:p>
    <w:p>
      <w:pPr>
        <w:pStyle w:val="ListNumber"/>
        <w:spacing w:after="120" w:line="280" w:lineRule="auto"/>
      </w:pPr>
      <w:r>
        <w:rPr>
          <w:rFonts w:ascii="Calibri" w:hAnsi="Calibri"/>
          <w:color w:val="17212B"/>
          <w:sz w:val="22"/>
        </w:rPr>
        <w:t>Apply hard constraints: authenticated timestamps, necessary precursors, physical location, minimum travel time, and known access limitations.</w:t>
      </w:r>
    </w:p>
    <w:p>
      <w:pPr>
        <w:pStyle w:val="ListNumber"/>
        <w:spacing w:after="120" w:line="280" w:lineRule="auto"/>
      </w:pPr>
      <w:r>
        <w:rPr>
          <w:rFonts w:ascii="Calibri" w:hAnsi="Calibri"/>
          <w:color w:val="17212B"/>
          <w:sz w:val="22"/>
        </w:rPr>
        <w:t>Represent time and measurement uncertainty as explicit intervals or distributions.</w:t>
      </w:r>
    </w:p>
    <w:p>
      <w:pPr>
        <w:pStyle w:val="ListNumber"/>
        <w:spacing w:after="120" w:line="280" w:lineRule="auto"/>
      </w:pPr>
      <w:r>
        <w:rPr>
          <w:rFonts w:ascii="Calibri" w:hAnsi="Calibri"/>
          <w:color w:val="17212B"/>
          <w:sz w:val="22"/>
        </w:rPr>
        <w:t>Run repeated simulations that sample uncertain inputs and reject sequences violating the declared constraints.</w:t>
      </w:r>
    </w:p>
    <w:p>
      <w:pPr>
        <w:pStyle w:val="ListNumber"/>
        <w:spacing w:after="120" w:line="280" w:lineRule="auto"/>
      </w:pPr>
      <w:r>
        <w:rPr>
          <w:rFonts w:ascii="Calibri" w:hAnsi="Calibri"/>
          <w:color w:val="17212B"/>
          <w:sz w:val="22"/>
        </w:rPr>
        <w:t>Perform sensitivity analysis to identify which assumptions control feasibility.</w:t>
      </w:r>
    </w:p>
    <w:p>
      <w:pPr>
        <w:pStyle w:val="ListNumber"/>
        <w:spacing w:after="120" w:line="280" w:lineRule="auto"/>
      </w:pPr>
      <w:r>
        <w:rPr>
          <w:rFonts w:ascii="Calibri" w:hAnsi="Calibri"/>
          <w:color w:val="17212B"/>
          <w:sz w:val="22"/>
        </w:rPr>
        <w:t>Identify discriminating evidence that would most reduce uncertainty between surviving reconstructions.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vAlign w:val="center"/>
            <w:tcMar>
              <w:top w:w="80" w:type="dxa"/>
              <w:start w:w="120" w:type="dxa"/>
              <w:bottom w:w="80" w:type="dxa"/>
              <w:end w:w="120" w:type="dxa"/>
            </w:tcMar>
          </w:tcPr>
          <w:p>
            <w:pPr>
              <w:spacing w:after="0"/>
            </w:pPr>
            <w:r>
              <w:rPr>
                <w:rFonts w:ascii="Calibri" w:hAnsi="Calibri"/>
                <w:b/>
                <w:color w:val="1F4D78"/>
                <w:sz w:val="19"/>
              </w:rPr>
              <w:t>Required output</w:t>
            </w:r>
          </w:p>
        </w:tc>
        <w:tc>
          <w:tcPr>
            <w:tcW w:type="dxa" w:w="7060"/>
            <w:shd w:fill="F2F4F7"/>
            <w:vAlign w:val="center"/>
            <w:tcMar>
              <w:top w:w="80" w:type="dxa"/>
              <w:start w:w="120" w:type="dxa"/>
              <w:bottom w:w="80" w:type="dxa"/>
              <w:end w:w="120" w:type="dxa"/>
            </w:tcMar>
          </w:tcPr>
          <w:p>
            <w:pPr>
              <w:spacing w:after="0"/>
            </w:pPr>
            <w:r>
              <w:rPr>
                <w:rFonts w:ascii="Calibri" w:hAnsi="Calibri"/>
                <w:b/>
                <w:color w:val="1F4D78"/>
                <w:sz w:val="19"/>
              </w:rPr>
              <w:t>Example</w:t>
            </w:r>
          </w:p>
        </w:tc>
      </w:tr>
      <w:tr>
        <w:tc>
          <w:tcPr>
            <w:tcW w:type="dxa" w:w="2300"/>
            <w:vAlign w:val="center"/>
            <w:tcMar>
              <w:top w:w="80" w:type="dxa"/>
              <w:start w:w="120" w:type="dxa"/>
              <w:bottom w:w="80" w:type="dxa"/>
              <w:end w:w="120" w:type="dxa"/>
            </w:tcMar>
          </w:tcPr>
          <w:p>
            <w:pPr>
              <w:spacing w:after="0"/>
            </w:pPr>
            <w:r>
              <w:rPr>
                <w:rFonts w:ascii="Calibri" w:hAnsi="Calibri"/>
                <w:color w:val="17212B"/>
                <w:sz w:val="19"/>
              </w:rPr>
              <w:t>Required conditions</w:t>
            </w:r>
          </w:p>
        </w:tc>
        <w:tc>
          <w:tcPr>
            <w:tcW w:type="dxa" w:w="7060"/>
            <w:vAlign w:val="center"/>
            <w:tcMar>
              <w:top w:w="80" w:type="dxa"/>
              <w:start w:w="120" w:type="dxa"/>
              <w:bottom w:w="80" w:type="dxa"/>
              <w:end w:w="120" w:type="dxa"/>
            </w:tcMar>
          </w:tcPr>
          <w:p>
            <w:pPr>
              <w:spacing w:after="0"/>
            </w:pPr>
            <w:r>
              <w:rPr>
                <w:rFonts w:ascii="Calibri" w:hAnsi="Calibri"/>
                <w:color w:val="17212B"/>
                <w:sz w:val="19"/>
              </w:rPr>
              <w:t>The account requires departure before a specified time and assumes a particular person possessed Device A.</w:t>
            </w:r>
          </w:p>
        </w:tc>
      </w:tr>
      <w:tr>
        <w:tc>
          <w:tcPr>
            <w:tcW w:type="dxa" w:w="2300"/>
            <w:vAlign w:val="center"/>
            <w:tcMar>
              <w:top w:w="80" w:type="dxa"/>
              <w:start w:w="120" w:type="dxa"/>
              <w:bottom w:w="80" w:type="dxa"/>
              <w:end w:w="120" w:type="dxa"/>
            </w:tcMar>
          </w:tcPr>
          <w:p>
            <w:pPr>
              <w:spacing w:after="0"/>
            </w:pPr>
            <w:r>
              <w:rPr>
                <w:rFonts w:ascii="Calibri" w:hAnsi="Calibri"/>
                <w:color w:val="17212B"/>
                <w:sz w:val="19"/>
              </w:rPr>
              <w:t>Supporting evidence</w:t>
            </w:r>
          </w:p>
        </w:tc>
        <w:tc>
          <w:tcPr>
            <w:tcW w:type="dxa" w:w="7060"/>
            <w:vAlign w:val="center"/>
            <w:tcMar>
              <w:top w:w="80" w:type="dxa"/>
              <w:start w:w="120" w:type="dxa"/>
              <w:bottom w:w="80" w:type="dxa"/>
              <w:end w:w="120" w:type="dxa"/>
            </w:tcMar>
          </w:tcPr>
          <w:p>
            <w:pPr>
              <w:spacing w:after="0"/>
            </w:pPr>
            <w:r>
              <w:rPr>
                <w:rFonts w:ascii="Calibri" w:hAnsi="Calibri"/>
                <w:color w:val="17212B"/>
                <w:sz w:val="19"/>
              </w:rPr>
              <w:t>Call log, camera time, transaction record, medical measurement.</w:t>
            </w:r>
          </w:p>
        </w:tc>
      </w:tr>
      <w:tr>
        <w:tc>
          <w:tcPr>
            <w:tcW w:type="dxa" w:w="2300"/>
            <w:vAlign w:val="center"/>
            <w:tcMar>
              <w:top w:w="80" w:type="dxa"/>
              <w:start w:w="120" w:type="dxa"/>
              <w:bottom w:w="80" w:type="dxa"/>
              <w:end w:w="120" w:type="dxa"/>
            </w:tcMar>
          </w:tcPr>
          <w:p>
            <w:pPr>
              <w:spacing w:after="0"/>
            </w:pPr>
            <w:r>
              <w:rPr>
                <w:rFonts w:ascii="Calibri" w:hAnsi="Calibri"/>
                <w:color w:val="17212B"/>
                <w:sz w:val="19"/>
              </w:rPr>
              <w:t>Conflicting evidence</w:t>
            </w:r>
          </w:p>
        </w:tc>
        <w:tc>
          <w:tcPr>
            <w:tcW w:type="dxa" w:w="7060"/>
            <w:vAlign w:val="center"/>
            <w:tcMar>
              <w:top w:w="80" w:type="dxa"/>
              <w:start w:w="120" w:type="dxa"/>
              <w:bottom w:w="80" w:type="dxa"/>
              <w:end w:w="120" w:type="dxa"/>
            </w:tcMar>
          </w:tcPr>
          <w:p>
            <w:pPr>
              <w:spacing w:after="0"/>
            </w:pPr>
            <w:r>
              <w:rPr>
                <w:rFonts w:ascii="Calibri" w:hAnsi="Calibri"/>
                <w:color w:val="17212B"/>
                <w:sz w:val="19"/>
              </w:rPr>
              <w:t>Location interval or witness estimate inconsistent with the sequence.</w:t>
            </w:r>
          </w:p>
        </w:tc>
      </w:tr>
      <w:tr>
        <w:tc>
          <w:tcPr>
            <w:tcW w:type="dxa" w:w="2300"/>
            <w:vAlign w:val="center"/>
            <w:tcMar>
              <w:top w:w="80" w:type="dxa"/>
              <w:start w:w="120" w:type="dxa"/>
              <w:bottom w:w="80" w:type="dxa"/>
              <w:end w:w="120" w:type="dxa"/>
            </w:tcMar>
          </w:tcPr>
          <w:p>
            <w:pPr>
              <w:spacing w:after="0"/>
            </w:pPr>
            <w:r>
              <w:rPr>
                <w:rFonts w:ascii="Calibri" w:hAnsi="Calibri"/>
                <w:color w:val="17212B"/>
                <w:sz w:val="19"/>
              </w:rPr>
              <w:t>Unsupported assumptions</w:t>
            </w:r>
          </w:p>
        </w:tc>
        <w:tc>
          <w:tcPr>
            <w:tcW w:type="dxa" w:w="7060"/>
            <w:vAlign w:val="center"/>
            <w:tcMar>
              <w:top w:w="80" w:type="dxa"/>
              <w:start w:w="120" w:type="dxa"/>
              <w:bottom w:w="80" w:type="dxa"/>
              <w:end w:w="120" w:type="dxa"/>
            </w:tcMar>
          </w:tcPr>
          <w:p>
            <w:pPr>
              <w:spacing w:after="0"/>
            </w:pPr>
            <w:r>
              <w:rPr>
                <w:rFonts w:ascii="Calibri" w:hAnsi="Calibri"/>
                <w:color w:val="17212B"/>
                <w:sz w:val="19"/>
              </w:rPr>
              <w:t>Exact action duration, device carrier, or clock accuracy lacks direct evidence.</w:t>
            </w:r>
          </w:p>
        </w:tc>
      </w:tr>
      <w:tr>
        <w:tc>
          <w:tcPr>
            <w:tcW w:type="dxa" w:w="2300"/>
            <w:vAlign w:val="center"/>
            <w:tcMar>
              <w:top w:w="80" w:type="dxa"/>
              <w:start w:w="120" w:type="dxa"/>
              <w:bottom w:w="80" w:type="dxa"/>
              <w:end w:w="120" w:type="dxa"/>
            </w:tcMar>
          </w:tcPr>
          <w:p>
            <w:pPr>
              <w:spacing w:after="0"/>
            </w:pPr>
            <w:r>
              <w:rPr>
                <w:rFonts w:ascii="Calibri" w:hAnsi="Calibri"/>
                <w:color w:val="17212B"/>
                <w:sz w:val="19"/>
              </w:rPr>
              <w:t>Sensitivity</w:t>
            </w:r>
          </w:p>
        </w:tc>
        <w:tc>
          <w:tcPr>
            <w:tcW w:type="dxa" w:w="7060"/>
            <w:vAlign w:val="center"/>
            <w:tcMar>
              <w:top w:w="80" w:type="dxa"/>
              <w:start w:w="120" w:type="dxa"/>
              <w:bottom w:w="80" w:type="dxa"/>
              <w:end w:w="120" w:type="dxa"/>
            </w:tcMar>
          </w:tcPr>
          <w:p>
            <w:pPr>
              <w:spacing w:after="0"/>
            </w:pPr>
            <w:r>
              <w:rPr>
                <w:rFonts w:ascii="Calibri" w:hAnsi="Calibri"/>
                <w:color w:val="17212B"/>
                <w:sz w:val="19"/>
              </w:rPr>
              <w:t>The sequence fails under most values unless two assumptions sit near their outer limits.</w:t>
            </w:r>
          </w:p>
        </w:tc>
      </w:tr>
      <w:tr>
        <w:tc>
          <w:tcPr>
            <w:tcW w:type="dxa" w:w="2300"/>
            <w:vAlign w:val="center"/>
            <w:tcMar>
              <w:top w:w="80" w:type="dxa"/>
              <w:start w:w="120" w:type="dxa"/>
              <w:bottom w:w="80" w:type="dxa"/>
              <w:end w:w="120" w:type="dxa"/>
            </w:tcMar>
          </w:tcPr>
          <w:p>
            <w:pPr>
              <w:spacing w:after="0"/>
            </w:pPr>
            <w:r>
              <w:rPr>
                <w:rFonts w:ascii="Calibri" w:hAnsi="Calibri"/>
                <w:color w:val="17212B"/>
                <w:sz w:val="19"/>
              </w:rPr>
              <w:t>Discriminating evidence</w:t>
            </w:r>
          </w:p>
        </w:tc>
        <w:tc>
          <w:tcPr>
            <w:tcW w:type="dxa" w:w="7060"/>
            <w:vAlign w:val="center"/>
            <w:tcMar>
              <w:top w:w="80" w:type="dxa"/>
              <w:start w:w="120" w:type="dxa"/>
              <w:bottom w:w="80" w:type="dxa"/>
              <w:end w:w="120" w:type="dxa"/>
            </w:tcMar>
          </w:tcPr>
          <w:p>
            <w:pPr>
              <w:spacing w:after="0"/>
            </w:pPr>
            <w:r>
              <w:rPr>
                <w:rFonts w:ascii="Calibri" w:hAnsi="Calibri"/>
                <w:color w:val="17212B"/>
                <w:sz w:val="19"/>
              </w:rPr>
              <w:t>Original device extraction, timestamp calibration, exhibit photograph, or raw clinical measurement.</w:t>
            </w:r>
          </w:p>
        </w:tc>
      </w:tr>
    </w:tbl>
    <w:p>
      <w:pPr>
        <w:spacing w:after="20"/>
      </w:pPr>
    </w:p>
    <w:p>
      <w:pPr>
        <w:pStyle w:val="Heading1"/>
      </w:pPr>
      <w:r>
        <w:t>10. User workflow</w:t>
      </w:r>
    </w:p>
    <w:p>
      <w:pPr>
        <w:pStyle w:val="ListNumber"/>
        <w:spacing w:after="120" w:line="280" w:lineRule="auto"/>
      </w:pPr>
      <w:r>
        <w:rPr>
          <w:rFonts w:ascii="Calibri" w:hAnsi="Calibri"/>
          <w:color w:val="17212B"/>
          <w:sz w:val="22"/>
        </w:rPr>
        <w:t>Create a case room and define the public-record cutoff date.</w:t>
      </w:r>
    </w:p>
    <w:p>
      <w:pPr>
        <w:pStyle w:val="ListNumber"/>
        <w:spacing w:after="120" w:line="280" w:lineRule="auto"/>
      </w:pPr>
      <w:r>
        <w:rPr>
          <w:rFonts w:ascii="Calibri" w:hAnsi="Calibri"/>
          <w:color w:val="17212B"/>
          <w:sz w:val="22"/>
        </w:rPr>
        <w:t>Upload or link source material; preserve originals and source metadata.</w:t>
      </w:r>
    </w:p>
    <w:p>
      <w:pPr>
        <w:pStyle w:val="ListNumber"/>
        <w:spacing w:after="120" w:line="280" w:lineRule="auto"/>
      </w:pPr>
      <w:r>
        <w:rPr>
          <w:rFonts w:ascii="Calibri" w:hAnsi="Calibri"/>
          <w:color w:val="17212B"/>
          <w:sz w:val="22"/>
        </w:rPr>
        <w:t>Extract attributed claims, events, entities, times, and citations.</w:t>
      </w:r>
    </w:p>
    <w:p>
      <w:pPr>
        <w:pStyle w:val="ListNumber"/>
        <w:spacing w:after="120" w:line="280" w:lineRule="auto"/>
      </w:pPr>
      <w:r>
        <w:rPr>
          <w:rFonts w:ascii="Calibri" w:hAnsi="Calibri"/>
          <w:color w:val="17212B"/>
          <w:sz w:val="22"/>
        </w:rPr>
        <w:t>Human-review every high-impact extraction before it enters the case graph.</w:t>
      </w:r>
    </w:p>
    <w:p>
      <w:pPr>
        <w:pStyle w:val="ListNumber"/>
        <w:spacing w:after="120" w:line="280" w:lineRule="auto"/>
      </w:pPr>
      <w:r>
        <w:rPr>
          <w:rFonts w:ascii="Calibri" w:hAnsi="Calibri"/>
          <w:color w:val="17212B"/>
          <w:sz w:val="22"/>
        </w:rPr>
        <w:t>Resolve aliases without erasing source-specific naming.</w:t>
      </w:r>
    </w:p>
    <w:p>
      <w:pPr>
        <w:pStyle w:val="ListNumber"/>
        <w:spacing w:after="120" w:line="280" w:lineRule="auto"/>
      </w:pPr>
      <w:r>
        <w:rPr>
          <w:rFonts w:ascii="Calibri" w:hAnsi="Calibri"/>
          <w:color w:val="17212B"/>
          <w:sz w:val="22"/>
        </w:rPr>
        <w:t>Place reported and artifact-supported events on layered timelines.</w:t>
      </w:r>
    </w:p>
    <w:p>
      <w:pPr>
        <w:pStyle w:val="ListNumber"/>
        <w:spacing w:after="120" w:line="280" w:lineRule="auto"/>
      </w:pPr>
      <w:r>
        <w:rPr>
          <w:rFonts w:ascii="Calibri" w:hAnsi="Calibri"/>
          <w:color w:val="17212B"/>
          <w:sz w:val="22"/>
        </w:rPr>
        <w:t>Surface contradictions, source dependencies, missing intervals, and changed accounts.</w:t>
      </w:r>
    </w:p>
    <w:p>
      <w:pPr>
        <w:pStyle w:val="ListNumber"/>
        <w:spacing w:after="120" w:line="280" w:lineRule="auto"/>
      </w:pPr>
      <w:r>
        <w:rPr>
          <w:rFonts w:ascii="Calibri" w:hAnsi="Calibri"/>
          <w:color w:val="17212B"/>
          <w:sz w:val="22"/>
        </w:rPr>
        <w:t>Build and compare explicit hypotheses in Scenario Lab.</w:t>
      </w:r>
    </w:p>
    <w:p>
      <w:pPr>
        <w:pStyle w:val="ListNumber"/>
        <w:spacing w:after="120" w:line="280" w:lineRule="auto"/>
      </w:pPr>
      <w:r>
        <w:rPr>
          <w:rFonts w:ascii="Calibri" w:hAnsi="Calibri"/>
          <w:color w:val="17212B"/>
          <w:sz w:val="22"/>
        </w:rPr>
        <w:t>Draft the narrative with sentence-level citations and visible qualifications.</w:t>
      </w:r>
    </w:p>
    <w:p>
      <w:pPr>
        <w:pStyle w:val="ListNumber"/>
        <w:spacing w:after="120" w:line="280" w:lineRule="auto"/>
      </w:pPr>
      <w:r>
        <w:rPr>
          <w:rFonts w:ascii="Calibri" w:hAnsi="Calibri"/>
          <w:color w:val="17212B"/>
          <w:sz w:val="22"/>
        </w:rPr>
        <w:t>Publish a versioned research packet showing sources, assumptions, and unresolved questions.</w:t>
      </w:r>
    </w:p>
    <w:p>
      <w:pPr>
        <w:pStyle w:val="Heading1"/>
      </w:pPr>
      <w:r>
        <w:t>11. V1 screens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F2F4F7"/>
            <w:vAlign w:val="center"/>
            <w:tcMar>
              <w:top w:w="80" w:type="dxa"/>
              <w:start w:w="120" w:type="dxa"/>
              <w:bottom w:w="80" w:type="dxa"/>
              <w:end w:w="120" w:type="dxa"/>
            </w:tcMar>
          </w:tcPr>
          <w:p>
            <w:pPr>
              <w:spacing w:after="0"/>
            </w:pPr>
            <w:r>
              <w:rPr>
                <w:rFonts w:ascii="Calibri" w:hAnsi="Calibri"/>
                <w:b/>
                <w:color w:val="1F4D78"/>
                <w:sz w:val="19"/>
              </w:rPr>
              <w:t>Screen</w:t>
            </w:r>
          </w:p>
        </w:tc>
        <w:tc>
          <w:tcPr>
            <w:tcW w:type="dxa" w:w="7510"/>
            <w:shd w:fill="F2F4F7"/>
            <w:vAlign w:val="center"/>
            <w:tcMar>
              <w:top w:w="80" w:type="dxa"/>
              <w:start w:w="120" w:type="dxa"/>
              <w:bottom w:w="80" w:type="dxa"/>
              <w:end w:w="120" w:type="dxa"/>
            </w:tcMar>
          </w:tcPr>
          <w:p>
            <w:pPr>
              <w:spacing w:after="0"/>
            </w:pPr>
            <w:r>
              <w:rPr>
                <w:rFonts w:ascii="Calibri" w:hAnsi="Calibri"/>
                <w:b/>
                <w:color w:val="1F4D78"/>
                <w:sz w:val="19"/>
              </w:rPr>
              <w:t>Primary job</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Case Overview</w:t>
            </w:r>
          </w:p>
        </w:tc>
        <w:tc>
          <w:tcPr>
            <w:tcW w:type="dxa" w:w="7510"/>
            <w:vAlign w:val="center"/>
            <w:tcMar>
              <w:top w:w="80" w:type="dxa"/>
              <w:start w:w="120" w:type="dxa"/>
              <w:bottom w:w="80" w:type="dxa"/>
              <w:end w:w="120" w:type="dxa"/>
            </w:tcMar>
          </w:tcPr>
          <w:p>
            <w:pPr>
              <w:spacing w:after="0"/>
            </w:pPr>
            <w:r>
              <w:rPr>
                <w:rFonts w:ascii="Calibri" w:hAnsi="Calibri"/>
                <w:color w:val="17212B"/>
                <w:sz w:val="19"/>
              </w:rPr>
              <w:t>Orient the researcher to thesis, cutoff date, material gaps, and current reconstruction status.</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Source Library</w:t>
            </w:r>
          </w:p>
        </w:tc>
        <w:tc>
          <w:tcPr>
            <w:tcW w:type="dxa" w:w="7510"/>
            <w:vAlign w:val="center"/>
            <w:tcMar>
              <w:top w:w="80" w:type="dxa"/>
              <w:start w:w="120" w:type="dxa"/>
              <w:bottom w:w="80" w:type="dxa"/>
              <w:end w:w="120" w:type="dxa"/>
            </w:tcMar>
          </w:tcPr>
          <w:p>
            <w:pPr>
              <w:spacing w:after="0"/>
            </w:pPr>
            <w:r>
              <w:rPr>
                <w:rFonts w:ascii="Calibri" w:hAnsi="Calibri"/>
                <w:color w:val="17212B"/>
                <w:sz w:val="19"/>
              </w:rPr>
              <w:t>Read, search, cite, classify, and inspect provenance for every source.</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Claims Review</w:t>
            </w:r>
          </w:p>
        </w:tc>
        <w:tc>
          <w:tcPr>
            <w:tcW w:type="dxa" w:w="7510"/>
            <w:vAlign w:val="center"/>
            <w:tcMar>
              <w:top w:w="80" w:type="dxa"/>
              <w:start w:w="120" w:type="dxa"/>
              <w:bottom w:w="80" w:type="dxa"/>
              <w:end w:w="120" w:type="dxa"/>
            </w:tcMar>
          </w:tcPr>
          <w:p>
            <w:pPr>
              <w:spacing w:after="0"/>
            </w:pPr>
            <w:r>
              <w:rPr>
                <w:rFonts w:ascii="Calibri" w:hAnsi="Calibri"/>
                <w:color w:val="17212B"/>
                <w:sz w:val="19"/>
              </w:rPr>
              <w:t>Approve, correct, split, attribute, and qualify extracted claims.</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Entity Map</w:t>
            </w:r>
          </w:p>
        </w:tc>
        <w:tc>
          <w:tcPr>
            <w:tcW w:type="dxa" w:w="7510"/>
            <w:vAlign w:val="center"/>
            <w:tcMar>
              <w:top w:w="80" w:type="dxa"/>
              <w:start w:w="120" w:type="dxa"/>
              <w:bottom w:w="80" w:type="dxa"/>
              <w:end w:w="120" w:type="dxa"/>
            </w:tcMar>
          </w:tcPr>
          <w:p>
            <w:pPr>
              <w:spacing w:after="0"/>
            </w:pPr>
            <w:r>
              <w:rPr>
                <w:rFonts w:ascii="Calibri" w:hAnsi="Calibri"/>
                <w:color w:val="17212B"/>
                <w:sz w:val="19"/>
              </w:rPr>
              <w:t>Resolve people, aliases, devices, medications, places, providers, and organizations.</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Timeline</w:t>
            </w:r>
          </w:p>
        </w:tc>
        <w:tc>
          <w:tcPr>
            <w:tcW w:type="dxa" w:w="7510"/>
            <w:vAlign w:val="center"/>
            <w:tcMar>
              <w:top w:w="80" w:type="dxa"/>
              <w:start w:w="120" w:type="dxa"/>
              <w:bottom w:w="80" w:type="dxa"/>
              <w:end w:w="120" w:type="dxa"/>
            </w:tcMar>
          </w:tcPr>
          <w:p>
            <w:pPr>
              <w:spacing w:after="0"/>
            </w:pPr>
            <w:r>
              <w:rPr>
                <w:rFonts w:ascii="Calibri" w:hAnsi="Calibri"/>
                <w:color w:val="17212B"/>
                <w:sz w:val="19"/>
              </w:rPr>
              <w:t>Toggle synchronized lanes and inspect exact support for each event.</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Pattern View</w:t>
            </w:r>
          </w:p>
        </w:tc>
        <w:tc>
          <w:tcPr>
            <w:tcW w:type="dxa" w:w="7510"/>
            <w:vAlign w:val="center"/>
            <w:tcMar>
              <w:top w:w="80" w:type="dxa"/>
              <w:start w:w="120" w:type="dxa"/>
              <w:bottom w:w="80" w:type="dxa"/>
              <w:end w:w="120" w:type="dxa"/>
            </w:tcMar>
          </w:tcPr>
          <w:p>
            <w:pPr>
              <w:spacing w:after="0"/>
            </w:pPr>
            <w:r>
              <w:rPr>
                <w:rFonts w:ascii="Calibri" w:hAnsi="Calibri"/>
                <w:color w:val="17212B"/>
                <w:sz w:val="19"/>
              </w:rPr>
              <w:t>See repeated sequences, claim laundering, relational asymmetry, and cumulative change.</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Scenario Lab</w:t>
            </w:r>
          </w:p>
        </w:tc>
        <w:tc>
          <w:tcPr>
            <w:tcW w:type="dxa" w:w="7510"/>
            <w:vAlign w:val="center"/>
            <w:tcMar>
              <w:top w:w="80" w:type="dxa"/>
              <w:start w:w="120" w:type="dxa"/>
              <w:bottom w:w="80" w:type="dxa"/>
              <w:end w:w="120" w:type="dxa"/>
            </w:tcMar>
          </w:tcPr>
          <w:p>
            <w:pPr>
              <w:spacing w:after="0"/>
            </w:pPr>
            <w:r>
              <w:rPr>
                <w:rFonts w:ascii="Calibri" w:hAnsi="Calibri"/>
                <w:color w:val="17212B"/>
                <w:sz w:val="19"/>
              </w:rPr>
              <w:t>Define competing reconstructions, constraints, assumptions, and simulation inputs.</w:t>
            </w:r>
          </w:p>
        </w:tc>
      </w:tr>
      <w:tr>
        <w:tc>
          <w:tcPr>
            <w:tcW w:type="dxa" w:w="1850"/>
            <w:vAlign w:val="center"/>
            <w:tcMar>
              <w:top w:w="80" w:type="dxa"/>
              <w:start w:w="120" w:type="dxa"/>
              <w:bottom w:w="80" w:type="dxa"/>
              <w:end w:w="120" w:type="dxa"/>
            </w:tcMar>
          </w:tcPr>
          <w:p>
            <w:pPr>
              <w:spacing w:after="0"/>
            </w:pPr>
            <w:r>
              <w:rPr>
                <w:rFonts w:ascii="Calibri" w:hAnsi="Calibri"/>
                <w:color w:val="17212B"/>
                <w:sz w:val="19"/>
              </w:rPr>
              <w:t>Story Builder</w:t>
            </w:r>
          </w:p>
        </w:tc>
        <w:tc>
          <w:tcPr>
            <w:tcW w:type="dxa" w:w="7510"/>
            <w:vAlign w:val="center"/>
            <w:tcMar>
              <w:top w:w="80" w:type="dxa"/>
              <w:start w:w="120" w:type="dxa"/>
              <w:bottom w:w="80" w:type="dxa"/>
              <w:end w:w="120" w:type="dxa"/>
            </w:tcMar>
          </w:tcPr>
          <w:p>
            <w:pPr>
              <w:spacing w:after="0"/>
            </w:pPr>
            <w:r>
              <w:rPr>
                <w:rFonts w:ascii="Calibri" w:hAnsi="Calibri"/>
                <w:color w:val="17212B"/>
                <w:sz w:val="19"/>
              </w:rPr>
              <w:t>Create a source-linked article, episode, visual chronology, or research brief.</w:t>
            </w:r>
          </w:p>
        </w:tc>
      </w:tr>
    </w:tbl>
    <w:p>
      <w:pPr>
        <w:spacing w:after="20"/>
      </w:pPr>
    </w:p>
    <w:p>
      <w:pPr>
        <w:pStyle w:val="Heading1"/>
      </w:pPr>
      <w:r>
        <w:t>12. Functional requirements</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shd w:fill="F2F4F7"/>
            <w:vAlign w:val="center"/>
            <w:tcMar>
              <w:top w:w="80" w:type="dxa"/>
              <w:start w:w="120" w:type="dxa"/>
              <w:bottom w:w="80" w:type="dxa"/>
              <w:end w:w="120" w:type="dxa"/>
            </w:tcMar>
          </w:tcPr>
          <w:p>
            <w:pPr>
              <w:spacing w:after="0"/>
            </w:pPr>
            <w:r>
              <w:rPr>
                <w:rFonts w:ascii="Calibri" w:hAnsi="Calibri"/>
                <w:b/>
                <w:color w:val="1F4D78"/>
                <w:sz w:val="19"/>
              </w:rPr>
              <w:t>ID</w:t>
            </w:r>
          </w:p>
        </w:tc>
        <w:tc>
          <w:tcPr>
            <w:tcW w:type="dxa" w:w="8260"/>
            <w:shd w:fill="F2F4F7"/>
            <w:vAlign w:val="center"/>
            <w:tcMar>
              <w:top w:w="80" w:type="dxa"/>
              <w:start w:w="120" w:type="dxa"/>
              <w:bottom w:w="80" w:type="dxa"/>
              <w:end w:w="120" w:type="dxa"/>
            </w:tcMar>
          </w:tcPr>
          <w:p>
            <w:pPr>
              <w:spacing w:after="0"/>
            </w:pPr>
            <w:r>
              <w:rPr>
                <w:rFonts w:ascii="Calibri" w:hAnsi="Calibri"/>
                <w:b/>
                <w:color w:val="1F4D78"/>
                <w:sz w:val="19"/>
              </w:rPr>
              <w:t>Requirement</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FR-01</w:t>
            </w:r>
          </w:p>
        </w:tc>
        <w:tc>
          <w:tcPr>
            <w:tcW w:type="dxa" w:w="8260"/>
            <w:vAlign w:val="center"/>
            <w:tcMar>
              <w:top w:w="80" w:type="dxa"/>
              <w:start w:w="120" w:type="dxa"/>
              <w:bottom w:w="80" w:type="dxa"/>
              <w:end w:w="120" w:type="dxa"/>
            </w:tcMar>
          </w:tcPr>
          <w:p>
            <w:pPr>
              <w:spacing w:after="0"/>
            </w:pPr>
            <w:r>
              <w:rPr>
                <w:rFonts w:ascii="Calibri" w:hAnsi="Calibri"/>
                <w:color w:val="17212B"/>
                <w:sz w:val="19"/>
              </w:rPr>
              <w:t>Ingest heterogeneous source files without altering the original bytes.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FR-02</w:t>
            </w:r>
          </w:p>
        </w:tc>
        <w:tc>
          <w:tcPr>
            <w:tcW w:type="dxa" w:w="8260"/>
            <w:vAlign w:val="center"/>
            <w:tcMar>
              <w:top w:w="80" w:type="dxa"/>
              <w:start w:w="120" w:type="dxa"/>
              <w:bottom w:w="80" w:type="dxa"/>
              <w:end w:w="120" w:type="dxa"/>
            </w:tcMar>
          </w:tcPr>
          <w:p>
            <w:pPr>
              <w:spacing w:after="0"/>
            </w:pPr>
            <w:r>
              <w:rPr>
                <w:rFonts w:ascii="Calibri" w:hAnsi="Calibri"/>
                <w:color w:val="17212B"/>
                <w:sz w:val="19"/>
              </w:rPr>
              <w:t>Attach page-, timestamp-, row-, or image-region citations to extracted claims.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FR-03</w:t>
            </w:r>
          </w:p>
        </w:tc>
        <w:tc>
          <w:tcPr>
            <w:tcW w:type="dxa" w:w="8260"/>
            <w:vAlign w:val="center"/>
            <w:tcMar>
              <w:top w:w="80" w:type="dxa"/>
              <w:start w:w="120" w:type="dxa"/>
              <w:bottom w:w="80" w:type="dxa"/>
              <w:end w:w="120" w:type="dxa"/>
            </w:tcMar>
          </w:tcPr>
          <w:p>
            <w:pPr>
              <w:spacing w:after="0"/>
            </w:pPr>
            <w:r>
              <w:rPr>
                <w:rFonts w:ascii="Calibri" w:hAnsi="Calibri"/>
                <w:color w:val="17212B"/>
                <w:sz w:val="19"/>
              </w:rPr>
              <w:t>Separate claimant, recorder, publisher, and subject roles.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FR-04</w:t>
            </w:r>
          </w:p>
        </w:tc>
        <w:tc>
          <w:tcPr>
            <w:tcW w:type="dxa" w:w="8260"/>
            <w:vAlign w:val="center"/>
            <w:tcMar>
              <w:top w:w="80" w:type="dxa"/>
              <w:start w:w="120" w:type="dxa"/>
              <w:bottom w:w="80" w:type="dxa"/>
              <w:end w:w="120" w:type="dxa"/>
            </w:tcMar>
          </w:tcPr>
          <w:p>
            <w:pPr>
              <w:spacing w:after="0"/>
            </w:pPr>
            <w:r>
              <w:rPr>
                <w:rFonts w:ascii="Calibri" w:hAnsi="Calibri"/>
                <w:color w:val="17212B"/>
                <w:sz w:val="19"/>
              </w:rPr>
              <w:t>Represent event time separately from report time and publication time.</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FR-05</w:t>
            </w:r>
          </w:p>
        </w:tc>
        <w:tc>
          <w:tcPr>
            <w:tcW w:type="dxa" w:w="8260"/>
            <w:vAlign w:val="center"/>
            <w:tcMar>
              <w:top w:w="80" w:type="dxa"/>
              <w:start w:w="120" w:type="dxa"/>
              <w:bottom w:w="80" w:type="dxa"/>
              <w:end w:w="120" w:type="dxa"/>
            </w:tcMar>
          </w:tcPr>
          <w:p>
            <w:pPr>
              <w:spacing w:after="0"/>
            </w:pPr>
            <w:r>
              <w:rPr>
                <w:rFonts w:ascii="Calibri" w:hAnsi="Calibri"/>
                <w:color w:val="17212B"/>
                <w:sz w:val="19"/>
              </w:rPr>
              <w:t>Preserve exact wording beside neutral structured representation.</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FR-06</w:t>
            </w:r>
          </w:p>
        </w:tc>
        <w:tc>
          <w:tcPr>
            <w:tcW w:type="dxa" w:w="8260"/>
            <w:vAlign w:val="center"/>
            <w:tcMar>
              <w:top w:w="80" w:type="dxa"/>
              <w:start w:w="120" w:type="dxa"/>
              <w:bottom w:w="80" w:type="dxa"/>
              <w:end w:w="120" w:type="dxa"/>
            </w:tcMar>
          </w:tcPr>
          <w:p>
            <w:pPr>
              <w:spacing w:after="0"/>
            </w:pPr>
            <w:r>
              <w:rPr>
                <w:rFonts w:ascii="Calibri" w:hAnsi="Calibri"/>
                <w:color w:val="17212B"/>
                <w:sz w:val="19"/>
              </w:rPr>
              <w:t>Detect repeated claims sharing the same originating source.</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FR-07</w:t>
            </w:r>
          </w:p>
        </w:tc>
        <w:tc>
          <w:tcPr>
            <w:tcW w:type="dxa" w:w="8260"/>
            <w:vAlign w:val="center"/>
            <w:tcMar>
              <w:top w:w="80" w:type="dxa"/>
              <w:start w:w="120" w:type="dxa"/>
              <w:bottom w:w="80" w:type="dxa"/>
              <w:end w:w="120" w:type="dxa"/>
            </w:tcMar>
          </w:tcPr>
          <w:p>
            <w:pPr>
              <w:spacing w:after="0"/>
            </w:pPr>
            <w:r>
              <w:rPr>
                <w:rFonts w:ascii="Calibri" w:hAnsi="Calibri"/>
                <w:color w:val="17212B"/>
                <w:sz w:val="19"/>
              </w:rPr>
              <w:t>Retain conflicting accounts and show why they conflict.</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FR-08</w:t>
            </w:r>
          </w:p>
        </w:tc>
        <w:tc>
          <w:tcPr>
            <w:tcW w:type="dxa" w:w="8260"/>
            <w:vAlign w:val="center"/>
            <w:tcMar>
              <w:top w:w="80" w:type="dxa"/>
              <w:start w:w="120" w:type="dxa"/>
              <w:bottom w:w="80" w:type="dxa"/>
              <w:end w:w="120" w:type="dxa"/>
            </w:tcMar>
          </w:tcPr>
          <w:p>
            <w:pPr>
              <w:spacing w:after="0"/>
            </w:pPr>
            <w:r>
              <w:rPr>
                <w:rFonts w:ascii="Calibri" w:hAnsi="Calibri"/>
                <w:color w:val="17212B"/>
                <w:sz w:val="19"/>
              </w:rPr>
              <w:t>Resolve aliases across sources while retaining the original reference string.</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FR-09</w:t>
            </w:r>
          </w:p>
        </w:tc>
        <w:tc>
          <w:tcPr>
            <w:tcW w:type="dxa" w:w="8260"/>
            <w:vAlign w:val="center"/>
            <w:tcMar>
              <w:top w:w="80" w:type="dxa"/>
              <w:start w:w="120" w:type="dxa"/>
              <w:bottom w:w="80" w:type="dxa"/>
              <w:end w:w="120" w:type="dxa"/>
            </w:tcMar>
          </w:tcPr>
          <w:p>
            <w:pPr>
              <w:spacing w:after="0"/>
            </w:pPr>
            <w:r>
              <w:rPr>
                <w:rFonts w:ascii="Calibri" w:hAnsi="Calibri"/>
                <w:color w:val="17212B"/>
                <w:sz w:val="19"/>
              </w:rPr>
              <w:t>Support exact, approximate, interval, relative, and unknown time.</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FR-10</w:t>
            </w:r>
          </w:p>
        </w:tc>
        <w:tc>
          <w:tcPr>
            <w:tcW w:type="dxa" w:w="8260"/>
            <w:vAlign w:val="center"/>
            <w:tcMar>
              <w:top w:w="80" w:type="dxa"/>
              <w:start w:w="120" w:type="dxa"/>
              <w:bottom w:w="80" w:type="dxa"/>
              <w:end w:w="120" w:type="dxa"/>
            </w:tcMar>
          </w:tcPr>
          <w:p>
            <w:pPr>
              <w:spacing w:after="0"/>
            </w:pPr>
            <w:r>
              <w:rPr>
                <w:rFonts w:ascii="Calibri" w:hAnsi="Calibri"/>
                <w:color w:val="17212B"/>
                <w:sz w:val="19"/>
              </w:rPr>
              <w:t>Track medication and symptom trajectories as versioned event series.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FR-11</w:t>
            </w:r>
          </w:p>
        </w:tc>
        <w:tc>
          <w:tcPr>
            <w:tcW w:type="dxa" w:w="8260"/>
            <w:vAlign w:val="center"/>
            <w:tcMar>
              <w:top w:w="80" w:type="dxa"/>
              <w:start w:w="120" w:type="dxa"/>
              <w:bottom w:w="80" w:type="dxa"/>
              <w:end w:w="120" w:type="dxa"/>
            </w:tcMar>
          </w:tcPr>
          <w:p>
            <w:pPr>
              <w:spacing w:after="0"/>
            </w:pPr>
            <w:r>
              <w:rPr>
                <w:rFonts w:ascii="Calibri" w:hAnsi="Calibri"/>
                <w:color w:val="17212B"/>
                <w:sz w:val="19"/>
              </w:rPr>
              <w:t>Model household responsibility and support as observable events, not presumed motives.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FR-12</w:t>
            </w:r>
          </w:p>
        </w:tc>
        <w:tc>
          <w:tcPr>
            <w:tcW w:type="dxa" w:w="8260"/>
            <w:vAlign w:val="center"/>
            <w:tcMar>
              <w:top w:w="80" w:type="dxa"/>
              <w:start w:w="120" w:type="dxa"/>
              <w:bottom w:w="80" w:type="dxa"/>
              <w:end w:w="120" w:type="dxa"/>
            </w:tcMar>
          </w:tcPr>
          <w:p>
            <w:pPr>
              <w:spacing w:after="0"/>
            </w:pPr>
            <w:r>
              <w:rPr>
                <w:rFonts w:ascii="Calibri" w:hAnsi="Calibri"/>
                <w:color w:val="17212B"/>
                <w:sz w:val="19"/>
              </w:rPr>
              <w:t>Create competing hypotheses with disclosed required conditions and assumptions.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FR-13</w:t>
            </w:r>
          </w:p>
        </w:tc>
        <w:tc>
          <w:tcPr>
            <w:tcW w:type="dxa" w:w="8260"/>
            <w:vAlign w:val="center"/>
            <w:tcMar>
              <w:top w:w="80" w:type="dxa"/>
              <w:start w:w="120" w:type="dxa"/>
              <w:bottom w:w="80" w:type="dxa"/>
              <w:end w:w="120" w:type="dxa"/>
            </w:tcMar>
          </w:tcPr>
          <w:p>
            <w:pPr>
              <w:spacing w:after="0"/>
            </w:pPr>
            <w:r>
              <w:rPr>
                <w:rFonts w:ascii="Calibri" w:hAnsi="Calibri"/>
                <w:color w:val="17212B"/>
                <w:sz w:val="19"/>
              </w:rPr>
              <w:t>Run feasibility simulations with fully inspectable inputs and sensitivity results.</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FR-14</w:t>
            </w:r>
          </w:p>
        </w:tc>
        <w:tc>
          <w:tcPr>
            <w:tcW w:type="dxa" w:w="8260"/>
            <w:vAlign w:val="center"/>
            <w:tcMar>
              <w:top w:w="80" w:type="dxa"/>
              <w:start w:w="120" w:type="dxa"/>
              <w:bottom w:w="80" w:type="dxa"/>
              <w:end w:w="120" w:type="dxa"/>
            </w:tcMar>
          </w:tcPr>
          <w:p>
            <w:pPr>
              <w:spacing w:after="0"/>
            </w:pPr>
            <w:r>
              <w:rPr>
                <w:rFonts w:ascii="Calibri" w:hAnsi="Calibri"/>
                <w:color w:val="17212B"/>
                <w:sz w:val="19"/>
              </w:rPr>
              <w:t>Generate cited narrative text that preserves epistemic status and uncertainty.</w:t>
            </w:r>
          </w:p>
        </w:tc>
      </w:tr>
      <w:tr>
        <w:tc>
          <w:tcPr>
            <w:tcW w:type="dxa" w:w="1100"/>
            <w:vAlign w:val="center"/>
            <w:tcMar>
              <w:top w:w="80" w:type="dxa"/>
              <w:start w:w="120" w:type="dxa"/>
              <w:bottom w:w="80" w:type="dxa"/>
              <w:end w:w="120" w:type="dxa"/>
            </w:tcMar>
          </w:tcPr>
          <w:p>
            <w:pPr>
              <w:spacing w:after="0"/>
            </w:pPr>
            <w:r>
              <w:rPr>
                <w:rFonts w:ascii="Calibri" w:hAnsi="Calibri"/>
                <w:color w:val="17212B"/>
                <w:sz w:val="19"/>
              </w:rPr>
              <w:t>FR-15</w:t>
            </w:r>
          </w:p>
        </w:tc>
        <w:tc>
          <w:tcPr>
            <w:tcW w:type="dxa" w:w="8260"/>
            <w:vAlign w:val="center"/>
            <w:tcMar>
              <w:top w:w="80" w:type="dxa"/>
              <w:start w:w="120" w:type="dxa"/>
              <w:bottom w:w="80" w:type="dxa"/>
              <w:end w:w="120" w:type="dxa"/>
            </w:tcMar>
          </w:tcPr>
          <w:p>
            <w:pPr>
              <w:spacing w:after="0"/>
            </w:pPr>
            <w:r>
              <w:rPr>
                <w:rFonts w:ascii="Calibri" w:hAnsi="Calibri"/>
                <w:color w:val="17212B"/>
                <w:sz w:val="19"/>
              </w:rPr>
              <w:t>Version the entire reconstruction as the public trial record changes.</w:t>
            </w:r>
          </w:p>
        </w:tc>
      </w:tr>
    </w:tbl>
    <w:p>
      <w:pPr>
        <w:spacing w:after="20"/>
      </w:pPr>
    </w:p>
    <w:p>
      <w:pPr>
        <w:pStyle w:val="Heading1"/>
      </w:pPr>
      <w:r>
        <w:t>13. Case-specific V1 questions</w:t>
      </w:r>
    </w:p>
    <w:p>
      <w:pPr>
        <w:pStyle w:val="ListBullet"/>
        <w:spacing w:after="80" w:line="280" w:lineRule="auto"/>
      </w:pPr>
      <w:r>
        <w:rPr>
          <w:rFonts w:ascii="Calibri" w:hAnsi="Calibri"/>
          <w:color w:val="17212B"/>
          <w:sz w:val="22"/>
        </w:rPr>
        <w:t>What did Lindsay record about her changing state before litigation existed?</w:t>
      </w:r>
    </w:p>
    <w:p>
      <w:pPr>
        <w:pStyle w:val="ListBullet"/>
        <w:spacing w:after="80" w:line="280" w:lineRule="auto"/>
      </w:pPr>
      <w:r>
        <w:rPr>
          <w:rFonts w:ascii="Calibri" w:hAnsi="Calibri"/>
          <w:color w:val="17212B"/>
          <w:sz w:val="22"/>
        </w:rPr>
        <w:t>How did her symptoms, sleep, cognition, medication, and treatment change over the final 90 and 30 days?</w:t>
      </w:r>
    </w:p>
    <w:p>
      <w:pPr>
        <w:pStyle w:val="ListBullet"/>
        <w:spacing w:after="80" w:line="280" w:lineRule="auto"/>
      </w:pPr>
      <w:r>
        <w:rPr>
          <w:rFonts w:ascii="Calibri" w:hAnsi="Calibri"/>
          <w:color w:val="17212B"/>
          <w:sz w:val="22"/>
        </w:rPr>
        <w:t>Which providers possessed which fragments of her history, and where did information fail to move?</w:t>
      </w:r>
    </w:p>
    <w:p>
      <w:pPr>
        <w:pStyle w:val="ListBullet"/>
        <w:spacing w:after="80" w:line="280" w:lineRule="auto"/>
      </w:pPr>
      <w:r>
        <w:rPr>
          <w:rFonts w:ascii="Calibri" w:hAnsi="Calibri"/>
          <w:color w:val="17212B"/>
          <w:sz w:val="22"/>
        </w:rPr>
        <w:t>What household and childcare responsibilities remained hers during documented deterioration?</w:t>
      </w:r>
    </w:p>
    <w:p>
      <w:pPr>
        <w:pStyle w:val="ListBullet"/>
        <w:spacing w:after="80" w:line="280" w:lineRule="auto"/>
      </w:pPr>
      <w:r>
        <w:rPr>
          <w:rFonts w:ascii="Calibri" w:hAnsi="Calibri"/>
          <w:color w:val="17212B"/>
          <w:sz w:val="22"/>
        </w:rPr>
        <w:t>What support was offered, accepted, declined, or unavailable—and according to whom?</w:t>
      </w:r>
    </w:p>
    <w:p>
      <w:pPr>
        <w:pStyle w:val="ListBullet"/>
        <w:spacing w:after="80" w:line="280" w:lineRule="auto"/>
      </w:pPr>
      <w:r>
        <w:rPr>
          <w:rFonts w:ascii="Calibri" w:hAnsi="Calibri"/>
          <w:color w:val="17212B"/>
          <w:sz w:val="22"/>
        </w:rPr>
        <w:t>What is established about the incident window by independent timestamps and physical evidence?</w:t>
      </w:r>
    </w:p>
    <w:p>
      <w:pPr>
        <w:pStyle w:val="ListBullet"/>
        <w:spacing w:after="80" w:line="280" w:lineRule="auto"/>
      </w:pPr>
      <w:r>
        <w:rPr>
          <w:rFonts w:ascii="Calibri" w:hAnsi="Calibri"/>
          <w:color w:val="17212B"/>
          <w:sz w:val="22"/>
        </w:rPr>
        <w:t>Which popular claims originate with one source and were later repeated as independent facts?</w:t>
      </w:r>
    </w:p>
    <w:p>
      <w:pPr>
        <w:pStyle w:val="ListBullet"/>
        <w:spacing w:after="80" w:line="280" w:lineRule="auto"/>
      </w:pPr>
      <w:r>
        <w:rPr>
          <w:rFonts w:ascii="Calibri" w:hAnsi="Calibri"/>
          <w:color w:val="17212B"/>
          <w:sz w:val="22"/>
        </w:rPr>
        <w:t>What conditions does the prosecution’s criminal-responsibility theory require?</w:t>
      </w:r>
    </w:p>
    <w:p>
      <w:pPr>
        <w:pStyle w:val="ListBullet"/>
        <w:spacing w:after="80" w:line="280" w:lineRule="auto"/>
      </w:pPr>
      <w:r>
        <w:rPr>
          <w:rFonts w:ascii="Calibri" w:hAnsi="Calibri"/>
          <w:color w:val="17212B"/>
          <w:sz w:val="22"/>
        </w:rPr>
        <w:t>What conditions does the defense theory require?</w:t>
      </w:r>
    </w:p>
    <w:p>
      <w:pPr>
        <w:pStyle w:val="ListBullet"/>
        <w:spacing w:after="80" w:line="280" w:lineRule="auto"/>
      </w:pPr>
      <w:r>
        <w:rPr>
          <w:rFonts w:ascii="Calibri" w:hAnsi="Calibri"/>
          <w:color w:val="17212B"/>
          <w:sz w:val="22"/>
        </w:rPr>
        <w:t>What evidence would most distinguish between remaining interpretations?</w:t>
      </w:r>
    </w:p>
    <w:p>
      <w:pPr>
        <w:pStyle w:val="Heading1"/>
      </w:pPr>
      <w:r>
        <w:t>14. Research integrity and safety</w:t>
      </w:r>
    </w:p>
    <w:p>
      <w:pPr>
        <w:pStyle w:val="ListBullet"/>
        <w:spacing w:after="80" w:line="280" w:lineRule="auto"/>
      </w:pPr>
      <w:r>
        <w:rPr>
          <w:rFonts w:ascii="Calibri" w:hAnsi="Calibri"/>
          <w:color w:val="17212B"/>
          <w:sz w:val="22"/>
        </w:rPr>
        <w:t>Do not publish private medical, family, or identifying information unless it is lawfully public and necessary to the analysis.</w:t>
      </w:r>
    </w:p>
    <w:p>
      <w:pPr>
        <w:pStyle w:val="ListBullet"/>
        <w:spacing w:after="80" w:line="280" w:lineRule="auto"/>
      </w:pPr>
      <w:r>
        <w:rPr>
          <w:rFonts w:ascii="Calibri" w:hAnsi="Calibri"/>
          <w:color w:val="17212B"/>
          <w:sz w:val="22"/>
        </w:rPr>
        <w:t>Label allegations and disputed testimony precisely; never use model-generated interpretation as a substitute for a source.</w:t>
      </w:r>
    </w:p>
    <w:p>
      <w:pPr>
        <w:pStyle w:val="ListBullet"/>
        <w:spacing w:after="80" w:line="280" w:lineRule="auto"/>
      </w:pPr>
      <w:r>
        <w:rPr>
          <w:rFonts w:ascii="Calibri" w:hAnsi="Calibri"/>
          <w:color w:val="17212B"/>
          <w:sz w:val="22"/>
        </w:rPr>
        <w:t>Protect the dignity and privacy of the children; avoid graphic material except where strictly necessary to explain a material evidentiary issue.</w:t>
      </w:r>
    </w:p>
    <w:p>
      <w:pPr>
        <w:pStyle w:val="ListBullet"/>
        <w:spacing w:after="80" w:line="280" w:lineRule="auto"/>
      </w:pPr>
      <w:r>
        <w:rPr>
          <w:rFonts w:ascii="Calibri" w:hAnsi="Calibri"/>
          <w:color w:val="17212B"/>
          <w:sz w:val="22"/>
        </w:rPr>
        <w:t>Do not contact family members, witnesses, clinicians, jurors, or parties as part of the product without a separate ethical and legal protocol.</w:t>
      </w:r>
    </w:p>
    <w:p>
      <w:pPr>
        <w:pStyle w:val="ListBullet"/>
        <w:spacing w:after="80" w:line="280" w:lineRule="auto"/>
      </w:pPr>
      <w:r>
        <w:rPr>
          <w:rFonts w:ascii="Calibri" w:hAnsi="Calibri"/>
          <w:color w:val="17212B"/>
          <w:sz w:val="22"/>
        </w:rPr>
        <w:t>Make clear that the trial is ongoing and that the reconstruction is versioned to a public-record cutoff date.</w:t>
      </w:r>
    </w:p>
    <w:p>
      <w:pPr>
        <w:pStyle w:val="ListBullet"/>
        <w:spacing w:after="80" w:line="280" w:lineRule="auto"/>
      </w:pPr>
      <w:r>
        <w:rPr>
          <w:rFonts w:ascii="Calibri" w:hAnsi="Calibri"/>
          <w:color w:val="17212B"/>
          <w:sz w:val="22"/>
        </w:rPr>
        <w:t>Include crisis-resource language in public content discussing suicide, postpartum psychosis, or harm to children.</w:t>
      </w:r>
    </w:p>
    <w:p>
      <w:pPr>
        <w:pStyle w:val="ListBullet"/>
        <w:spacing w:after="80" w:line="280" w:lineRule="auto"/>
      </w:pPr>
      <w:r>
        <w:rPr>
          <w:rFonts w:ascii="Calibri" w:hAnsi="Calibri"/>
          <w:color w:val="17212B"/>
          <w:sz w:val="22"/>
        </w:rPr>
        <w:t>Require independent human review before publishing claims about diagnosis, coercive control, specialized skill, or third-party involvement.</w:t>
      </w:r>
    </w:p>
    <w:p>
      <w:pPr>
        <w:pStyle w:val="Heading1"/>
      </w:pPr>
      <w:r>
        <w:t>15. Acceptance criteria</w:t>
      </w:r>
    </w:p>
    <w:p>
      <w:pPr>
        <w:pStyle w:val="ListBullet"/>
        <w:spacing w:after="80" w:line="280" w:lineRule="auto"/>
      </w:pPr>
      <w:r>
        <w:rPr>
          <w:rFonts w:ascii="Calibri" w:hAnsi="Calibri"/>
          <w:color w:val="17212B"/>
          <w:sz w:val="22"/>
        </w:rPr>
        <w:t>Every material narrative sentence can be traced to at least one exact source location or is visibly labeled as interpretation.</w:t>
      </w:r>
    </w:p>
    <w:p>
      <w:pPr>
        <w:pStyle w:val="ListBullet"/>
        <w:spacing w:after="80" w:line="280" w:lineRule="auto"/>
      </w:pPr>
      <w:r>
        <w:rPr>
          <w:rFonts w:ascii="Calibri" w:hAnsi="Calibri"/>
          <w:color w:val="17212B"/>
          <w:sz w:val="22"/>
        </w:rPr>
        <w:t>No attributed statement is silently promoted to a verified event.</w:t>
      </w:r>
    </w:p>
    <w:p>
      <w:pPr>
        <w:pStyle w:val="ListBullet"/>
        <w:spacing w:after="80" w:line="280" w:lineRule="auto"/>
      </w:pPr>
      <w:r>
        <w:rPr>
          <w:rFonts w:ascii="Calibri" w:hAnsi="Calibri"/>
          <w:color w:val="17212B"/>
          <w:sz w:val="22"/>
        </w:rPr>
        <w:t>A repeated allegation with one origin is displayed as one source lineage, not multiple corroborations.</w:t>
      </w:r>
    </w:p>
    <w:p>
      <w:pPr>
        <w:pStyle w:val="ListBullet"/>
        <w:spacing w:after="80" w:line="280" w:lineRule="auto"/>
      </w:pPr>
      <w:r>
        <w:rPr>
          <w:rFonts w:ascii="Calibri" w:hAnsi="Calibri"/>
          <w:color w:val="17212B"/>
          <w:sz w:val="22"/>
        </w:rPr>
        <w:t>Contradictory evidence can coexist without forced resolution.</w:t>
      </w:r>
    </w:p>
    <w:p>
      <w:pPr>
        <w:pStyle w:val="ListBullet"/>
        <w:spacing w:after="80" w:line="280" w:lineRule="auto"/>
      </w:pPr>
      <w:r>
        <w:rPr>
          <w:rFonts w:ascii="Calibri" w:hAnsi="Calibri"/>
          <w:color w:val="17212B"/>
          <w:sz w:val="22"/>
        </w:rPr>
        <w:t>The 90-day and 30-day state trajectories can be viewed independently and together.</w:t>
      </w:r>
    </w:p>
    <w:p>
      <w:pPr>
        <w:pStyle w:val="ListBullet"/>
        <w:spacing w:after="80" w:line="280" w:lineRule="auto"/>
      </w:pPr>
      <w:r>
        <w:rPr>
          <w:rFonts w:ascii="Calibri" w:hAnsi="Calibri"/>
          <w:color w:val="17212B"/>
          <w:sz w:val="22"/>
        </w:rPr>
        <w:t>Users can compare at least two incident or legal interpretations using explicit conditions and assumptions.</w:t>
      </w:r>
    </w:p>
    <w:p>
      <w:pPr>
        <w:pStyle w:val="ListBullet"/>
        <w:spacing w:after="80" w:line="280" w:lineRule="auto"/>
      </w:pPr>
      <w:r>
        <w:rPr>
          <w:rFonts w:ascii="Calibri" w:hAnsi="Calibri"/>
          <w:color w:val="17212B"/>
          <w:sz w:val="22"/>
        </w:rPr>
        <w:t>Simulation results include input distributions, provenance, run count, failures, and sensitivity analysis.</w:t>
      </w:r>
    </w:p>
    <w:p>
      <w:pPr>
        <w:pStyle w:val="ListBullet"/>
        <w:spacing w:after="80" w:line="280" w:lineRule="auto"/>
      </w:pPr>
      <w:r>
        <w:rPr>
          <w:rFonts w:ascii="Calibri" w:hAnsi="Calibri"/>
          <w:color w:val="17212B"/>
          <w:sz w:val="22"/>
        </w:rPr>
        <w:t>The story export states the public-record cutoff date and preserves uncertainty language.</w:t>
      </w:r>
    </w:p>
    <w:p>
      <w:pPr>
        <w:pStyle w:val="ListBullet"/>
        <w:spacing w:after="80" w:line="280" w:lineRule="auto"/>
      </w:pPr>
      <w:r>
        <w:rPr>
          <w:rFonts w:ascii="Calibri" w:hAnsi="Calibri"/>
          <w:color w:val="17212B"/>
          <w:sz w:val="22"/>
        </w:rPr>
        <w:t>High-impact working claims—such as temperature, knot configuration, medication exposure, and support decisions—cannot become verified without primary-source review.</w:t>
      </w:r>
    </w:p>
    <w:p>
      <w:pPr>
        <w:pStyle w:val="Heading1"/>
      </w:pPr>
      <w:r>
        <w:t>16. Demonstration output</w:t>
      </w:r>
    </w:p>
    <w:p>
      <w:pPr>
        <w:spacing w:after="120"/>
      </w:pPr>
      <w:r>
        <w:rPr>
          <w:rFonts w:ascii="Calibri" w:hAnsi="Calibri"/>
          <w:i w:val="0"/>
          <w:color w:val="17212B"/>
          <w:sz w:val="22"/>
        </w:rPr>
        <w:t>The V1 demonstration should produce one interactive case room and one publishable long-form research packet with the following sections:</w:t>
      </w:r>
    </w:p>
    <w:p>
      <w:pPr>
        <w:pStyle w:val="ListBullet"/>
        <w:spacing w:after="80" w:line="280" w:lineRule="auto"/>
      </w:pPr>
      <w:r>
        <w:rPr>
          <w:rFonts w:ascii="Calibri" w:hAnsi="Calibri"/>
          <w:color w:val="17212B"/>
          <w:sz w:val="22"/>
        </w:rPr>
        <w:t>The Woman Before the Defendant</w:t>
      </w:r>
    </w:p>
    <w:p>
      <w:pPr>
        <w:pStyle w:val="ListBullet"/>
        <w:spacing w:after="80" w:line="280" w:lineRule="auto"/>
      </w:pPr>
      <w:r>
        <w:rPr>
          <w:rFonts w:ascii="Calibri" w:hAnsi="Calibri"/>
          <w:color w:val="17212B"/>
          <w:sz w:val="22"/>
        </w:rPr>
        <w:t>Ninety Days of Deterioration</w:t>
      </w:r>
    </w:p>
    <w:p>
      <w:pPr>
        <w:pStyle w:val="ListBullet"/>
        <w:spacing w:after="80" w:line="280" w:lineRule="auto"/>
      </w:pPr>
      <w:r>
        <w:rPr>
          <w:rFonts w:ascii="Calibri" w:hAnsi="Calibri"/>
          <w:color w:val="17212B"/>
          <w:sz w:val="22"/>
        </w:rPr>
        <w:t>Who Knew What, When</w:t>
      </w:r>
    </w:p>
    <w:p>
      <w:pPr>
        <w:pStyle w:val="ListBullet"/>
        <w:spacing w:after="80" w:line="280" w:lineRule="auto"/>
      </w:pPr>
      <w:r>
        <w:rPr>
          <w:rFonts w:ascii="Calibri" w:hAnsi="Calibri"/>
          <w:color w:val="17212B"/>
          <w:sz w:val="22"/>
        </w:rPr>
        <w:t>The Household Still Running Through Her</w:t>
      </w:r>
    </w:p>
    <w:p>
      <w:pPr>
        <w:pStyle w:val="ListBullet"/>
        <w:spacing w:after="80" w:line="280" w:lineRule="auto"/>
      </w:pPr>
      <w:r>
        <w:rPr>
          <w:rFonts w:ascii="Calibri" w:hAnsi="Calibri"/>
          <w:color w:val="17212B"/>
          <w:sz w:val="22"/>
        </w:rPr>
        <w:t>January 24: Verified Timeline and Unknown Intervals</w:t>
      </w:r>
    </w:p>
    <w:p>
      <w:pPr>
        <w:pStyle w:val="ListBullet"/>
        <w:spacing w:after="80" w:line="280" w:lineRule="auto"/>
      </w:pPr>
      <w:r>
        <w:rPr>
          <w:rFonts w:ascii="Calibri" w:hAnsi="Calibri"/>
          <w:color w:val="17212B"/>
          <w:sz w:val="22"/>
        </w:rPr>
        <w:t>How the First Story Became the Official Story</w:t>
      </w:r>
    </w:p>
    <w:p>
      <w:pPr>
        <w:pStyle w:val="ListBullet"/>
        <w:spacing w:after="80" w:line="280" w:lineRule="auto"/>
      </w:pPr>
      <w:r>
        <w:rPr>
          <w:rFonts w:ascii="Calibri" w:hAnsi="Calibri"/>
          <w:color w:val="17212B"/>
          <w:sz w:val="22"/>
        </w:rPr>
        <w:t>What Each Courtroom Theory Requires</w:t>
      </w:r>
    </w:p>
    <w:p>
      <w:pPr>
        <w:pStyle w:val="ListBullet"/>
        <w:spacing w:after="80" w:line="280" w:lineRule="auto"/>
      </w:pPr>
      <w:r>
        <w:rPr>
          <w:rFonts w:ascii="Calibri" w:hAnsi="Calibri"/>
          <w:color w:val="17212B"/>
          <w:sz w:val="22"/>
        </w:rPr>
        <w:t>The Postpartum System Left Outside the Frame</w:t>
      </w:r>
    </w:p>
    <w:p>
      <w:pPr>
        <w:pStyle w:val="Heading1"/>
      </w:pPr>
      <w:r>
        <w:t>17. Future pathway</w:t>
      </w:r>
    </w:p>
    <w:p>
      <w:pPr>
        <w:spacing w:after="120"/>
      </w:pPr>
      <w:r>
        <w:rPr>
          <w:rFonts w:ascii="Calibri" w:hAnsi="Calibri"/>
          <w:i w:val="0"/>
          <w:color w:val="17212B"/>
          <w:sz w:val="22"/>
        </w:rPr>
        <w:t>If the research prototype demonstrates reliable source separation, claim lineage, temporal reconstruction, and uncertainty-aware scenario testing, the architecture can later be validated for higher-stakes domains. Those versions would require separate governance and cannot inherit V1 claims of readiness.</w:t>
      </w:r>
    </w:p>
    <w:p>
      <w:pPr>
        <w:pStyle w:val="ListBullet"/>
        <w:spacing w:after="80" w:line="280" w:lineRule="auto"/>
      </w:pPr>
      <w:r>
        <w:rPr>
          <w:rFonts w:ascii="Calibri" w:hAnsi="Calibri"/>
          <w:color w:val="17212B"/>
          <w:sz w:val="22"/>
        </w:rPr>
        <w:t>Investigative journalism and innocence-project research</w:t>
      </w:r>
    </w:p>
    <w:p>
      <w:pPr>
        <w:pStyle w:val="ListBullet"/>
        <w:spacing w:after="80" w:line="280" w:lineRule="auto"/>
      </w:pPr>
      <w:r>
        <w:rPr>
          <w:rFonts w:ascii="Calibri" w:hAnsi="Calibri"/>
          <w:color w:val="17212B"/>
          <w:sz w:val="22"/>
        </w:rPr>
        <w:t>Attorney case analysis and expert work-product support</w:t>
      </w:r>
    </w:p>
    <w:p>
      <w:pPr>
        <w:pStyle w:val="ListBullet"/>
        <w:spacing w:after="80" w:line="280" w:lineRule="auto"/>
      </w:pPr>
      <w:r>
        <w:rPr>
          <w:rFonts w:ascii="Calibri" w:hAnsi="Calibri"/>
          <w:color w:val="17212B"/>
          <w:sz w:val="22"/>
        </w:rPr>
        <w:t>Authenticated digital-evidence and police-record workflows</w:t>
      </w:r>
    </w:p>
    <w:p>
      <w:pPr>
        <w:pStyle w:val="ListBullet"/>
        <w:spacing w:after="80" w:line="280" w:lineRule="auto"/>
      </w:pPr>
      <w:r>
        <w:rPr>
          <w:rFonts w:ascii="Calibri" w:hAnsi="Calibri"/>
          <w:color w:val="17212B"/>
          <w:sz w:val="22"/>
        </w:rPr>
        <w:t>Multi-informant perinatal-health monitoring</w:t>
      </w:r>
    </w:p>
    <w:p>
      <w:pPr>
        <w:pStyle w:val="ListBullet"/>
        <w:spacing w:after="80" w:line="280" w:lineRule="auto"/>
      </w:pPr>
      <w:r>
        <w:rPr>
          <w:rFonts w:ascii="Calibri" w:hAnsi="Calibri"/>
          <w:color w:val="17212B"/>
          <w:sz w:val="22"/>
        </w:rPr>
        <w:t>HIPAA-regulated clinical records and forensic psychiatric reconstruction</w:t>
      </w:r>
    </w:p>
    <w:p>
      <w:pPr>
        <w:pStyle w:val="Heading1"/>
      </w:pPr>
      <w:r>
        <w:t>18. Source notes and verification status</w:t>
      </w:r>
    </w:p>
    <w:p>
      <w:pPr>
        <w:spacing w:after="120"/>
      </w:pPr>
      <w:r>
        <w:rPr>
          <w:rFonts w:ascii="Calibri" w:hAnsi="Calibri"/>
          <w:i w:val="0"/>
          <w:color w:val="17212B"/>
          <w:sz w:val="22"/>
        </w:rPr>
        <w:t>The sources below support only the limited working claims identified in this specification. Primary trial transcripts and admitted exhibits remain the preferred evidence for the case graph.</w:t>
      </w:r>
    </w:p>
    <w:p>
      <w:pPr>
        <w:spacing w:after="120"/>
      </w:pPr>
      <w:r>
        <w:rPr>
          <w:rFonts w:ascii="Calibri" w:hAnsi="Calibri"/>
          <w:b/>
          <w:color w:val="1F4D78"/>
          <w:sz w:val="22"/>
        </w:rPr>
        <w:t xml:space="preserve">S1. </w:t>
      </w:r>
      <w:hyperlink r:id="rId11">
        <w:r>
          <w:rPr>
            <w:color w:val="2E74B5"/>
            <w:u w:val="single"/>
          </w:rPr>
          <w:t>Associated Press, trial overview and central criminal-responsibility dispute</w:t>
        </w:r>
      </w:hyperlink>
    </w:p>
    <w:p>
      <w:pPr>
        <w:spacing w:after="120"/>
      </w:pPr>
      <w:r>
        <w:rPr>
          <w:rFonts w:ascii="Calibri" w:hAnsi="Calibri"/>
          <w:b/>
          <w:color w:val="1F4D78"/>
          <w:sz w:val="22"/>
        </w:rPr>
        <w:t xml:space="preserve">S2. </w:t>
      </w:r>
      <w:hyperlink r:id="rId12">
        <w:r>
          <w:rPr>
            <w:color w:val="2E74B5"/>
            <w:u w:val="single"/>
          </w:rPr>
          <w:t>Associated Press report on journal entries, hospitalization, paralysis, intubation, and whiteboard communication</w:t>
        </w:r>
      </w:hyperlink>
    </w:p>
    <w:p>
      <w:pPr>
        <w:spacing w:after="120"/>
      </w:pPr>
      <w:r>
        <w:rPr>
          <w:rFonts w:ascii="Calibri" w:hAnsi="Calibri"/>
          <w:b/>
          <w:color w:val="1F4D78"/>
          <w:sz w:val="22"/>
        </w:rPr>
        <w:t xml:space="preserve">S3. </w:t>
      </w:r>
      <w:hyperlink r:id="rId13">
        <w:r>
          <w:rPr>
            <w:color w:val="2E74B5"/>
            <w:u w:val="single"/>
          </w:rPr>
          <w:t>East Idaho News live trial report describing testimony concerning an approximately 82°F core temperature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ICARUS CASEWORK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news.com/article/c977c42546d3b496df6d44924149451b" TargetMode="External"/><Relationship Id="rId12" Type="http://schemas.openxmlformats.org/officeDocument/2006/relationships/hyperlink" Target="https://abc7ny.com/post/lindsay-clancy-trial-today-mothers-diary-chronicled-desperation-brain-fog-before-she-killed-3-kids/19623900/" TargetMode="External"/><Relationship Id="rId13" Type="http://schemas.openxmlformats.org/officeDocument/2006/relationships/hyperlink" Target="https://www.eastidahonews.com/2026/08/live-updates-prosecutors-continue-to-make-their-case-against-lindsay-clancy-on-day-6-of-t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Icarus Casework V1 Spec</dc:title>
  <dc:subject>Lindsay Clancy longitudinal case reconstruction research prototype</dc:subject>
  <dc:creator>Blue Dot Technology</dc:creator>
  <cp:keywords>Icarus Casework, case reconstruction, postpartum, true crime research</cp:keywords>
  <dc:description>generated by python-docx</dc:description>
  <cp:lastModifiedBy/>
  <cp:revision>1</cp:revision>
  <dcterms:created xsi:type="dcterms:W3CDTF">2013-12-23T23:15:00Z</dcterms:created>
  <dcterms:modified xsi:type="dcterms:W3CDTF">2013-12-23T23:15:00Z</dcterms:modified>
  <cp:category/>
</cp:coreProperties>
</file>