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d3748"/>
          <w:sz w:val="56"/>
          <w:szCs w:val="56"/>
        </w:rPr>
        <w:t xml:space="preserve">AT1C PROTOCOL</w:t>
      </w:r>
    </w:p>
    <w:p>
      <w:pPr>
        <w:spacing w:before="200"/>
        <w:jc w:val="center"/>
      </w:pPr>
      <w:r>
        <w:rPr>
          <w:color w:val="38bdf8"/>
          <w:sz w:val="28"/>
          <w:szCs w:val="28"/>
        </w:rPr>
        <w:t xml:space="preserve">Cryptographic Human Consent for AI Agent Actions</w:t>
      </w:r>
    </w:p>
    <w:p>
      <w:pPr>
        <w:spacing w:before="400"/>
        <w:jc w:val="center"/>
      </w:pPr>
      <w:r>
        <w:rPr>
          <w:i/>
          <w:iCs/>
          <w:color w:val="4a5568"/>
          <w:sz w:val="24"/>
          <w:szCs w:val="24"/>
        </w:rPr>
        <w:t xml:space="preserve">Technical Whitepaper &amp; EU AI Act Compliance Guide</w:t>
      </w:r>
    </w:p>
    <w:p>
      <w:pPr>
        <w:spacing w:before="200"/>
        <w:jc w:val="center"/>
      </w:pPr>
      <w:r>
        <w:rPr>
          <w:color w:val="718096"/>
          <w:sz w:val="22"/>
          <w:szCs w:val="22"/>
        </w:rPr>
        <w:t xml:space="preserve">Version 1.5  ·  July 2026</w:t>
      </w:r>
    </w:p>
    <w:p>
      <w:pPr>
        <w:spacing w:before="200"/>
        <w:jc w:val="center"/>
      </w:pPr>
      <w:r>
        <w:rPr>
          <w:color w:val="718096"/>
          <w:sz w:val="20"/>
          <w:szCs w:val="20"/>
        </w:rPr>
        <w:t xml:space="preserve">at1c.com  ·  registry.at1c.com  ·  github.com/at1c-protocol</w:t>
      </w:r>
    </w:p>
    <w:p>
      <w:r>
        <w:br w:type="page"/>
      </w:r>
    </w:p>
    <w:p>
      <w:pPr>
        <w:pStyle w:val="Heading1"/>
        <w:spacing w:after="200" w:before="400"/>
      </w:pPr>
      <w:r>
        <w:t xml:space="preserve">Executive Summary</w:t>
      </w:r>
    </w:p>
    <w:p>
      <w:pPr>
        <w:spacing w:after="200"/>
      </w:pPr>
      <w:r>
        <w:t xml:space="preserve">AI agents are taking consequential actions on behalf of humans and organisations — sending payments, filing documents, scheduling appointments, managing data — with no verifiable record that a human actually authorised those actions. The EU AI Act, which enters enforcement in August 2026, requires exactly that record: accountability for automated decisions, human oversight of high-risk AI actions, and auditable logs of AI behaviour.</w:t>
      </w:r>
    </w:p>
    <w:p>
      <w:pPr>
        <w:spacing w:after="200"/>
      </w:pPr>
      <w:r>
        <w:t xml:space="preserve">AT1C (Agent Trust &amp; Consent Control) is an open protocol that solves this problem with a single, cryptographically verifiable primitive: a signed receipt that proves a specific human approved a specific AI agent action before it executed. AT1C works for individual users protecting their personal AI assistants, and for organisations managing fleets of agents operating across business processes.</w:t>
      </w:r>
    </w:p>
    <w:p>
      <w:pPr>
        <w:spacing w:after="100"/>
      </w:pPr>
      <w:r>
        <w:rPr>
          <w:b/>
          <w:bCs/>
        </w:rPr>
        <w:t xml:space="preserve">AT1C is:</w:t>
      </w:r>
    </w:p>
    <w:p>
      <w:pPr>
        <w:pStyle w:val="ListParagraph"/>
        <w:numPr>
          <w:ilvl w:val="0"/>
          <w:numId w:val="2"/>
        </w:numPr>
        <w:spacing w:after="80"/>
      </w:pPr>
      <w:r>
        <w:t xml:space="preserve">Free and open source — MIT licensed, no vendor lock-in</w:t>
      </w:r>
    </w:p>
    <w:p>
      <w:pPr>
        <w:pStyle w:val="ListParagraph"/>
        <w:numPr>
          <w:ilvl w:val="0"/>
          <w:numId w:val="2"/>
        </w:numPr>
        <w:spacing w:after="80"/>
      </w:pPr>
      <w:r>
        <w:t xml:space="preserve">Deployable in a day — a lightweight SDK wrapping any existing system</w:t>
      </w:r>
    </w:p>
    <w:p>
      <w:pPr>
        <w:pStyle w:val="ListParagraph"/>
        <w:numPr>
          <w:ilvl w:val="0"/>
          <w:numId w:val="2"/>
        </w:numPr>
        <w:spacing w:after="80"/>
      </w:pPr>
      <w:r>
        <w:t xml:space="preserve">Non-custodial — AT1C never holds signing keys; they stay on the agent's or user's device</w:t>
      </w:r>
    </w:p>
    <w:p>
      <w:pPr>
        <w:pStyle w:val="ListParagraph"/>
        <w:numPr>
          <w:ilvl w:val="0"/>
          <w:numId w:val="2"/>
        </w:numPr>
        <w:spacing w:after="80"/>
      </w:pPr>
      <w:r>
        <w:t xml:space="preserve">Designed for both personal and entity use — individual AI assistants and enterprise agent fleets</w:t>
      </w:r>
    </w:p>
    <w:p>
      <w:pPr>
        <w:pStyle w:val="ListParagraph"/>
        <w:numPr>
          <w:ilvl w:val="0"/>
          <w:numId w:val="2"/>
        </w:numPr>
        <w:spacing w:after="200"/>
      </w:pPr>
      <w:r>
        <w:t xml:space="preserve">Live today — registry.at1c.com is operational and accepting agent registrations</w:t>
      </w:r>
    </w:p>
    <w:p>
      <w:pPr>
        <w:spacing w:after="200"/>
      </w:pPr>
      <w:r>
        <w:rPr>
          <w:i/>
          <w:iCs/>
        </w:rPr>
        <w:t xml:space="preserve">Large enterprises spend €400,000–€2,000,000 per year on EU AI Act compliance infrastructure. AT1C gives SMEs and individuals in fintech, healthcare, and legal the same verifiable accountability at a fraction of the cost.</w:t>
      </w:r>
    </w:p>
    <w:p>
      <w:r>
        <w:br w:type="page"/>
      </w:r>
    </w:p>
    <w:p>
      <w:pPr>
        <w:pStyle w:val="Heading1"/>
        <w:spacing w:after="200" w:before="400"/>
      </w:pPr>
      <w:r>
        <w:t xml:space="preserve">Foundational Principles: Two Independent Convergences</w:t>
      </w:r>
    </w:p>
    <w:p>
      <w:pPr>
        <w:spacing w:after="200"/>
      </w:pPr>
      <w:r>
        <w:t xml:space="preserve">AT1C was not built in a vacuum. Two independent bodies of principled thought — one from internet protocol design, one from legal scholarship — have arrived at the same conclusion that AT1C implements.</w:t>
      </w:r>
    </w:p>
    <w:p>
      <w:pPr>
        <w:pStyle w:val="Heading2"/>
        <w:spacing w:after="100" w:before="200"/>
      </w:pPr>
      <w:r>
        <w:t xml:space="preserve">RFC 8890: The Internet is for End Users</w:t>
      </w:r>
    </w:p>
    <w:p>
      <w:pPr>
        <w:spacing w:after="200"/>
      </w:pPr>
      <w:r>
        <w:t xml:space="preserve">In 2020, the Internet Architecture Board (IAB) published RFC 8890, authored by Mark Nottingham, Chair of the IETF HTTP Working Group. The RFC establishes a formal principle: that internet protocol design decisions should favour end users over all other stakeholders when conflicts arise, and that "all decisions have the possibility of bias; of advantaging or disadvantaging different parties."</w:t>
      </w:r>
    </w:p>
    <w:p>
      <w:pPr>
        <w:spacing w:after="200"/>
      </w:pPr>
      <w:r>
        <w:t xml:space="preserve">RFC 8890 explicitly states that the IETF should design protocols for the pessimal environment — the worst-case scenario where platforms and networks cannot be trusted to act in users' interests. When a decision improves the internet for users in one context but at the cost of potential harm to others, that is not a good tradeoff.</w:t>
      </w:r>
    </w:p>
    <w:p>
      <w:pPr>
        <w:spacing w:after="200"/>
      </w:pPr>
      <w:r>
        <w:t xml:space="preserve">AT1C applies this principle directly to AI agent consent. The protocol is designed for the pessimal environment: a world where platforms cannot be trusted to hold your signing keys, cannot be trusted to maintain your consent records honestly, and cannot be trusted to enforce your approval boundaries without cryptographic proof. Non-custodial design, signed receipts, and independent verification are not conveniences — they are the architecture that RFC 8890's philosophy demands.</w:t>
      </w:r>
    </w:p>
    <w:p>
      <w:pPr>
        <w:pStyle w:val="Heading2"/>
        <w:spacing w:after="100" w:before="200"/>
      </w:pPr>
      <w:r>
        <w:t xml:space="preserve">Ayres &amp; Balkin: The Legal Accountability Gap</w:t>
      </w:r>
    </w:p>
    <w:p>
      <w:pPr>
        <w:spacing w:after="200"/>
      </w:pPr>
      <w:r>
        <w:t xml:space="preserve">In 2026, Yale Law School professors Ian Ayres and Jack Balkin, writing in the University of Chicago Law Review, identified the defining legal gap of the AI era: AI agents lack mens rea — intention — which means most existing liability frameworks do not cleanly apply to AI actions. Their solution: apply objective standards, holding the humans and companies deploying AI to standards of reasonable care, treating AI agents as risky products rather than intentional actors.</w:t>
      </w:r>
    </w:p>
    <w:p>
      <w:pPr>
        <w:spacing w:after="200"/>
      </w:pPr>
      <w:r>
        <w:t xml:space="preserve">The critical implication: for objective liability to work, there must be evidence of what the human principal approved. Without a verifiable consent record, accountability collapses. The question transforms from "did the agent act wrongly?" to "did the principal exercise reasonable care?" — and that question can only be answered with evidence.</w:t>
      </w:r>
    </w:p>
    <w:p>
      <w:pPr>
        <w:spacing w:after="200"/>
      </w:pPr>
      <w:r>
        <w:t xml:space="preserve">AT1C's signed receipt is exactly that evidence. Every receipt is a timestamped, cryptographically signed record that a specific human explicitly approved a specific agent action. It transforms the legal question from "did the principal exercise reasonable care?" — hard to prove, subjective — to "is there a signed receipt for this action?" — verifiable, objective, independently auditable.</w:t>
      </w:r>
    </w:p>
    <w:p>
      <w:pPr>
        <w:spacing w:after="200"/>
      </w:pPr>
      <w:r>
        <w:rPr>
          <w:b/>
          <w:bCs/>
        </w:rPr>
        <w:t xml:space="preserve">AT1C is not only an EU AI Act compliance tool. It is the evidentiary infrastructure that makes AI accountability law enforceable — the missing piece that both the RFC 8890 philosophy and the Ayres/Balkin legal framework require to function in practice.</w:t>
      </w:r>
    </w:p>
    <w:p>
      <w:r>
        <w:br w:type="page"/>
      </w:r>
    </w:p>
    <w:p>
      <w:pPr>
        <w:pStyle w:val="Heading1"/>
        <w:spacing w:after="200" w:before="400"/>
      </w:pPr>
      <w:r>
        <w:t xml:space="preserve">The Problem: Unaccountable AI Agents</w:t>
      </w:r>
    </w:p>
    <w:p>
      <w:pPr>
        <w:spacing w:after="200"/>
      </w:pPr>
      <w:r>
        <w:t xml:space="preserve">Modern AI systems act silently. An agent executes a payment, files a form, or sends a communication — and there is no cryptographic record that a human approved that specific action at that specific moment. The approval, if it happened at all, exists only as a log entry or a UI click that can be altered, lost, or disputed.</w:t>
      </w:r>
    </w:p>
    <w:p>
      <w:pPr>
        <w:spacing w:after="200"/>
      </w:pPr>
      <w:r>
        <w:t xml:space="preserve">As the number of deployed AI agents grows toward billions — and eventually toward the "trillions of agents" scale researchers project for European SMEs alone — the accountability gap compounds. Without a standard consent protocol, every agent is an unverified actor, and every action it takes is a potential compliance exposure for the organisation that deployed it.</w:t>
      </w:r>
    </w:p>
    <w:p>
      <w:pPr>
        <w:pStyle w:val="Heading2"/>
        <w:spacing w:after="100" w:before="300"/>
      </w:pPr>
      <w:r>
        <w:t xml:space="preserve">The Three Sectors Most at Risk</w:t>
      </w:r>
    </w:p>
    <w:p>
      <w:pPr>
        <w:pStyle w:val="Heading3"/>
        <w:spacing w:after="100" w:before="200"/>
      </w:pPr>
      <w:r>
        <w:t xml:space="preserve">Fintech</w:t>
      </w:r>
    </w:p>
    <w:p>
      <w:pPr>
        <w:spacing w:after="100"/>
      </w:pPr>
      <w:r>
        <w:t xml:space="preserve">AI agents in financial services execute trades, initiate payments, and manage portfolios on behalf of users. Under the EU AI Act, MiFID II, and PSD2, firms must demonstrate human oversight of automated decisions.</w:t>
      </w:r>
    </w:p>
    <w:p>
      <w:pPr>
        <w:spacing w:after="100"/>
      </w:pPr>
      <w:r>
        <w:rPr>
          <w:b/>
          <w:bCs/>
        </w:rPr>
        <w:t xml:space="preserve">Cost of non-compliance: </w:t>
      </w:r>
      <w:r>
        <w:t xml:space="preserve">Fines up to €30M or 6% of global annual turnover (EU AI Act). MiFID II penalties up to €5M per breach.</w:t>
      </w:r>
    </w:p>
    <w:p>
      <w:pPr>
        <w:spacing w:after="200"/>
      </w:pPr>
      <w:r>
        <w:rPr>
          <w:b/>
          <w:bCs/>
        </w:rPr>
        <w:t xml:space="preserve">AT1C solution: </w:t>
      </w:r>
      <w:r>
        <w:t xml:space="preserve">Every agent-initiated transaction carries a signed receipt proving the account holder approved that specific action — independently verifiable, no reliance on the firm's own logs.</w:t>
      </w:r>
    </w:p>
    <w:p>
      <w:pPr>
        <w:pStyle w:val="Heading3"/>
        <w:spacing w:after="100" w:before="200"/>
      </w:pPr>
      <w:r>
        <w:t xml:space="preserve">Healthcare</w:t>
      </w:r>
    </w:p>
    <w:p>
      <w:pPr>
        <w:spacing w:after="100"/>
      </w:pPr>
      <w:r>
        <w:t xml:space="preserve">AI agents scheduling appointments, triaging patients, recommending treatments, and accessing medical records. The EU AI Act classifies health AI as high-risk, requiring the strictest oversight and auditable records of every AI-initiated action.</w:t>
      </w:r>
    </w:p>
    <w:p>
      <w:pPr>
        <w:spacing w:after="100"/>
      </w:pPr>
      <w:r>
        <w:rPr>
          <w:b/>
          <w:bCs/>
        </w:rPr>
        <w:t xml:space="preserve">Cost of non-compliance: </w:t>
      </w:r>
      <w:r>
        <w:t xml:space="preserve">GDPR fines up to €20M or 4% of global turnover, plus EU AI Act penalties.</w:t>
      </w:r>
    </w:p>
    <w:p>
      <w:pPr>
        <w:spacing w:after="200"/>
      </w:pPr>
      <w:r>
        <w:rPr>
          <w:b/>
          <w:bCs/>
        </w:rPr>
        <w:t xml:space="preserve">AT1C solution: </w:t>
      </w:r>
      <w:r>
        <w:t xml:space="preserve">Every AI-initiated action on patient data requires a verifiable human approval receipt — simultaneously the GDPR consent record and the EU AI Act oversight audit trail.</w:t>
      </w:r>
    </w:p>
    <w:p>
      <w:pPr>
        <w:pStyle w:val="Heading3"/>
        <w:spacing w:after="100" w:before="200"/>
      </w:pPr>
      <w:r>
        <w:t xml:space="preserve">Legal</w:t>
      </w:r>
    </w:p>
    <w:p>
      <w:pPr>
        <w:spacing w:after="100"/>
      </w:pPr>
      <w:r>
        <w:t xml:space="preserve">AI agents drafting documents, conducting due diligence, filing submissions, and communicating with counterparties. Solicitor conduct rules require informed client consent for actions taken on their behalf.</w:t>
      </w:r>
    </w:p>
    <w:p>
      <w:pPr>
        <w:spacing w:after="100"/>
      </w:pPr>
      <w:r>
        <w:rPr>
          <w:b/>
          <w:bCs/>
        </w:rPr>
        <w:t xml:space="preserve">Cost of non-compliance: </w:t>
      </w:r>
      <w:r>
        <w:t xml:space="preserve">SRA disciplinary action, professional indemnity claims, and EU AI Act penalties.</w:t>
      </w:r>
    </w:p>
    <w:p>
      <w:pPr>
        <w:spacing w:after="200"/>
      </w:pPr>
      <w:r>
        <w:rPr>
          <w:b/>
          <w:bCs/>
        </w:rPr>
        <w:t xml:space="preserve">AT1C solution: </w:t>
      </w:r>
      <w:r>
        <w:t xml:space="preserve">Client consent to specific AI-initiated actions captured as a cryptographic receipt, timestamped and independently verifiable — the informed consent record the profession requires.</w:t>
      </w:r>
    </w:p>
    <w:p>
      <w:r>
        <w:br w:type="page"/>
      </w:r>
    </w:p>
    <w:p>
      <w:pPr>
        <w:pStyle w:val="Heading1"/>
        <w:spacing w:after="200" w:before="400"/>
      </w:pPr>
      <w:r>
        <w:t xml:space="preserve">The AT1C Protocol</w:t>
      </w:r>
    </w:p>
    <w:p>
      <w:pPr>
        <w:spacing w:after="200"/>
      </w:pPr>
      <w:r>
        <w:rPr>
          <w:rFonts w:ascii="Courier New" w:cs="Courier New" w:eastAsia="Courier New" w:hAnsi="Courier New"/>
          <w:b/>
          <w:bCs/>
        </w:rPr>
        <w:t xml:space="preserve">request → approve → proof → verify</w:t>
      </w:r>
    </w:p>
    <w:p>
      <w:pPr>
        <w:pStyle w:val="Heading2"/>
        <w:spacing w:after="100" w:before="200"/>
      </w:pPr>
      <w:r>
        <w:t xml:space="preserve">Step 1 — Request</w:t>
      </w:r>
    </w:p>
    <w:p>
      <w:pPr>
        <w:spacing w:after="200"/>
      </w:pPr>
      <w:r>
        <w:t xml:space="preserve">An AI agent requests permission to perform a specific, scoped action. The request names the action, the resource it will act on, and the agent's identity. Nothing is executed at this stage.</w:t>
      </w:r>
    </w:p>
    <w:p>
      <w:pPr>
        <w:pStyle w:val="Heading2"/>
        <w:spacing w:after="100" w:before="200"/>
      </w:pPr>
      <w:r>
        <w:t xml:space="preserve">Step 2 — Approve</w:t>
      </w:r>
    </w:p>
    <w:p>
      <w:pPr>
        <w:spacing w:after="200"/>
      </w:pPr>
      <w:r>
        <w:t xml:space="preserve">A human explicitly grants or denies the request. The approval is specific to the action and resource named — it cannot be transferred to any other action. This is the human-in-the-loop moment the EU AI Act requires.</w:t>
      </w:r>
    </w:p>
    <w:p>
      <w:pPr>
        <w:pStyle w:val="Heading2"/>
        <w:spacing w:after="100" w:before="200"/>
      </w:pPr>
      <w:r>
        <w:t xml:space="preserve">Step 3 — Proof</w:t>
      </w:r>
    </w:p>
    <w:p>
      <w:pPr>
        <w:spacing w:after="200"/>
      </w:pPr>
      <w:r>
        <w:t xml:space="preserve">A signed receipt is generated, cryptographically binding: the approving user's identity, the exact action approved, the agent's registered public key, a timestamp, and a single-use nonce. The receipt is signed with the approving user's Ed25519 private key — which never leaves their device. AT1C never holds this key.</w:t>
      </w:r>
    </w:p>
    <w:p>
      <w:pPr>
        <w:pStyle w:val="Heading2"/>
        <w:spacing w:after="100" w:before="200"/>
      </w:pPr>
      <w:r>
        <w:t xml:space="preserve">Step 4 — Verify</w:t>
      </w:r>
    </w:p>
    <w:p>
      <w:pPr>
        <w:spacing w:after="200"/>
      </w:pPr>
      <w:r>
        <w:t xml:space="preserve">Before executing the action, any system — the agent itself, a counterparty, a regulator, or an auditor — independently verifies the receipt. No trust in AT1C as an intermediary is required; the mathematics of Ed25519 signature verification is the guarantee.</w:t>
      </w:r>
    </w:p>
    <w:p>
      <w:r>
        <w:br w:type="page"/>
      </w:r>
    </w:p>
    <w:p>
      <w:pPr>
        <w:pStyle w:val="Heading1"/>
        <w:spacing w:after="200" w:before="400"/>
      </w:pPr>
      <w:r>
        <w:t xml:space="preserve">Personal and Entity Use Cases</w:t>
      </w:r>
    </w:p>
    <w:p>
      <w:pPr>
        <w:pStyle w:val="Heading2"/>
        <w:spacing w:after="100" w:before="200"/>
      </w:pPr>
      <w:r>
        <w:t xml:space="preserve">Personal AI Agent Coverage</w:t>
      </w:r>
    </w:p>
    <w:p>
      <w:pPr>
        <w:spacing w:after="200"/>
      </w:pPr>
      <w:r>
        <w:t xml:space="preserve">Any individual using an AI assistant to act on their behalf benefits from AT1C. A personal account gives the individual a verifiable record of every action their AI assistant has taken — independently auditable at any time. Registration takes one day. The private key stays on the individual's device. No fee for the free tier.</w:t>
      </w:r>
    </w:p>
    <w:p>
      <w:pPr>
        <w:pStyle w:val="Heading2"/>
        <w:spacing w:after="100" w:before="200"/>
      </w:pPr>
      <w:r>
        <w:t xml:space="preserve">Entity-Owned Agent Fleets</w:t>
      </w:r>
    </w:p>
    <w:p>
      <w:pPr>
        <w:spacing w:after="200"/>
      </w:pPr>
      <w:r>
        <w:t xml:space="preserve">Organisations deploying multiple AI agents face the challenge of maintaining human oversight across a fleet without creating an approval bottleneck. AT1C addresses this through granular permission scopes and tiered autonomy — each agent has precisely the authority it needs, with human oversight calibrated to the risk level of the action.</w:t>
      </w:r>
    </w:p>
    <w:p>
      <w:pPr>
        <w:pStyle w:val="Heading2"/>
        <w:spacing w:after="100" w:before="200"/>
      </w:pPr>
      <w:r>
        <w:t xml:space="preserve">Tiered Autonomy: Low, Medium, High Trust</w:t>
      </w:r>
    </w:p>
    <w:p>
      <w:pPr>
        <w:pStyle w:val="ListParagraph"/>
        <w:numPr>
          <w:ilvl w:val="0"/>
          <w:numId w:val="2"/>
        </w:numPr>
        <w:spacing w:after="120"/>
      </w:pPr>
      <w:r>
        <w:rPr>
          <w:b/>
          <w:bCs/>
        </w:rPr>
        <w:t xml:space="preserve">Low trust — </w:t>
      </w:r>
      <w:r>
        <w:t xml:space="preserve">Explicit human approval required for every action. Every action produces a receipt.</w:t>
      </w:r>
    </w:p>
    <w:p>
      <w:pPr>
        <w:pStyle w:val="ListParagraph"/>
        <w:numPr>
          <w:ilvl w:val="0"/>
          <w:numId w:val="2"/>
        </w:numPr>
        <w:spacing w:after="120"/>
      </w:pPr>
      <w:r>
        <w:rPr>
          <w:b/>
          <w:bCs/>
        </w:rPr>
        <w:t xml:space="preserve">Medium trust — </w:t>
      </w:r>
      <w:r>
        <w:t xml:space="preserve">Agent operates within pre-approved boundaries. Alerts trigger on boundary approach. Approval required only for out-of-boundary actions.</w:t>
      </w:r>
    </w:p>
    <w:p>
      <w:pPr>
        <w:pStyle w:val="ListParagraph"/>
        <w:numPr>
          <w:ilvl w:val="0"/>
          <w:numId w:val="2"/>
        </w:numPr>
        <w:spacing w:after="200"/>
      </w:pPr>
      <w:r>
        <w:rPr>
          <w:b/>
          <w:bCs/>
        </w:rPr>
        <w:t xml:space="preserve">High trust — </w:t>
      </w:r>
      <w:r>
        <w:t xml:space="preserve">Agent operates within a fully scoped permission envelope. Human oversight via audit log and alarm.</w:t>
      </w:r>
    </w:p>
    <w:p>
      <w:pPr>
        <w:spacing w:after="200"/>
      </w:pPr>
      <w:r>
        <w:rPr>
          <w:b/>
          <w:bCs/>
          <w:i/>
          <w:iCs/>
        </w:rPr>
        <w:t xml:space="preserve">Note: </w:t>
      </w:r>
      <w:r>
        <w:rPr>
          <w:i/>
          <w:iCs/>
        </w:rPr>
        <w:t xml:space="preserve">Tiered autonomy is planned for AT1C v2.0. Current protocol supports scoped permissions per agent.</w:t>
      </w:r>
    </w:p>
    <w:p>
      <w:r>
        <w:br w:type="page"/>
      </w:r>
    </w:p>
    <w:p>
      <w:pPr>
        <w:pStyle w:val="Heading1"/>
        <w:spacing w:after="200" w:before="400"/>
      </w:pPr>
      <w:r>
        <w:t xml:space="preserve">Cryptographic Guarantees</w:t>
      </w:r>
    </w:p>
    <w:p>
      <w:pPr>
        <w:spacing w:after="100"/>
      </w:pPr>
      <w:r>
        <w:rPr>
          <w:b/>
          <w:bCs/>
        </w:rPr>
        <w:t xml:space="preserve">Confirmed guarantees:</w:t>
      </w:r>
    </w:p>
    <w:p>
      <w:pPr>
        <w:pStyle w:val="ListParagraph"/>
        <w:numPr>
          <w:ilvl w:val="0"/>
          <w:numId w:val="2"/>
        </w:numPr>
        <w:spacing w:after="80"/>
      </w:pPr>
      <w:r>
        <w:t xml:space="preserve">A valid receipt proves the holder of the private key signed the exact action payload — no one else could have produced that signature</w:t>
      </w:r>
    </w:p>
    <w:p>
      <w:pPr>
        <w:pStyle w:val="ListParagraph"/>
        <w:numPr>
          <w:ilvl w:val="0"/>
          <w:numId w:val="2"/>
        </w:numPr>
        <w:spacing w:after="80"/>
      </w:pPr>
      <w:r>
        <w:t xml:space="preserve">Nonces are unique and single-use — replay attacks are prevented by construction</w:t>
      </w:r>
    </w:p>
    <w:p>
      <w:pPr>
        <w:pStyle w:val="ListParagraph"/>
        <w:numPr>
          <w:ilvl w:val="0"/>
          <w:numId w:val="2"/>
        </w:numPr>
        <w:spacing w:after="80"/>
      </w:pPr>
      <w:r>
        <w:t xml:space="preserve">Agent certificates are signed by the AT1C registry root key — agent identity is independently verifiable</w:t>
      </w:r>
    </w:p>
    <w:p>
      <w:pPr>
        <w:pStyle w:val="ListParagraph"/>
        <w:numPr>
          <w:ilvl w:val="0"/>
          <w:numId w:val="2"/>
        </w:numPr>
        <w:spacing w:after="200"/>
      </w:pPr>
      <w:r>
        <w:t xml:space="preserve">Ed25519 (RFC 8032) — IETF-standardised elliptic curve signature scheme, strong security record</w:t>
      </w:r>
    </w:p>
    <w:p>
      <w:pPr>
        <w:pStyle w:val="Heading2"/>
        <w:spacing w:after="100" w:before="200"/>
      </w:pPr>
      <w:r>
        <w:t xml:space="preserve">The Layered Security Model</w:t>
      </w:r>
    </w:p>
    <w:p>
      <w:pPr>
        <w:spacing w:after="200"/>
      </w:pPr>
      <w:r>
        <w:t xml:space="preserve">AT1C is one layer in a defence-in-depth stack. The receipt proves a specific key signed a specific approval. The question of who holds that key is answered by your authentication layer (passkey, biometric, 2FA). Combined, these two layers deliver identity assurance and action accountability — the same separation of concerns that governs every major payment network and PKI system in production today.</w:t>
      </w:r>
    </w:p>
    <w:p>
      <w:pPr>
        <w:pStyle w:val="Heading2"/>
        <w:spacing w:after="100" w:before="200"/>
      </w:pPr>
      <w:r>
        <w:t xml:space="preserve">Known Limitations</w:t>
      </w:r>
    </w:p>
    <w:p>
      <w:pPr>
        <w:pStyle w:val="ListParagraph"/>
        <w:numPr>
          <w:ilvl w:val="0"/>
          <w:numId w:val="2"/>
        </w:numPr>
        <w:spacing w:after="80"/>
      </w:pPr>
      <w:r>
        <w:t xml:space="preserve">Ed25519 is not post-quantum secure — migration to a NIST-approved post-quantum scheme is on the long-term roadmap</w:t>
      </w:r>
    </w:p>
    <w:p>
      <w:pPr>
        <w:pStyle w:val="ListParagraph"/>
        <w:numPr>
          <w:ilvl w:val="0"/>
          <w:numId w:val="2"/>
        </w:numPr>
        <w:spacing w:after="80"/>
      </w:pPr>
      <w:r>
        <w:t xml:space="preserve">Receipt storage is currently local — hosted long-term storage is a planned paid tier</w:t>
      </w:r>
    </w:p>
    <w:p>
      <w:pPr>
        <w:pStyle w:val="ListParagraph"/>
        <w:numPr>
          <w:ilvl w:val="0"/>
          <w:numId w:val="2"/>
        </w:numPr>
        <w:spacing w:after="200"/>
      </w:pPr>
      <w:r>
        <w:t xml:space="preserve">Tiered autonomy is planned — current protocol supports scoped permissions per agent</w:t>
      </w:r>
    </w:p>
    <w:p>
      <w:r>
        <w:br w:type="page"/>
      </w:r>
    </w:p>
    <w:p>
      <w:pPr>
        <w:pStyle w:val="Heading1"/>
        <w:spacing w:after="200" w:before="400"/>
      </w:pPr>
      <w:r>
        <w:t xml:space="preserve">EU AI Act Compliance Mapping</w:t>
      </w:r>
    </w:p>
    <w:p>
      <w:pPr>
        <w:spacing w:after="200"/>
      </w:pPr>
      <w:r>
        <w:t xml:space="preserve">Enforcement begins August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shd w:fill="2d3748" w:val="clear"/>
          </w:tcPr>
          <w:p>
            <w:r>
              <w:rPr>
                <w:b/>
                <w:bCs/>
                <w:color w:val="ffffff"/>
              </w:rPr>
              <w:t xml:space="preserve">Article</w:t>
            </w:r>
          </w:p>
        </w:tc>
        <w:tc>
          <w:tcPr>
            <w:shd w:fill="2d3748" w:val="clear"/>
          </w:tcPr>
          <w:p>
            <w:r>
              <w:rPr>
                <w:b/>
                <w:bCs/>
                <w:color w:val="ffffff"/>
              </w:rPr>
              <w:t xml:space="preserve">Requirement</w:t>
            </w:r>
          </w:p>
        </w:tc>
        <w:tc>
          <w:tcPr>
            <w:shd w:fill="2d3748" w:val="clear"/>
          </w:tcPr>
          <w:p>
            <w:r>
              <w:rPr>
                <w:b/>
                <w:bCs/>
                <w:color w:val="ffffff"/>
              </w:rPr>
              <w:t xml:space="preserve">AT1C Response</w:t>
            </w:r>
          </w:p>
        </w:tc>
      </w:tr>
      <w:tr>
        <w:tc>
          <w:p>
            <w:r>
              <w:t xml:space="preserve">Art. 9</w:t>
            </w:r>
          </w:p>
        </w:tc>
        <w:tc>
          <w:p>
            <w:r>
              <w:t xml:space="preserve">Risk management</w:t>
            </w:r>
          </w:p>
        </w:tc>
        <w:tc>
          <w:p>
            <w:r>
              <w:t xml:space="preserve">Approval checkpoint at every action; tiered trust maps risk to oversight intensity</w:t>
            </w:r>
          </w:p>
        </w:tc>
      </w:tr>
      <w:tr>
        <w:tc>
          <w:p>
            <w:r>
              <w:t xml:space="preserve">Art. 13</w:t>
            </w:r>
          </w:p>
        </w:tc>
        <w:tc>
          <w:p>
            <w:r>
              <w:t xml:space="preserve">Transparency</w:t>
            </w:r>
          </w:p>
        </w:tc>
        <w:tc>
          <w:p>
            <w:r>
              <w:t xml:space="preserve">Request names action and resource explicitly before approval is sought</w:t>
            </w:r>
          </w:p>
        </w:tc>
      </w:tr>
      <w:tr>
        <w:tc>
          <w:p>
            <w:r>
              <w:t xml:space="preserve">Art. 14</w:t>
            </w:r>
          </w:p>
        </w:tc>
        <w:tc>
          <w:p>
            <w:r>
              <w:t xml:space="preserve">Human oversight</w:t>
            </w:r>
          </w:p>
        </w:tc>
        <w:tc>
          <w:p>
            <w:r>
              <w:t xml:space="preserve">No action executes without verified human approval — architecturally required, not optional</w:t>
            </w:r>
          </w:p>
        </w:tc>
      </w:tr>
      <w:tr>
        <w:tc>
          <w:p>
            <w:r>
              <w:t xml:space="preserve">Art. 17</w:t>
            </w:r>
          </w:p>
        </w:tc>
        <w:tc>
          <w:p>
            <w:r>
              <w:t xml:space="preserve">Quality management</w:t>
            </w:r>
          </w:p>
        </w:tc>
        <w:tc>
          <w:p>
            <w:r>
              <w:t xml:space="preserve">Every receipt is a timestamped, tamper-evident audit record</w:t>
            </w:r>
          </w:p>
        </w:tc>
      </w:tr>
      <w:tr>
        <w:tc>
          <w:p>
            <w:r>
              <w:t xml:space="preserve">Art. 26</w:t>
            </w:r>
          </w:p>
        </w:tc>
        <w:tc>
          <w:p>
            <w:r>
              <w:t xml:space="preserve">Deployer obligations</w:t>
            </w:r>
          </w:p>
        </w:tc>
        <w:tc>
          <w:p>
            <w:r>
              <w:t xml:space="preserve">Receipt log satisfies logging requirements without custom infrastructure</w:t>
            </w:r>
          </w:p>
        </w:tc>
      </w:tr>
    </w:tbl>
    <w:p>
      <w:r>
        <w:br w:type="page"/>
      </w:r>
    </w:p>
    <w:p>
      <w:pPr>
        <w:pStyle w:val="Heading1"/>
        <w:spacing w:after="200" w:before="400"/>
      </w:pPr>
      <w:r>
        <w:t xml:space="preserve">Cost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d3748" w:val="clear"/>
          </w:tcPr>
          <w:p>
            <w:r>
              <w:rPr>
                <w:b/>
                <w:bCs/>
                <w:color w:val="ffffff"/>
              </w:rPr>
              <w:t xml:space="preserve">Approach</w:t>
            </w:r>
          </w:p>
        </w:tc>
        <w:tc>
          <w:tcPr>
            <w:shd w:fill="2d3748" w:val="clear"/>
          </w:tcPr>
          <w:p>
            <w:r>
              <w:rPr>
                <w:b/>
                <w:bCs/>
                <w:color w:val="ffffff"/>
              </w:rPr>
              <w:t xml:space="preserve">Annual Cost</w:t>
            </w:r>
          </w:p>
        </w:tc>
        <w:tc>
          <w:tcPr>
            <w:shd w:fill="2d3748" w:val="clear"/>
          </w:tcPr>
          <w:p>
            <w:r>
              <w:rPr>
                <w:b/>
                <w:bCs/>
                <w:color w:val="ffffff"/>
              </w:rPr>
              <w:t xml:space="preserve">Time to Deploy</w:t>
            </w:r>
          </w:p>
        </w:tc>
      </w:tr>
      <w:tr>
        <w:tc>
          <w:p>
            <w:r>
              <w:t xml:space="preserve">Enterprise compliance programme</w:t>
            </w:r>
          </w:p>
        </w:tc>
        <w:tc>
          <w:p>
            <w:r>
              <w:t xml:space="preserve">€400,000 – €2,000,000</w:t>
            </w:r>
          </w:p>
        </w:tc>
        <w:tc>
          <w:p>
            <w:r>
              <w:t xml:space="preserve">6 – 18 months</w:t>
            </w:r>
          </w:p>
        </w:tc>
      </w:tr>
      <w:tr>
        <w:tc>
          <w:p>
            <w:r>
              <w:t xml:space="preserve">Legal/compliance consultancy</w:t>
            </w:r>
          </w:p>
        </w:tc>
        <w:tc>
          <w:p>
            <w:r>
              <w:t xml:space="preserve">€50,000 – €200,000</w:t>
            </w:r>
          </w:p>
        </w:tc>
        <w:tc>
          <w:p>
            <w:r>
              <w:t xml:space="preserve">3 – 6 months</w:t>
            </w:r>
          </w:p>
        </w:tc>
      </w:tr>
      <w:tr>
        <w:tc>
          <w:tcPr>
            <w:shd w:fill="ebf8ff" w:val="clear"/>
          </w:tcPr>
          <w:p>
            <w:r>
              <w:rPr>
                <w:b/>
                <w:bCs/>
              </w:rPr>
              <w:t xml:space="preserve">AT1C Protocol (free tier)</w:t>
            </w:r>
          </w:p>
        </w:tc>
        <w:tc>
          <w:tcPr>
            <w:shd w:fill="ebf8ff" w:val="clear"/>
          </w:tcPr>
          <w:p>
            <w:r>
              <w:rPr>
                <w:b/>
                <w:bCs/>
              </w:rPr>
              <w:t xml:space="preserve">€0 (open source)</w:t>
            </w:r>
          </w:p>
        </w:tc>
        <w:tc>
          <w:tcPr>
            <w:shd w:fill="ebf8ff" w:val="clear"/>
          </w:tcPr>
          <w:p>
            <w:r>
              <w:rPr>
                <w:b/>
                <w:bCs/>
              </w:rPr>
              <w:t xml:space="preserve">1 day</w:t>
            </w:r>
          </w:p>
        </w:tc>
      </w:tr>
    </w:tbl>
    <w:p>
      <w:pPr>
        <w:spacing w:after="200" w:before="200"/>
      </w:pPr>
      <w:r>
        <w:rPr>
          <w:i/>
          <w:iCs/>
        </w:rPr>
        <w:t xml:space="preserve">Note: </w:t>
      </w:r>
      <w:r>
        <w:rPr>
          <w:i/>
          <w:iCs/>
        </w:rPr>
        <w:t xml:space="preserve">Cost estimates based on TRENDS Group research on EU AI Act compliance costs for European SMEs (2026). AT1C addresses human oversight and audit trail requirements — it does not replace legal advice or a full compliance programme.</w:t>
      </w:r>
    </w:p>
    <w:p>
      <w:r>
        <w:br w:type="page"/>
      </w:r>
    </w:p>
    <w:p>
      <w:pPr>
        <w:pStyle w:val="Heading1"/>
        <w:spacing w:after="200" w:before="400"/>
      </w:pPr>
      <w:r>
        <w:t xml:space="preserve">Payment Architecture: AT1C and Algorand x402</w:t>
      </w:r>
    </w:p>
    <w:p>
      <w:pPr>
        <w:spacing w:after="200"/>
      </w:pPr>
      <w:r>
        <w:t xml:space="preserve">Stripe charges $0.30 flat per transaction — over 1,500 times the cost of a single Algorand x402 transaction. At millions of agent registrations and per-action consent events, a $0.30 floor eliminates the unit economics of the model entirely.</w:t>
      </w:r>
    </w:p>
    <w:p>
      <w:pPr>
        <w:pStyle w:val="Heading2"/>
        <w:spacing w:after="100" w:before="200"/>
      </w:pPr>
      <w:r>
        <w:t xml:space="preserve">Algorand x402 — The Target Payment Layer</w:t>
      </w:r>
    </w:p>
    <w:p>
      <w:pPr>
        <w:pStyle w:val="ListParagraph"/>
        <w:numPr>
          <w:ilvl w:val="0"/>
          <w:numId w:val="2"/>
        </w:numPr>
        <w:spacing w:after="80"/>
      </w:pPr>
      <w:r>
        <w:rPr>
          <w:b/>
          <w:bCs/>
        </w:rPr>
        <w:t xml:space="preserve">Sub-$0.0002 transaction fees: </w:t>
      </w:r>
      <w:r>
        <w:t xml:space="preserve">over 1,500× cheaper than Stripe — fractional-cent pricing viable at agent scale</w:t>
      </w:r>
    </w:p>
    <w:p>
      <w:pPr>
        <w:pStyle w:val="ListParagraph"/>
        <w:numPr>
          <w:ilvl w:val="0"/>
          <w:numId w:val="2"/>
        </w:numPr>
        <w:spacing w:after="80"/>
      </w:pPr>
      <w:r>
        <w:rPr>
          <w:b/>
          <w:bCs/>
        </w:rPr>
        <w:t xml:space="preserve">Sub-2-second deterministic finality: </w:t>
      </w:r>
      <w:r>
        <w:t xml:space="preserve">x402 payments complete inside a live HTTP request — Algorand is the only settlement layer that satisfies this reliably</w:t>
      </w:r>
    </w:p>
    <w:p>
      <w:pPr>
        <w:pStyle w:val="ListParagraph"/>
        <w:numPr>
          <w:ilvl w:val="0"/>
          <w:numId w:val="2"/>
        </w:numPr>
        <w:spacing w:after="200"/>
      </w:pPr>
      <w:r>
        <w:rPr>
          <w:b/>
          <w:bCs/>
        </w:rPr>
        <w:t xml:space="preserve">Native USDC settlement: </w:t>
      </w:r>
      <w:r>
        <w:t xml:space="preserve">pricing in dollars, settled in dollars — card onramps mean users never think about crypto</w:t>
      </w:r>
    </w:p>
    <w:p>
      <w:pPr>
        <w:spacing w:after="200"/>
      </w:pPr>
      <w:r>
        <w:rPr>
          <w:b/>
          <w:bCs/>
        </w:rPr>
        <w:t xml:space="preserve">AT1C + x402: </w:t>
      </w:r>
      <w:r>
        <w:t xml:space="preserve">AT1C is the consent layer — proves a human approved the action. x402 is the payment layer — settles the micro-transaction. Together they deliver the complete compliance and settlement stack for agentic commerce.</w:t>
      </w:r>
    </w:p>
    <w:p>
      <w:pPr>
        <w:spacing w:after="200"/>
      </w:pPr>
      <w:r>
        <w:rPr>
          <w:b/>
          <w:bCs/>
          <w:i/>
          <w:iCs/>
        </w:rPr>
        <w:t xml:space="preserve">Note: </w:t>
      </w:r>
      <w:r>
        <w:rPr>
          <w:i/>
          <w:iCs/>
        </w:rPr>
        <w:t xml:space="preserve">Algorand x402 integration is planned for AT1C v2.1. Near-term paid tier uses standard card payment.</w:t>
      </w:r>
    </w:p>
    <w:p>
      <w:r>
        <w:br w:type="page"/>
      </w:r>
    </w:p>
    <w:p>
      <w:pPr>
        <w:pStyle w:val="Heading1"/>
        <w:spacing w:after="200" w:before="400"/>
      </w:pPr>
      <w:r>
        <w:t xml:space="preserve">Getting Started in One Day</w:t>
      </w:r>
    </w:p>
    <w:p>
      <w:pPr>
        <w:pStyle w:val="Heading2"/>
        <w:spacing w:after="100" w:before="200"/>
      </w:pPr>
      <w:r>
        <w:t xml:space="preserve">Step 1 — Create your account (5 minutes)</w:t>
      </w:r>
    </w:p>
    <w:p>
      <w:pPr>
        <w:spacing w:after="200"/>
      </w:pPr>
      <w:r>
        <w:t xml:space="preserve">Register free at </w:t>
      </w:r>
      <w:r>
        <w:rPr>
          <w:b/>
          <w:bCs/>
        </w:rPr>
        <w:t xml:space="preserve">at1c.com</w:t>
      </w:r>
      <w:r>
        <w:t xml:space="preserve">. No credit card required.</w:t>
      </w:r>
    </w:p>
    <w:p>
      <w:pPr>
        <w:pStyle w:val="Heading2"/>
        <w:spacing w:after="100" w:before="200"/>
      </w:pPr>
      <w:r>
        <w:t xml:space="preserve">Step 2 — Install the SDK (2 minutes)</w:t>
      </w:r>
    </w:p>
    <w:p>
      <w:pPr>
        <w:spacing w:after="200"/>
      </w:pPr>
      <w:r>
        <w:rPr>
          <w:rFonts w:ascii="Courier New" w:cs="Courier New" w:eastAsia="Courier New" w:hAnsi="Courier New"/>
          <w:b/>
          <w:bCs/>
          <w:sz w:val="20"/>
          <w:szCs w:val="20"/>
        </w:rPr>
        <w:t xml:space="preserve">npm install @at1c/sdk</w:t>
      </w:r>
    </w:p>
    <w:p>
      <w:pPr>
        <w:pStyle w:val="Heading2"/>
        <w:spacing w:after="100" w:before="200"/>
      </w:pPr>
      <w:r>
        <w:t xml:space="preserve">Step 3 — Register your agent (5 minutes)</w:t>
      </w:r>
    </w:p>
    <w:p>
      <w:pPr>
        <w:spacing w:after="200"/>
      </w:pPr>
      <w:r>
        <w:t xml:space="preserve">Visit </w:t>
      </w:r>
      <w:r>
        <w:rPr>
          <w:b/>
          <w:bCs/>
        </w:rPr>
        <w:t xml:space="preserve">at1c.com/users/register-agent.php</w:t>
      </w:r>
      <w:r>
        <w:t xml:space="preserve">. Your browser generates the Ed25519 keypair — the private key downloads to your device and never leaves it. Select permissions via checkboxes. The registry signs a certificate over your public key.</w:t>
      </w:r>
    </w:p>
    <w:p>
      <w:pPr>
        <w:pStyle w:val="Heading2"/>
        <w:spacing w:after="100" w:before="200"/>
      </w:pPr>
      <w:r>
        <w:t xml:space="preserve">Step 4 — Integrate receipts into your action flow</w:t>
      </w:r>
    </w:p>
    <w:p>
      <w:pPr>
        <w:pStyle w:val="ListParagraph"/>
        <w:numPr>
          <w:ilvl w:val="0"/>
          <w:numId w:val="2"/>
        </w:numPr>
        <w:spacing w:after="80"/>
      </w:pPr>
      <w:r>
        <w:t xml:space="preserve">Agent generates a request for the specific action</w:t>
      </w:r>
    </w:p>
    <w:p>
      <w:pPr>
        <w:pStyle w:val="ListParagraph"/>
        <w:numPr>
          <w:ilvl w:val="0"/>
          <w:numId w:val="2"/>
        </w:numPr>
        <w:spacing w:after="80"/>
      </w:pPr>
      <w:r>
        <w:t xml:space="preserve">Human approves via your existing UI</w:t>
      </w:r>
    </w:p>
    <w:p>
      <w:pPr>
        <w:pStyle w:val="ListParagraph"/>
        <w:numPr>
          <w:ilvl w:val="0"/>
          <w:numId w:val="2"/>
        </w:numPr>
        <w:spacing w:after="80"/>
      </w:pPr>
      <w:r>
        <w:t xml:space="preserve">SDK generates the signed receipt in milliseconds</w:t>
      </w:r>
    </w:p>
    <w:p>
      <w:pPr>
        <w:pStyle w:val="ListParagraph"/>
        <w:numPr>
          <w:ilvl w:val="0"/>
          <w:numId w:val="2"/>
        </w:numPr>
        <w:spacing w:after="80"/>
      </w:pPr>
      <w:r>
        <w:t xml:space="preserve">Receipt is verified before the action executes</w:t>
      </w:r>
    </w:p>
    <w:p>
      <w:pPr>
        <w:pStyle w:val="ListParagraph"/>
        <w:numPr>
          <w:ilvl w:val="0"/>
          <w:numId w:val="2"/>
        </w:numPr>
        <w:spacing w:after="200"/>
      </w:pPr>
      <w:r>
        <w:t xml:space="preserve">Action executes — the receipt is your audit trail</w:t>
      </w:r>
    </w:p>
    <w:p>
      <w:r>
        <w:br w:type="page"/>
      </w:r>
    </w:p>
    <w:p>
      <w:pPr>
        <w:pStyle w:val="Heading1"/>
        <w:spacing w:after="200" w:before="400"/>
      </w:pPr>
      <w:r>
        <w:t xml:space="preserve">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00"/>
      </w:tblGrid>
      <w:tr>
        <w:tc>
          <w:tcPr>
            <w:shd w:fill="2d3748" w:val="clear"/>
          </w:tcPr>
          <w:p>
            <w:r>
              <w:rPr>
                <w:b/>
                <w:bCs/>
                <w:color w:val="ffffff"/>
              </w:rPr>
              <w:t xml:space="preserve">Version</w:t>
            </w:r>
          </w:p>
        </w:tc>
        <w:tc>
          <w:tcPr>
            <w:shd w:fill="2d3748" w:val="clear"/>
          </w:tcPr>
          <w:p>
            <w:r>
              <w:rPr>
                <w:b/>
                <w:bCs/>
                <w:color w:val="ffffff"/>
              </w:rPr>
              <w:t xml:space="preserve">Status</w:t>
            </w:r>
          </w:p>
        </w:tc>
        <w:tc>
          <w:tcPr>
            <w:shd w:fill="2d3748" w:val="clear"/>
          </w:tcPr>
          <w:p>
            <w:r>
              <w:rPr>
                <w:b/>
                <w:bCs/>
                <w:color w:val="ffffff"/>
              </w:rPr>
              <w:t xml:space="preserve">Description</w:t>
            </w:r>
          </w:p>
        </w:tc>
      </w:tr>
      <w:tr>
        <w:tc>
          <w:p>
            <w:r>
              <w:t xml:space="preserve">v1.1</w:t>
            </w:r>
          </w:p>
        </w:tc>
        <w:tc>
          <w:tcPr>
            <w:shd w:fill="f0fff4" w:val="clear"/>
          </w:tcPr>
          <w:p>
            <w:r>
              <w:t xml:space="preserve">✅ Done</w:t>
            </w:r>
          </w:p>
        </w:tc>
        <w:tc>
          <w:p>
            <w:r>
              <w:t xml:space="preserve">Non-custodial agent key registration</w:t>
            </w:r>
          </w:p>
        </w:tc>
      </w:tr>
      <w:tr>
        <w:tc>
          <w:p>
            <w:r>
              <w:t xml:space="preserve">v1.2</w:t>
            </w:r>
          </w:p>
        </w:tc>
        <w:tc>
          <w:tcPr>
            <w:shd w:fill="f0fff4" w:val="clear"/>
          </w:tcPr>
          <w:p>
            <w:r>
              <w:t xml:space="preserve">✅ Done</w:t>
            </w:r>
          </w:p>
        </w:tc>
        <w:tc>
          <w:p>
            <w:r>
              <w:t xml:space="preserve">Live registry API at registry.at1c.com</w:t>
            </w:r>
          </w:p>
        </w:tc>
      </w:tr>
      <w:tr>
        <w:tc>
          <w:p>
            <w:r>
              <w:t xml:space="preserve">v1.3</w:t>
            </w:r>
          </w:p>
        </w:tc>
        <w:tc>
          <w:tcPr>
            <w:shd w:fill="f0fff4" w:val="clear"/>
          </w:tcPr>
          <w:p>
            <w:r>
              <w:t xml:space="preserve">✅ Done</w:t>
            </w:r>
          </w:p>
        </w:tc>
        <w:tc>
          <w:p>
            <w:r>
              <w:t xml:space="preserve">Open web registration — personal and entity agents</w:t>
            </w:r>
          </w:p>
        </w:tc>
      </w:tr>
      <w:tr>
        <w:tc>
          <w:p>
            <w:r>
              <w:t xml:space="preserve">v1.4</w:t>
            </w:r>
          </w:p>
        </w:tc>
        <w:tc>
          <w:tcPr>
            <w:shd w:fill="f0fff4" w:val="clear"/>
          </w:tcPr>
          <w:p>
            <w:r>
              <w:t xml:space="preserve">✅ Done</w:t>
            </w:r>
          </w:p>
        </w:tc>
        <w:tc>
          <w:p>
            <w:r>
              <w:t xml:space="preserve">Browser-side keypair generation — no terminal required</w:t>
            </w:r>
          </w:p>
        </w:tc>
      </w:tr>
      <w:tr>
        <w:tc>
          <w:p>
            <w:r>
              <w:t xml:space="preserve">v1.5</w:t>
            </w:r>
          </w:p>
        </w:tc>
        <w:tc>
          <w:p>
            <w:r>
              <w:t xml:space="preserve">Planned</w:t>
            </w:r>
          </w:p>
        </w:tc>
        <w:tc>
          <w:p>
            <w:r>
              <w:t xml:space="preserve">End-user passkey (WebAuthn/FIDO2) onboarding</w:t>
            </w:r>
          </w:p>
        </w:tc>
      </w:tr>
      <w:tr>
        <w:tc>
          <w:p>
            <w:r>
              <w:t xml:space="preserve">v1.6</w:t>
            </w:r>
          </w:p>
        </w:tc>
        <w:tc>
          <w:p>
            <w:r>
              <w:t xml:space="preserve">Planned</w:t>
            </w:r>
          </w:p>
        </w:tc>
        <w:tc>
          <w:p>
            <w:r>
              <w:t xml:space="preserve">Hosted receipt storage — 10-year retention paid tier</w:t>
            </w:r>
          </w:p>
        </w:tc>
      </w:tr>
      <w:tr>
        <w:tc>
          <w:p>
            <w:r>
              <w:t xml:space="preserve">v2.0</w:t>
            </w:r>
          </w:p>
        </w:tc>
        <w:tc>
          <w:p>
            <w:r>
              <w:t xml:space="preserve">Planned</w:t>
            </w:r>
          </w:p>
        </w:tc>
        <w:tc>
          <w:p>
            <w:r>
              <w:t xml:space="preserve">Tiered autonomy with alarm thresholds for fleet management</w:t>
            </w:r>
          </w:p>
        </w:tc>
      </w:tr>
      <w:tr>
        <w:tc>
          <w:p>
            <w:r>
              <w:t xml:space="preserve">v2.1</w:t>
            </w:r>
          </w:p>
        </w:tc>
        <w:tc>
          <w:p>
            <w:r>
              <w:t xml:space="preserve">Planned</w:t>
            </w:r>
          </w:p>
        </w:tc>
        <w:tc>
          <w:p>
            <w:r>
              <w:t xml:space="preserve">Algorand x402 payment integration</w:t>
            </w:r>
          </w:p>
        </w:tc>
      </w:tr>
      <w:tr>
        <w:tc>
          <w:p>
            <w:r>
              <w:t xml:space="preserve">Future</w:t>
            </w:r>
          </w:p>
        </w:tc>
        <w:tc>
          <w:p>
            <w:r>
              <w:t xml:space="preserve">Roadmap</w:t>
            </w:r>
          </w:p>
        </w:tc>
        <w:tc>
          <w:p>
            <w:r>
              <w:t xml:space="preserve">Agent Manifest per EU AI Act Art 13/14, post-quantum signatures</w:t>
            </w:r>
          </w:p>
        </w:tc>
      </w:tr>
    </w:tbl>
    <w:p>
      <w:r>
        <w:br w:type="page"/>
      </w:r>
    </w:p>
    <w:p>
      <w:pPr>
        <w:pStyle w:val="Heading1"/>
        <w:spacing w:after="200" w:before="400"/>
      </w:pPr>
      <w:r>
        <w:t xml:space="preserve">Contact &amp; Further Information</w:t>
      </w:r>
    </w:p>
    <w:p>
      <w:pPr>
        <w:pStyle w:val="ListParagraph"/>
        <w:numPr>
          <w:ilvl w:val="0"/>
          <w:numId w:val="2"/>
        </w:numPr>
        <w:spacing w:after="80"/>
      </w:pPr>
      <w:r>
        <w:rPr>
          <w:b/>
          <w:bCs/>
        </w:rPr>
        <w:t xml:space="preserve">Website: </w:t>
      </w:r>
      <w:r>
        <w:t xml:space="preserve">at1c.com</w:t>
      </w:r>
    </w:p>
    <w:p>
      <w:pPr>
        <w:pStyle w:val="ListParagraph"/>
        <w:numPr>
          <w:ilvl w:val="0"/>
          <w:numId w:val="2"/>
        </w:numPr>
        <w:spacing w:after="80"/>
      </w:pPr>
      <w:r>
        <w:rPr>
          <w:b/>
          <w:bCs/>
        </w:rPr>
        <w:t xml:space="preserve">Live registry: </w:t>
      </w:r>
      <w:r>
        <w:t xml:space="preserve">registry.at1c.com</w:t>
      </w:r>
    </w:p>
    <w:p>
      <w:pPr>
        <w:pStyle w:val="ListParagraph"/>
        <w:numPr>
          <w:ilvl w:val="0"/>
          <w:numId w:val="2"/>
        </w:numPr>
        <w:spacing w:after="80"/>
      </w:pPr>
      <w:r>
        <w:rPr>
          <w:b/>
          <w:bCs/>
        </w:rPr>
        <w:t xml:space="preserve">GitHub: </w:t>
      </w:r>
      <w:r>
        <w:t xml:space="preserve">github.com/at1c-protocol/at1c-protocol-official</w:t>
      </w:r>
    </w:p>
    <w:p>
      <w:pPr>
        <w:pStyle w:val="ListParagraph"/>
        <w:numPr>
          <w:ilvl w:val="0"/>
          <w:numId w:val="2"/>
        </w:numPr>
        <w:spacing w:after="80"/>
      </w:pPr>
      <w:r>
        <w:rPr>
          <w:b/>
          <w:bCs/>
        </w:rPr>
        <w:t xml:space="preserve">npm: </w:t>
      </w:r>
      <w:r>
        <w:t xml:space="preserve">npmjs.com/package/@at1c/sdk</w:t>
      </w:r>
    </w:p>
    <w:p>
      <w:pPr>
        <w:pStyle w:val="ListParagraph"/>
        <w:numPr>
          <w:ilvl w:val="0"/>
          <w:numId w:val="2"/>
        </w:numPr>
        <w:spacing w:after="80"/>
      </w:pPr>
      <w:r>
        <w:rPr>
          <w:b/>
          <w:bCs/>
        </w:rPr>
        <w:t xml:space="preserve">SME compliance guide: </w:t>
      </w:r>
      <w:r>
        <w:t xml:space="preserve">at1c.com/compliance.html</w:t>
      </w:r>
    </w:p>
    <w:p>
      <w:pPr>
        <w:pStyle w:val="ListParagraph"/>
        <w:numPr>
          <w:ilvl w:val="0"/>
          <w:numId w:val="2"/>
        </w:numPr>
        <w:spacing w:after="200"/>
      </w:pPr>
      <w:r>
        <w:rPr>
          <w:b/>
          <w:bCs/>
        </w:rPr>
        <w:t xml:space="preserve">Register your agent: </w:t>
      </w:r>
      <w:r>
        <w:t xml:space="preserve">at1c.com/users/register-agent.php</w:t>
      </w:r>
    </w:p>
    <w:p>
      <w:pPr>
        <w:spacing w:before="400"/>
      </w:pPr>
      <w:r>
        <w:rPr>
          <w:b/>
          <w:bCs/>
        </w:rPr>
        <w:t xml:space="preserve">References</w:t>
      </w:r>
    </w:p>
    <w:p>
      <w:pPr>
        <w:spacing w:before="100"/>
      </w:pPr>
      <w:r>
        <w:rPr>
          <w:i/>
          <w:iCs/>
        </w:rPr>
        <w:t xml:space="preserve">RFC 8890 — The Internet is for End Users</w:t>
      </w:r>
      <w:r>
        <w:t xml:space="preserve">. Nottingham, M. Internet Architecture Board, 2020. https://www.rfc-editor.org/info/rfc8890/</w:t>
      </w:r>
    </w:p>
    <w:p>
      <w:pPr>
        <w:spacing w:before="100"/>
      </w:pPr>
      <w:r>
        <w:rPr>
          <w:i/>
          <w:iCs/>
        </w:rPr>
        <w:t xml:space="preserve">The Law of AI is the Law of Risky Agents Without Intentions</w:t>
      </w:r>
      <w:r>
        <w:t xml:space="preserve">. Ayres, I. &amp; Balkin, J. University of Chicago Law Review, 2026.</w:t>
      </w:r>
    </w:p>
    <w:p>
      <w:pPr>
        <w:spacing w:before="100"/>
      </w:pPr>
      <w:r>
        <w:rPr>
          <w:i/>
          <w:iCs/>
        </w:rPr>
        <w:t xml:space="preserve">How Big Tech's Monopoly of AI Threatens Fair Competition</w:t>
      </w:r>
      <w:r>
        <w:t xml:space="preserve">. TRENDS Group Research, 2026.</w:t>
      </w:r>
    </w:p>
    <w:p>
      <w:pPr>
        <w:spacing w:before="400"/>
      </w:pPr>
      <w:r>
        <w:rPr>
          <w:i/>
          <w:iCs/>
          <w:color w:val="718096"/>
        </w:rPr>
        <w:t xml:space="preserve">© 2026 AT1C Protocol Contributors · MIT Licence · Version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2026-07-31T08:59:54.564Z</dcterms:created>
  <dcterms:modified xsi:type="dcterms:W3CDTF">2026-07-31T08:59:54.578Z</dcterms:modified>
</cp:coreProperties>
</file>

<file path=docProps/custom.xml><?xml version="1.0" encoding="utf-8"?>
<Properties xmlns="http://schemas.openxmlformats.org/officeDocument/2006/custom-properties" xmlns:vt="http://schemas.openxmlformats.org/officeDocument/2006/docPropsVTypes"/>
</file>