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2d3748"/>
          <w:sz w:val="56"/>
          <w:szCs w:val="56"/>
        </w:rPr>
        <w:t xml:space="preserve">AT1C PROTOCOL</w:t>
      </w:r>
    </w:p>
    <w:p>
      <w:pPr>
        <w:spacing w:before="200"/>
        <w:jc w:val="center"/>
      </w:pPr>
      <w:r>
        <w:rPr>
          <w:color w:val="38bdf8"/>
          <w:sz w:val="28"/>
          <w:szCs w:val="28"/>
        </w:rPr>
        <w:t xml:space="preserve">Cryptographic Human Consent for AI Agent Actions</w:t>
      </w:r>
    </w:p>
    <w:p>
      <w:pPr>
        <w:spacing w:before="400"/>
        <w:jc w:val="center"/>
      </w:pPr>
      <w:r>
        <w:rPr>
          <w:i/>
          <w:iCs/>
          <w:color w:val="4a5568"/>
          <w:sz w:val="24"/>
          <w:szCs w:val="24"/>
        </w:rPr>
        <w:t xml:space="preserve">Technical Whitepaper &amp; EU AI Act Compliance Guide</w:t>
      </w:r>
    </w:p>
    <w:p>
      <w:pPr>
        <w:spacing w:before="200"/>
        <w:jc w:val="center"/>
      </w:pPr>
      <w:r>
        <w:rPr>
          <w:color w:val="718096"/>
          <w:sz w:val="22"/>
          <w:szCs w:val="22"/>
        </w:rPr>
        <w:t xml:space="preserve">Version 1.4  ·  July 2026</w:t>
      </w:r>
    </w:p>
    <w:p>
      <w:pPr>
        <w:spacing w:before="200"/>
        <w:jc w:val="center"/>
      </w:pPr>
      <w:r>
        <w:rPr>
          <w:color w:val="718096"/>
          <w:sz w:val="20"/>
          <w:szCs w:val="20"/>
        </w:rPr>
        <w:t xml:space="preserve">at1c.com  ·  registry.at1c.com  ·  github.com/at1c-protocol</w:t>
      </w:r>
    </w:p>
    <w:p>
      <w:r>
        <w:br w:type="page"/>
      </w:r>
    </w:p>
    <w:p>
      <w:pPr>
        <w:pStyle w:val="Heading1"/>
        <w:spacing w:after="200" w:before="400"/>
      </w:pPr>
      <w:r>
        <w:t xml:space="preserve">Executive Summary</w:t>
      </w:r>
    </w:p>
    <w:p>
      <w:pPr>
        <w:spacing w:after="200"/>
      </w:pPr>
      <w:r>
        <w:t xml:space="preserve">AI agents are taking consequential actions on behalf of humans and organisations — sending payments, filing documents, scheduling appointments, managing data — with no verifiable record that a human actually authorised those actions. The EU AI Act, which enters enforcement in August 2026, requires exactly that record: accountability for automated decisions, human oversight of high-risk AI actions, and auditable logs of AI behaviour.</w:t>
      </w:r>
    </w:p>
    <w:p>
      <w:pPr>
        <w:spacing w:after="200"/>
      </w:pPr>
      <w:r>
        <w:t xml:space="preserve">AT1C (Agent Trust &amp; Consent Control) is an open protocol that solves this problem with a single, cryptographically verifiable primitive: a signed receipt that proves a specific human approved a specific AI agent action before it executed. AT1C works for individual users protecting their personal AI assistants, and for organisations managing fleets of agents operating across business processes.</w:t>
      </w:r>
    </w:p>
    <w:p>
      <w:pPr>
        <w:spacing w:after="200"/>
      </w:pPr>
      <w:r>
        <w:rPr>
          <w:b/>
          <w:bCs/>
        </w:rPr>
        <w:t xml:space="preserve">AT1C is:</w:t>
      </w:r>
    </w:p>
    <w:p>
      <w:pPr>
        <w:pStyle w:val="ListParagraph"/>
        <w:numPr>
          <w:ilvl w:val="0"/>
          <w:numId w:val="2"/>
        </w:numPr>
        <w:spacing w:after="100"/>
      </w:pPr>
      <w:r>
        <w:t xml:space="preserve">Free and open source — MIT licensed, no vendor lock-in</w:t>
      </w:r>
    </w:p>
    <w:p>
      <w:pPr>
        <w:pStyle w:val="ListParagraph"/>
        <w:numPr>
          <w:ilvl w:val="0"/>
          <w:numId w:val="2"/>
        </w:numPr>
        <w:spacing w:after="100"/>
      </w:pPr>
      <w:r>
        <w:t xml:space="preserve">Deployable in a day — a lightweight SDK wrapping any existing system</w:t>
      </w:r>
    </w:p>
    <w:p>
      <w:pPr>
        <w:pStyle w:val="ListParagraph"/>
        <w:numPr>
          <w:ilvl w:val="0"/>
          <w:numId w:val="2"/>
        </w:numPr>
        <w:spacing w:after="100"/>
      </w:pPr>
      <w:r>
        <w:t xml:space="preserve">Non-custodial — AT1C never holds signing keys; they stay on the agent's or user's device</w:t>
      </w:r>
    </w:p>
    <w:p>
      <w:pPr>
        <w:pStyle w:val="ListParagraph"/>
        <w:numPr>
          <w:ilvl w:val="0"/>
          <w:numId w:val="2"/>
        </w:numPr>
        <w:spacing w:after="100"/>
      </w:pPr>
      <w:r>
        <w:t xml:space="preserve">Designed for both personal and entity use — individual AI assistants and enterprise agent fleets</w:t>
      </w:r>
    </w:p>
    <w:p>
      <w:pPr>
        <w:pStyle w:val="ListParagraph"/>
        <w:numPr>
          <w:ilvl w:val="0"/>
          <w:numId w:val="2"/>
        </w:numPr>
        <w:spacing w:after="200"/>
      </w:pPr>
      <w:r>
        <w:t xml:space="preserve">Live today — registry.at1c.com is operational and accepting agent registrations</w:t>
      </w:r>
    </w:p>
    <w:p>
      <w:pPr>
        <w:spacing w:after="200"/>
      </w:pPr>
      <w:r>
        <w:rPr>
          <w:i/>
          <w:iCs/>
        </w:rPr>
        <w:t xml:space="preserve">Large enterprises spend €400,000–€2,000,000 per year on EU AI Act compliance infrastructure. AT1C gives SMEs and individuals in fintech, healthcare, and legal the same verifiable accountability at a fraction of the cost.</w:t>
      </w:r>
    </w:p>
    <w:p>
      <w:r>
        <w:br w:type="page"/>
      </w:r>
    </w:p>
    <w:p>
      <w:pPr>
        <w:pStyle w:val="Heading1"/>
        <w:spacing w:after="200" w:before="400"/>
      </w:pPr>
      <w:r>
        <w:t xml:space="preserve">The Problem: Unaccountable AI Agents</w:t>
      </w:r>
    </w:p>
    <w:p>
      <w:pPr>
        <w:spacing w:after="200"/>
      </w:pPr>
      <w:r>
        <w:t xml:space="preserve">Modern AI systems act silently. An agent executes a payment, files a form, or sends a communication — and there is no cryptographic record that a human approved that specific action at that specific moment. The approval, if it happened at all, exists only as a log entry or a UI click that can be altered, lost, or disputed.</w:t>
      </w:r>
    </w:p>
    <w:p>
      <w:pPr>
        <w:spacing w:after="200"/>
      </w:pPr>
      <w:r>
        <w:t xml:space="preserve">This is not merely a technical gap. It is the gap the EU AI Act was written to close. The regulation recognises that as AI agents accumulate standing privilege and act autonomously, the question of accountability becomes critical: who approved what, when, with what scope, and can that approval be independently verified?</w:t>
      </w:r>
    </w:p>
    <w:p>
      <w:pPr>
        <w:spacing w:after="200"/>
      </w:pPr>
      <w:r>
        <w:t xml:space="preserve">The answer today, for most systems, is: no one can verify it, because the proof was never created.</w:t>
      </w:r>
    </w:p>
    <w:p>
      <w:pPr>
        <w:spacing w:after="200"/>
      </w:pPr>
      <w:r>
        <w:t xml:space="preserve">As the number of deployed AI agents grows toward the billions — and eventually toward the scale described by researchers as "trillions of agents" operating across European SMEs alone — the accountability gap compounds. Without a standard consent protocol, every agent is an unverified actor, and every action it takes is a potential compliance exposure for the organisation that deployed it.</w:t>
      </w:r>
    </w:p>
    <w:p>
      <w:pPr>
        <w:pStyle w:val="Heading2"/>
        <w:spacing w:after="200" w:before="300"/>
      </w:pPr>
      <w:r>
        <w:t xml:space="preserve">The Three Sectors Most at Risk</w:t>
      </w:r>
    </w:p>
    <w:p>
      <w:pPr>
        <w:pStyle w:val="Heading3"/>
        <w:spacing w:after="100" w:before="200"/>
      </w:pPr>
      <w:r>
        <w:t xml:space="preserve">Fintech</w:t>
      </w:r>
    </w:p>
    <w:p>
      <w:pPr>
        <w:spacing w:after="200"/>
      </w:pPr>
      <w:r>
        <w:t xml:space="preserve">AI agents in financial services execute trades, initiate payments, manage portfolios, and interact with brokers on behalf of users — both individual investors and institutional clients. Under the EU AI Act and existing financial regulation (MiFID II, PSD2), firms must demonstrate human oversight of automated decisions. Without a verifiable consent record, every automated transaction is a potential compliance exposure.</w:t>
      </w:r>
    </w:p>
    <w:p>
      <w:pPr>
        <w:spacing w:after="100"/>
      </w:pPr>
      <w:r>
        <w:rPr>
          <w:b/>
          <w:bCs/>
        </w:rPr>
        <w:t xml:space="preserve">Cost of non-compliance: </w:t>
      </w:r>
      <w:r>
        <w:t xml:space="preserve">Fines up to €30M or 6% of global annual turnover under EU AI Act. MiFID II penalties up to €5M per breach.</w:t>
      </w:r>
    </w:p>
    <w:p>
      <w:pPr>
        <w:spacing w:after="200"/>
      </w:pPr>
      <w:r>
        <w:rPr>
          <w:b/>
          <w:bCs/>
        </w:rPr>
        <w:t xml:space="preserve">AT1C solution: </w:t>
      </w:r>
      <w:r>
        <w:t xml:space="preserve">Every agent-initiated transaction carries a signed receipt proving the account holder approved that specific action. Auditors verify independently, with no reliance on the firm's own logs.</w:t>
      </w:r>
    </w:p>
    <w:p>
      <w:pPr>
        <w:pStyle w:val="Heading3"/>
        <w:spacing w:after="100" w:before="200"/>
      </w:pPr>
      <w:r>
        <w:t xml:space="preserve">Healthcare</w:t>
      </w:r>
    </w:p>
    <w:p>
      <w:pPr>
        <w:spacing w:after="200"/>
      </w:pPr>
      <w:r>
        <w:t xml:space="preserve">AI agents in healthcare are scheduling appointments, triaging patient queries, recommending treatments, and accessing medical records. The EU AI Act classifies health AI as high-risk, requiring the strictest oversight: a human must be in the loop for consequential decisions, with an auditable record of every AI-initiated action.</w:t>
      </w:r>
    </w:p>
    <w:p>
      <w:pPr>
        <w:spacing w:after="100"/>
      </w:pPr>
      <w:r>
        <w:rPr>
          <w:b/>
          <w:bCs/>
        </w:rPr>
        <w:t xml:space="preserve">Cost of non-compliance: </w:t>
      </w:r>
      <w:r>
        <w:t xml:space="preserve">GDPR fines up to €20M or 4% of global turnover, plus EU AI Act penalties.</w:t>
      </w:r>
    </w:p>
    <w:p>
      <w:pPr>
        <w:spacing w:after="200"/>
      </w:pPr>
      <w:r>
        <w:rPr>
          <w:b/>
          <w:bCs/>
        </w:rPr>
        <w:t xml:space="preserve">AT1C solution: </w:t>
      </w:r>
      <w:r>
        <w:t xml:space="preserve">Every AI-initiated action on patient data or care pathways requires a verifiable human approval receipt before execution — simultaneously the consent record required by GDPR and the oversight audit trail required by the EU AI Act.</w:t>
      </w:r>
    </w:p>
    <w:p>
      <w:pPr>
        <w:pStyle w:val="Heading3"/>
        <w:spacing w:after="100" w:before="200"/>
      </w:pPr>
      <w:r>
        <w:t xml:space="preserve">Legal</w:t>
      </w:r>
    </w:p>
    <w:p>
      <w:pPr>
        <w:spacing w:after="200"/>
      </w:pPr>
      <w:r>
        <w:t xml:space="preserve">AI agents in legal practice are drafting documents, conducting due diligence, filing submissions, and communicating with counterparties. Solicitor conduct rules require informed client consent for actions taken on their behalf. An AI agent acting without a verifiable consent record may expose the firm to professional negligence liability and regulatory sanction.</w:t>
      </w:r>
    </w:p>
    <w:p>
      <w:pPr>
        <w:spacing w:after="100"/>
      </w:pPr>
      <w:r>
        <w:rPr>
          <w:b/>
          <w:bCs/>
        </w:rPr>
        <w:t xml:space="preserve">Cost of non-compliance: </w:t>
      </w:r>
      <w:r>
        <w:t xml:space="preserve">SRA disciplinary action, professional indemnity claims, and EU AI Act penalties for high-risk AI deployment without oversight.</w:t>
      </w:r>
    </w:p>
    <w:p>
      <w:pPr>
        <w:spacing w:after="200"/>
      </w:pPr>
      <w:r>
        <w:rPr>
          <w:b/>
          <w:bCs/>
        </w:rPr>
        <w:t xml:space="preserve">AT1C solution: </w:t>
      </w:r>
      <w:r>
        <w:t xml:space="preserve">Client consent to specific AI-initiated actions is captured as a cryptographic receipt, timestamped and independently verifiable — the informed consent record the profession requires.</w:t>
      </w:r>
    </w:p>
    <w:p>
      <w:r>
        <w:br w:type="page"/>
      </w:r>
    </w:p>
    <w:p>
      <w:pPr>
        <w:pStyle w:val="Heading1"/>
        <w:spacing w:after="200" w:before="400"/>
      </w:pPr>
      <w:r>
        <w:t xml:space="preserve">The AT1C Protocol</w:t>
      </w:r>
    </w:p>
    <w:p>
      <w:pPr>
        <w:spacing w:after="200"/>
      </w:pPr>
      <w:r>
        <w:t xml:space="preserve">AT1C operates on a four-step flow that produces a cryptographically verifiable record of human consent for every AI agent action:</w:t>
      </w:r>
    </w:p>
    <w:p>
      <w:pPr>
        <w:pStyle w:val="Heading2"/>
        <w:spacing w:after="100" w:before="200"/>
      </w:pPr>
      <w:r>
        <w:t xml:space="preserve">Step 1 — Request</w:t>
      </w:r>
    </w:p>
    <w:p>
      <w:pPr>
        <w:spacing w:after="200"/>
      </w:pPr>
      <w:r>
        <w:t xml:space="preserve">An AI agent requests permission to perform a specific, scoped action. The request names the action, the resource it will act on, and the agent's identity. Nothing is executed at this stage. The scope is explicit and bounded.</w:t>
      </w:r>
    </w:p>
    <w:p>
      <w:pPr>
        <w:pStyle w:val="Heading2"/>
        <w:spacing w:after="100" w:before="200"/>
      </w:pPr>
      <w:r>
        <w:t xml:space="preserve">Step 2 — Approve</w:t>
      </w:r>
    </w:p>
    <w:p>
      <w:pPr>
        <w:spacing w:after="200"/>
      </w:pPr>
      <w:r>
        <w:t xml:space="preserve">A human explicitly grants or denies the request. The approval is specific to the action and resource named — it cannot be transferred to any other action. This is the human-in-the-loop moment the EU AI Act requires.</w:t>
      </w:r>
    </w:p>
    <w:p>
      <w:pPr>
        <w:pStyle w:val="Heading2"/>
        <w:spacing w:after="100" w:before="200"/>
      </w:pPr>
      <w:r>
        <w:t xml:space="preserve">Step 3 — Proof</w:t>
      </w:r>
    </w:p>
    <w:p>
      <w:pPr>
        <w:spacing w:after="200"/>
      </w:pPr>
      <w:r>
        <w:t xml:space="preserve">On approval, a signed receipt is generated. The receipt cryptographically binds: the approving user's identity, the exact action approved, the agent's registered public key, a timestamp, and a single-use nonce. The receipt is signed with the approving user's Ed25519 private key, which never leaves their device.</w:t>
      </w:r>
    </w:p>
    <w:p>
      <w:pPr>
        <w:pStyle w:val="Heading2"/>
        <w:spacing w:after="100" w:before="200"/>
      </w:pPr>
      <w:r>
        <w:t xml:space="preserve">Step 4 — Verify</w:t>
      </w:r>
    </w:p>
    <w:p>
      <w:pPr>
        <w:spacing w:after="200"/>
      </w:pPr>
      <w:r>
        <w:t xml:space="preserve">Before executing the action, any system — the agent itself, a counterparty, a regulator, or an auditor — can independently verify the receipt. Verification requires no trust in AT1C as an intermediary; the mathematics of Ed25519 signature verification is the guarantee.</w:t>
      </w:r>
    </w:p>
    <w:p>
      <w:r>
        <w:br w:type="page"/>
      </w:r>
    </w:p>
    <w:p>
      <w:pPr>
        <w:pStyle w:val="Heading1"/>
        <w:spacing w:after="200" w:before="400"/>
      </w:pPr>
      <w:r>
        <w:t xml:space="preserve">Personal and Entity Use Cases</w:t>
      </w:r>
    </w:p>
    <w:p>
      <w:pPr>
        <w:pStyle w:val="Heading2"/>
        <w:spacing w:after="100" w:before="200"/>
      </w:pPr>
      <w:r>
        <w:t xml:space="preserve">Personal AI Agent Coverage</w:t>
      </w:r>
    </w:p>
    <w:p>
      <w:pPr>
        <w:spacing w:after="200"/>
      </w:pPr>
      <w:r>
        <w:t xml:space="preserve">AT1C is not only for enterprises. Any individual using an AI assistant to act on their behalf — managing their calendar, handling their email, executing their trades, or acting as their personal health coordinator — benefits from the same cryptographic consent layer. A personal AT1C account gives the individual a verifiable record of every action their AI assistant has taken on their behalf, independently auditable at any time.</w:t>
      </w:r>
    </w:p>
    <w:p>
      <w:pPr>
        <w:spacing w:after="200"/>
      </w:pPr>
      <w:r>
        <w:t xml:space="preserve">Registration takes one day. The private key stays on the individual's device. There is no fee for the free tier. A personal AI agent registered with AT1C is a personal AI agent with a verifiable accountability trail — something no current consumer AI platform provides.</w:t>
      </w:r>
    </w:p>
    <w:p>
      <w:pPr>
        <w:pStyle w:val="Heading2"/>
        <w:spacing w:after="100" w:before="200"/>
      </w:pPr>
      <w:r>
        <w:t xml:space="preserve">Entity-Owned Agent Fleets</w:t>
      </w:r>
    </w:p>
    <w:p>
      <w:pPr>
        <w:spacing w:after="200"/>
      </w:pPr>
      <w:r>
        <w:t xml:space="preserve">Organisations deploying multiple AI agents across business processes face a different challenge: how do you maintain human oversight across a fleet of agents without creating an approval bottleneck? AT1C addresses this through granular permission scopes and tiered autonomy — each agent has precisely the authority it needs, no more, with human oversight calibrated to the risk level of the action.</w:t>
      </w:r>
    </w:p>
    <w:p>
      <w:pPr>
        <w:pStyle w:val="Heading2"/>
        <w:spacing w:after="100" w:before="200"/>
      </w:pPr>
      <w:r>
        <w:t xml:space="preserve">Tiered Autonomy: Low, Medium, High Trust</w:t>
      </w:r>
    </w:p>
    <w:p>
      <w:pPr>
        <w:spacing w:after="100"/>
      </w:pPr>
      <w:r>
        <w:t xml:space="preserve">Not every agent action carries the same risk. AT1C's permission model reflects this:</w:t>
      </w:r>
    </w:p>
    <w:p>
      <w:pPr>
        <w:pStyle w:val="ListParagraph"/>
        <w:numPr>
          <w:ilvl w:val="0"/>
          <w:numId w:val="2"/>
        </w:numPr>
        <w:spacing w:after="150"/>
      </w:pPr>
      <w:r>
        <w:rPr>
          <w:b/>
          <w:bCs/>
        </w:rPr>
        <w:t xml:space="preserve">Low trust — </w:t>
      </w:r>
      <w:r>
        <w:t xml:space="preserve">Agent must request explicit human approval for every action. Appropriate for new agents, high-value transactions, or sensitive data access. Every action produces a receipt.</w:t>
      </w:r>
    </w:p>
    <w:p>
      <w:pPr>
        <w:pStyle w:val="ListParagraph"/>
        <w:numPr>
          <w:ilvl w:val="0"/>
          <w:numId w:val="2"/>
        </w:numPr>
        <w:spacing w:after="150"/>
      </w:pPr>
      <w:r>
        <w:rPr>
          <w:b/>
          <w:bCs/>
        </w:rPr>
        <w:t xml:space="preserve">Medium trust — </w:t>
      </w:r>
      <w:r>
        <w:t xml:space="preserve">Agent operates autonomously within pre-approved permission boundaries. Alerts trigger as the agent approaches boundary limits. Human approval required only for out-of-boundary actions.</w:t>
      </w:r>
    </w:p>
    <w:p>
      <w:pPr>
        <w:pStyle w:val="ListParagraph"/>
        <w:numPr>
          <w:ilvl w:val="0"/>
          <w:numId w:val="2"/>
        </w:numPr>
        <w:spacing w:after="200"/>
      </w:pPr>
      <w:r>
        <w:rPr>
          <w:b/>
          <w:bCs/>
        </w:rPr>
        <w:t xml:space="preserve">High trust — </w:t>
      </w:r>
      <w:r>
        <w:t xml:space="preserve">Agent operates within a fully defined, scoped permission envelope. Human oversight is via audit log and alarm — an alert fires if the agent attempts any action outside its defined envelope.</w:t>
      </w:r>
    </w:p>
    <w:p>
      <w:pPr>
        <w:spacing w:after="200"/>
      </w:pPr>
      <w:r>
        <w:t xml:space="preserve">This tiered model maps directly onto the EU AI Act's risk classification framework, giving compliance officers a clear, auditable relationship between each agent's trust tier and its regulatory classification.</w:t>
      </w:r>
    </w:p>
    <w:p>
      <w:pPr>
        <w:spacing w:after="200"/>
      </w:pPr>
      <w:r>
        <w:rPr>
          <w:b/>
          <w:bCs/>
          <w:i/>
          <w:iCs/>
        </w:rPr>
        <w:t xml:space="preserve">Note: </w:t>
      </w:r>
      <w:r>
        <w:rPr>
          <w:i/>
          <w:iCs/>
        </w:rPr>
        <w:t xml:space="preserve">Tiered autonomy with alarm thresholds is on the AT1C roadmap as a planned feature for v2.0. The current protocol supports scoped permissions per agent.</w:t>
      </w:r>
    </w:p>
    <w:p>
      <w:r>
        <w:br w:type="page"/>
      </w:r>
    </w:p>
    <w:p>
      <w:pPr>
        <w:pStyle w:val="Heading1"/>
        <w:spacing w:after="200" w:before="400"/>
      </w:pPr>
      <w:r>
        <w:t xml:space="preserve">Cryptographic Guarantees</w:t>
      </w:r>
    </w:p>
    <w:p>
      <w:pPr>
        <w:spacing w:after="100"/>
      </w:pPr>
      <w:r>
        <w:rPr>
          <w:b/>
          <w:bCs/>
        </w:rPr>
        <w:t xml:space="preserve">What AT1C guarantees (confirmed):</w:t>
      </w:r>
    </w:p>
    <w:p>
      <w:pPr>
        <w:pStyle w:val="ListParagraph"/>
        <w:numPr>
          <w:ilvl w:val="0"/>
          <w:numId w:val="2"/>
        </w:numPr>
        <w:spacing w:after="100"/>
      </w:pPr>
      <w:r>
        <w:t xml:space="preserve">A valid receipt proves that the holder of the private key corresponding to the registered public key signed over the exact action payload — no one else could have produced that signature</w:t>
      </w:r>
    </w:p>
    <w:p>
      <w:pPr>
        <w:pStyle w:val="ListParagraph"/>
        <w:numPr>
          <w:ilvl w:val="0"/>
          <w:numId w:val="2"/>
        </w:numPr>
        <w:spacing w:after="100"/>
      </w:pPr>
      <w:r>
        <w:t xml:space="preserve">The nonce in each receipt is unique and single-use — replay attacks are prevented by construction</w:t>
      </w:r>
    </w:p>
    <w:p>
      <w:pPr>
        <w:pStyle w:val="ListParagraph"/>
        <w:numPr>
          <w:ilvl w:val="0"/>
          <w:numId w:val="2"/>
        </w:numPr>
        <w:spacing w:after="100"/>
      </w:pPr>
      <w:r>
        <w:t xml:space="preserve">The agent's certificate is signed by the AT1C registry root key — agent identity is independently verifiable</w:t>
      </w:r>
    </w:p>
    <w:p>
      <w:pPr>
        <w:pStyle w:val="ListParagraph"/>
        <w:numPr>
          <w:ilvl w:val="0"/>
          <w:numId w:val="2"/>
        </w:numPr>
        <w:spacing w:after="200"/>
      </w:pPr>
      <w:r>
        <w:t xml:space="preserve">The signing algorithm is Ed25519 — IETF-standardised, strong security record</w:t>
      </w:r>
    </w:p>
    <w:p>
      <w:pPr>
        <w:pStyle w:val="Heading2"/>
        <w:spacing w:after="100" w:before="200"/>
      </w:pPr>
      <w:r>
        <w:t xml:space="preserve">The Layered Security Model</w:t>
      </w:r>
    </w:p>
    <w:p>
      <w:pPr>
        <w:spacing w:after="200"/>
      </w:pPr>
      <w:r>
        <w:t xml:space="preserve">AT1C is designed as one layer in a defence-in-depth security model — the industry-standard approach to building trustworthy systems. The receipt proves a specific private key signed a specific approval: the strongest cryptographic proof available that the action was authorised by the keyholder.</w:t>
      </w:r>
    </w:p>
    <w:p>
      <w:pPr>
        <w:spacing w:after="200"/>
      </w:pPr>
      <w:r>
        <w:t xml:space="preserve">The question of who holds that key is answered by your authentication layer — passkey, biometric, or 2FA — which sits alongside AT1C. Combined, these two layers deliver both identity assurance and action accountability. Neither alone is sufficient, and AT1C is built to integrate cleanly with both.</w:t>
      </w:r>
    </w:p>
    <w:p>
      <w:pPr>
        <w:spacing w:after="200"/>
      </w:pPr>
      <w:r>
        <w:t xml:space="preserve">This is not a limitation — it is correct security architecture. The same separation of concerns governs every major payment network, PKI system, and identity standard in production today.</w:t>
      </w:r>
    </w:p>
    <w:p>
      <w:pPr>
        <w:pStyle w:val="Heading2"/>
        <w:spacing w:after="100" w:before="200"/>
      </w:pPr>
      <w:r>
        <w:t xml:space="preserve">Known Limitations (Transparent Disclosure)</w:t>
      </w:r>
    </w:p>
    <w:p>
      <w:pPr>
        <w:pStyle w:val="ListParagraph"/>
        <w:numPr>
          <w:ilvl w:val="0"/>
          <w:numId w:val="2"/>
        </w:numPr>
        <w:spacing w:after="100"/>
      </w:pPr>
      <w:r>
        <w:t xml:space="preserve">Ed25519 is not post-quantum secure — migration to a NIST-approved post-quantum scheme is on the long-term roadmap</w:t>
      </w:r>
    </w:p>
    <w:p>
      <w:pPr>
        <w:pStyle w:val="ListParagraph"/>
        <w:numPr>
          <w:ilvl w:val="0"/>
          <w:numId w:val="2"/>
        </w:numPr>
        <w:spacing w:after="100"/>
      </w:pPr>
      <w:r>
        <w:t xml:space="preserve">Receipt storage is currently local — hosted long-term storage is a planned paid tier</w:t>
      </w:r>
    </w:p>
    <w:p>
      <w:pPr>
        <w:pStyle w:val="ListParagraph"/>
        <w:numPr>
          <w:ilvl w:val="0"/>
          <w:numId w:val="2"/>
        </w:numPr>
        <w:spacing w:after="200"/>
      </w:pPr>
      <w:r>
        <w:t xml:space="preserve">Tiered autonomy with alarm thresholds is planned — current protocol supports scoped permissions per agent</w:t>
      </w:r>
    </w:p>
    <w:p>
      <w:r>
        <w:br w:type="page"/>
      </w:r>
    </w:p>
    <w:p>
      <w:pPr>
        <w:pStyle w:val="Heading1"/>
        <w:spacing w:after="200" w:before="400"/>
      </w:pPr>
      <w:r>
        <w:t xml:space="preserve">EU AI Act Compliance Mapping</w:t>
      </w:r>
    </w:p>
    <w:p>
      <w:pPr>
        <w:spacing w:after="200"/>
      </w:pPr>
      <w:r>
        <w:t xml:space="preserve">The following maps AT1C's capabilities to specific EU AI Act requirements. Enforcement begins August 2026.</w:t>
      </w:r>
    </w:p>
    <w:p>
      <w:pPr>
        <w:pStyle w:val="Heading2"/>
        <w:spacing w:after="100" w:before="200"/>
      </w:pPr>
      <w:r>
        <w:t xml:space="preserve">Article 9 — Risk Management</w:t>
      </w:r>
    </w:p>
    <w:p>
      <w:pPr>
        <w:spacing w:after="200"/>
      </w:pPr>
      <w:r>
        <w:rPr>
          <w:b/>
          <w:bCs/>
        </w:rPr>
        <w:t xml:space="preserve">Requirement: </w:t>
      </w:r>
      <w:r>
        <w:t xml:space="preserve">High-risk AI systems must implement risk management measures throughout their lifecycle. </w:t>
      </w:r>
      <w:r>
        <w:rPr>
          <w:b/>
          <w:bCs/>
        </w:rPr>
        <w:t xml:space="preserve">AT1C addresses: </w:t>
      </w:r>
      <w:r>
        <w:t xml:space="preserve">Every agent action requires explicit human approval, creating a documented risk checkpoint at execution. Tiered trust levels map agent risk to oversight intensity.</w:t>
      </w:r>
    </w:p>
    <w:p>
      <w:pPr>
        <w:pStyle w:val="Heading2"/>
        <w:spacing w:after="100" w:before="200"/>
      </w:pPr>
      <w:r>
        <w:t xml:space="preserve">Article 13 — Transparency</w:t>
      </w:r>
    </w:p>
    <w:p>
      <w:pPr>
        <w:spacing w:after="200"/>
      </w:pPr>
      <w:r>
        <w:rPr>
          <w:b/>
          <w:bCs/>
        </w:rPr>
        <w:t xml:space="preserve">Requirement: </w:t>
      </w:r>
      <w:r>
        <w:t xml:space="preserve">High-risk AI systems must be transparent and provide sufficient information to users. </w:t>
      </w:r>
      <w:r>
        <w:rPr>
          <w:b/>
          <w:bCs/>
        </w:rPr>
        <w:t xml:space="preserve">AT1C addresses: </w:t>
      </w:r>
      <w:r>
        <w:t xml:space="preserve">The request step explicitly names the action and resource before approval is sought — the user knows exactly what they are approving, in plain language, before any action is taken.</w:t>
      </w:r>
    </w:p>
    <w:p>
      <w:pPr>
        <w:pStyle w:val="Heading2"/>
        <w:spacing w:after="100" w:before="200"/>
      </w:pPr>
      <w:r>
        <w:t xml:space="preserve">Article 14 — Human Oversight</w:t>
      </w:r>
    </w:p>
    <w:p>
      <w:pPr>
        <w:spacing w:after="200"/>
      </w:pPr>
      <w:r>
        <w:rPr>
          <w:b/>
          <w:bCs/>
        </w:rPr>
        <w:t xml:space="preserve">Requirement: </w:t>
      </w:r>
      <w:r>
        <w:t xml:space="preserve">High-risk AI systems must allow effective human oversight. </w:t>
      </w:r>
      <w:r>
        <w:rPr>
          <w:b/>
          <w:bCs/>
        </w:rPr>
        <w:t xml:space="preserve">AT1C addresses: </w:t>
      </w:r>
      <w:r>
        <w:t xml:space="preserve">No action executes without a verified human approval receipt. The human override is architecturally required, not optional.</w:t>
      </w:r>
    </w:p>
    <w:p>
      <w:pPr>
        <w:pStyle w:val="Heading2"/>
        <w:spacing w:after="100" w:before="200"/>
      </w:pPr>
      <w:r>
        <w:t xml:space="preserve">Article 17 — Quality Management</w:t>
      </w:r>
    </w:p>
    <w:p>
      <w:pPr>
        <w:spacing w:after="200"/>
      </w:pPr>
      <w:r>
        <w:rPr>
          <w:b/>
          <w:bCs/>
        </w:rPr>
        <w:t xml:space="preserve">Requirement: </w:t>
      </w:r>
      <w:r>
        <w:t xml:space="preserve">Providers must implement quality management systems including logging and documentation. </w:t>
      </w:r>
      <w:r>
        <w:rPr>
          <w:b/>
          <w:bCs/>
        </w:rPr>
        <w:t xml:space="preserve">AT1C addresses: </w:t>
      </w:r>
      <w:r>
        <w:t xml:space="preserve">Every receipt is a timestamped, cryptographically signed audit record — independently verifiable, tamper-evident.</w:t>
      </w:r>
    </w:p>
    <w:p>
      <w:pPr>
        <w:pStyle w:val="Heading2"/>
        <w:spacing w:after="100" w:before="200"/>
      </w:pPr>
      <w:r>
        <w:t xml:space="preserve">Article 26 — Obligations of Deployers</w:t>
      </w:r>
    </w:p>
    <w:p>
      <w:pPr>
        <w:spacing w:after="200"/>
      </w:pPr>
      <w:r>
        <w:rPr>
          <w:b/>
          <w:bCs/>
        </w:rPr>
        <w:t xml:space="preserve">Requirement: </w:t>
      </w:r>
      <w:r>
        <w:t xml:space="preserve">Deployers of high-risk AI must ensure human oversight and maintain logs of operation. </w:t>
      </w:r>
      <w:r>
        <w:rPr>
          <w:b/>
          <w:bCs/>
        </w:rPr>
        <w:t xml:space="preserve">AT1C addresses: </w:t>
      </w:r>
      <w:r>
        <w:t xml:space="preserve">The AT1C receipt model gives deployers a ready-made audit trail without building custom infrastructure.</w:t>
      </w:r>
    </w:p>
    <w:p>
      <w:r>
        <w:br w:type="page"/>
      </w:r>
    </w:p>
    <w:p>
      <w:pPr>
        <w:pStyle w:val="Heading1"/>
        <w:spacing w:after="200" w:before="400"/>
      </w:pPr>
      <w:r>
        <w:t xml:space="preserve">Cost Comparison: AT1C vs. Traditional Compliance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d3748" w:color="2d3748" w:val="clear"/>
          </w:tcPr>
          <w:p>
            <w:r>
              <w:rPr>
                <w:b/>
                <w:bCs/>
                <w:color w:val="ffffff"/>
              </w:rPr>
              <w:t xml:space="preserve">Approach</w:t>
            </w:r>
          </w:p>
        </w:tc>
        <w:tc>
          <w:tcPr>
            <w:tcW w:type="dxa" w:w="3000"/>
            <w:shd w:fill="2d3748" w:color="2d3748" w:val="clear"/>
          </w:tcPr>
          <w:p>
            <w:r>
              <w:rPr>
                <w:b/>
                <w:bCs/>
                <w:color w:val="ffffff"/>
              </w:rPr>
              <w:t xml:space="preserve">Annual Cost</w:t>
            </w:r>
          </w:p>
        </w:tc>
        <w:tc>
          <w:tcPr>
            <w:tcW w:type="dxa" w:w="3000"/>
            <w:shd w:fill="2d3748" w:color="2d3748" w:val="clear"/>
          </w:tcPr>
          <w:p>
            <w:r>
              <w:rPr>
                <w:b/>
                <w:bCs/>
                <w:color w:val="ffffff"/>
              </w:rPr>
              <w:t xml:space="preserve">Time to Deploy</w:t>
            </w:r>
          </w:p>
        </w:tc>
      </w:tr>
      <w:tr>
        <w:tc>
          <w:tcPr>
            <w:tcW w:type="dxa" w:w="3000"/>
          </w:tcPr>
          <w:p>
            <w:r>
              <w:t xml:space="preserve">Enterprise compliance programme</w:t>
            </w:r>
          </w:p>
        </w:tc>
        <w:tc>
          <w:tcPr>
            <w:tcW w:type="dxa" w:w="3000"/>
          </w:tcPr>
          <w:p>
            <w:r>
              <w:t xml:space="preserve">€400,000 – €2,000,000</w:t>
            </w:r>
          </w:p>
        </w:tc>
        <w:tc>
          <w:tcPr>
            <w:tcW w:type="dxa" w:w="3000"/>
          </w:tcPr>
          <w:p>
            <w:r>
              <w:t xml:space="preserve">6 – 18 months</w:t>
            </w:r>
          </w:p>
        </w:tc>
      </w:tr>
      <w:tr>
        <w:tc>
          <w:tcPr>
            <w:tcW w:type="dxa" w:w="3000"/>
          </w:tcPr>
          <w:p>
            <w:r>
              <w:t xml:space="preserve">Legal/compliance consultancy</w:t>
            </w:r>
          </w:p>
        </w:tc>
        <w:tc>
          <w:tcPr>
            <w:tcW w:type="dxa" w:w="3000"/>
          </w:tcPr>
          <w:p>
            <w:r>
              <w:t xml:space="preserve">€50,000 – €200,000</w:t>
            </w:r>
          </w:p>
        </w:tc>
        <w:tc>
          <w:tcPr>
            <w:tcW w:type="dxa" w:w="3000"/>
          </w:tcPr>
          <w:p>
            <w:r>
              <w:t xml:space="preserve">3 – 6 months</w:t>
            </w:r>
          </w:p>
        </w:tc>
      </w:tr>
      <w:tr>
        <w:tc>
          <w:tcPr>
            <w:tcW w:type="dxa" w:w="3000"/>
            <w:shd w:fill="ebf8ff" w:color="ebf8ff" w:val="clear"/>
          </w:tcPr>
          <w:p>
            <w:r>
              <w:rPr>
                <w:b/>
                <w:bCs/>
              </w:rPr>
              <w:t xml:space="preserve">AT1C Protocol (free tier)</w:t>
            </w:r>
          </w:p>
        </w:tc>
        <w:tc>
          <w:tcPr>
            <w:tcW w:type="dxa" w:w="3000"/>
            <w:shd w:fill="ebf8ff" w:color="ebf8ff" w:val="clear"/>
          </w:tcPr>
          <w:p>
            <w:r>
              <w:rPr>
                <w:b/>
                <w:bCs/>
              </w:rPr>
              <w:t xml:space="preserve">€0 (open source)</w:t>
            </w:r>
          </w:p>
        </w:tc>
        <w:tc>
          <w:tcPr>
            <w:tcW w:type="dxa" w:w="3000"/>
            <w:shd w:fill="ebf8ff" w:color="ebf8ff" w:val="clear"/>
          </w:tcPr>
          <w:p>
            <w:r>
              <w:rPr>
                <w:b/>
                <w:bCs/>
              </w:rPr>
              <w:t xml:space="preserve">1 day</w:t>
            </w:r>
          </w:p>
        </w:tc>
      </w:tr>
    </w:tbl>
    <w:p>
      <w:pPr>
        <w:spacing w:after="200" w:before="200"/>
      </w:pPr>
      <w:r>
        <w:rPr>
          <w:i/>
          <w:iCs/>
        </w:rPr>
        <w:t xml:space="preserve">Note: </w:t>
      </w:r>
      <w:r>
        <w:rPr>
          <w:i/>
          <w:iCs/>
        </w:rPr>
        <w:t xml:space="preserve">Cost estimates based on TRENDS Group research on EU AI Act compliance costs for European SMEs (2026). AT1C addresses the human oversight and audit trail requirements — it does not replace legal advice or a full compliance programme.</w:t>
      </w:r>
    </w:p>
    <w:p>
      <w:r>
        <w:br w:type="page"/>
      </w:r>
    </w:p>
    <w:p>
      <w:pPr>
        <w:pStyle w:val="Heading1"/>
        <w:spacing w:after="200" w:before="400"/>
      </w:pPr>
      <w:r>
        <w:t xml:space="preserve">Payment Architecture: AT1C and Algorand x402</w:t>
      </w:r>
    </w:p>
    <w:p>
      <w:pPr>
        <w:spacing w:after="200"/>
      </w:pPr>
      <w:r>
        <w:t xml:space="preserve">As AI agent deployment scales toward billions of interactions, the payment infrastructure underlying agent commerce matters as much as the consent infrastructure. AT1C's approach to payments is designed for the same scale as the agents it governs.</w:t>
      </w:r>
    </w:p>
    <w:p>
      <w:pPr>
        <w:pStyle w:val="Heading2"/>
        <w:spacing w:after="100" w:before="200"/>
      </w:pPr>
      <w:r>
        <w:t xml:space="preserve">Why Not Stripe</w:t>
      </w:r>
    </w:p>
    <w:p>
      <w:pPr>
        <w:spacing w:after="200"/>
      </w:pPr>
      <w:r>
        <w:t xml:space="preserve">Stripe charges a flat fee of $0.30 per transaction — economically viable for infrequent, high-value payments, but structurally incompatible with agent-scale micro-transactions. At millions of agent registrations, receipt storage events, and per-action consent fees, a $0.30 floor eliminates the unit economics of the entire model. A payment layer for AI agents must have fees smaller than the thing being paid for.</w:t>
      </w:r>
    </w:p>
    <w:p>
      <w:pPr>
        <w:pStyle w:val="Heading2"/>
        <w:spacing w:after="100" w:before="200"/>
      </w:pPr>
      <w:r>
        <w:t xml:space="preserve">Algorand x402 — The Target Payment Layer</w:t>
      </w:r>
    </w:p>
    <w:p>
      <w:pPr>
        <w:spacing w:after="200"/>
      </w:pPr>
      <w:r>
        <w:t xml:space="preserve">x402 is an HTTP-native payment protocol — built on the long-dormant HTTP 402 "Payment Required" status code — that enables machines to pay for resources directly within a request-response cycle, with no accounts, no billing setup, and no human intervention. Algorand is x402's settlement layer of choice for three reasons that directly match AT1C's requirements:</w:t>
      </w:r>
    </w:p>
    <w:p>
      <w:pPr>
        <w:pStyle w:val="ListParagraph"/>
        <w:numPr>
          <w:ilvl w:val="0"/>
          <w:numId w:val="2"/>
        </w:numPr>
        <w:spacing w:after="150"/>
      </w:pPr>
      <w:r>
        <w:rPr>
          <w:b/>
          <w:bCs/>
        </w:rPr>
        <w:t xml:space="preserve">Sub-$0.0002 transaction fees: </w:t>
      </w:r>
      <w:r>
        <w:t xml:space="preserve">compared to Stripe's $0.30, Algorand's fee is over 1,500× cheaper — making fractional-cent pricing for agent consent events economically viable at scale</w:t>
      </w:r>
    </w:p>
    <w:p>
      <w:pPr>
        <w:pStyle w:val="ListParagraph"/>
        <w:numPr>
          <w:ilvl w:val="0"/>
          <w:numId w:val="2"/>
        </w:numPr>
        <w:spacing w:after="150"/>
      </w:pPr>
      <w:r>
        <w:rPr>
          <w:b/>
          <w:bCs/>
        </w:rPr>
        <w:t xml:space="preserve">Sub-2-second deterministic finality: </w:t>
      </w:r>
      <w:r>
        <w:t xml:space="preserve">x402 payments must complete inside a live HTTP request — Algorand's confirmed finality in under 2 seconds is the only settlement layer that satisfies this constraint reliably</w:t>
      </w:r>
    </w:p>
    <w:p>
      <w:pPr>
        <w:pStyle w:val="ListParagraph"/>
        <w:numPr>
          <w:ilvl w:val="0"/>
          <w:numId w:val="2"/>
        </w:numPr>
        <w:spacing w:after="200"/>
      </w:pPr>
      <w:r>
        <w:rPr>
          <w:b/>
          <w:bCs/>
        </w:rPr>
        <w:t xml:space="preserve">Native atomic transaction grouping: </w:t>
      </w:r>
      <w:r>
        <w:t xml:space="preserve">payment, authorisation check, and consent logging can be committed in a single atomic operation — eliminating the class of settlement edge cases that plague other chains</w:t>
      </w:r>
    </w:p>
    <w:p>
      <w:pPr>
        <w:spacing w:after="200"/>
      </w:pPr>
      <w:r>
        <w:t xml:space="preserve">Algorand x402 also supports USDC as a native stablecoin asset, meaning pricing is set in dollars and settled in dollars — users do not need to think about crypto at all. Standard card-to-USDC onramps mean the payment experience is identical to any other online payment.</w:t>
      </w:r>
    </w:p>
    <w:p>
      <w:pPr>
        <w:pStyle w:val="Heading2"/>
        <w:spacing w:after="100" w:before="200"/>
      </w:pPr>
      <w:r>
        <w:t xml:space="preserve">How AT1C and x402 Complement Each Other</w:t>
      </w:r>
    </w:p>
    <w:p>
      <w:pPr>
        <w:spacing w:after="200"/>
      </w:pPr>
      <w:r>
        <w:t xml:space="preserve">AT1C and x402 operate at different layers and do not overlap — they are designed to work together:</w:t>
      </w:r>
    </w:p>
    <w:p>
      <w:pPr>
        <w:pStyle w:val="ListParagraph"/>
        <w:numPr>
          <w:ilvl w:val="0"/>
          <w:numId w:val="2"/>
        </w:numPr>
        <w:spacing w:after="150"/>
      </w:pPr>
      <w:r>
        <w:rPr>
          <w:b/>
          <w:bCs/>
        </w:rPr>
        <w:t xml:space="preserve">AT1C </w:t>
      </w:r>
      <w:r>
        <w:t xml:space="preserve">is the consent and accountability layer — it proves a human approved the action before it executes</w:t>
      </w:r>
    </w:p>
    <w:p>
      <w:pPr>
        <w:pStyle w:val="ListParagraph"/>
        <w:numPr>
          <w:ilvl w:val="0"/>
          <w:numId w:val="2"/>
        </w:numPr>
        <w:spacing w:after="200"/>
      </w:pPr>
      <w:r>
        <w:rPr>
          <w:b/>
          <w:bCs/>
        </w:rPr>
        <w:t xml:space="preserve">x402 on Algorand </w:t>
      </w:r>
      <w:r>
        <w:t xml:space="preserve">is the payment settlement layer — it executes the micro-payment for that action or for AT1C's own paid services</w:t>
      </w:r>
    </w:p>
    <w:p>
      <w:pPr>
        <w:spacing w:after="200"/>
      </w:pPr>
      <w:r>
        <w:t xml:space="preserve">In practice: an AI agent uses AT1C to get verifiable human approval for a financial action, then uses x402 to settle the payment on Algorand. The AT1C receipt is the proof of consent; the x402 payment is the execution. Together they deliver the complete compliance and settlement stack for agentic commerce.</w:t>
      </w:r>
    </w:p>
    <w:p>
      <w:pPr>
        <w:spacing w:after="200"/>
      </w:pPr>
      <w:r>
        <w:rPr>
          <w:b/>
          <w:bCs/>
          <w:i/>
          <w:iCs/>
        </w:rPr>
        <w:t xml:space="preserve">Note on timing: </w:t>
      </w:r>
      <w:r>
        <w:rPr>
          <w:i/>
          <w:iCs/>
        </w:rPr>
        <w:t xml:space="preserve">Algorand x402 integration is planned for AT1C v2.0. The near-term paid tier (receipt storage, premium registration) will use standard card payment, making AT1C accessible to non-crypto users from day one. x402 becomes the payment rail when agent-to-agent commerce reaches the scale where micro-transaction fees matter — which is the trajectory the market is clearly on.</w:t>
      </w:r>
    </w:p>
    <w:p>
      <w:r>
        <w:br w:type="page"/>
      </w:r>
    </w:p>
    <w:p>
      <w:pPr>
        <w:pStyle w:val="Heading1"/>
        <w:spacing w:after="200" w:before="400"/>
      </w:pPr>
      <w:r>
        <w:t xml:space="preserve">Getting Started in One Day</w:t>
      </w:r>
    </w:p>
    <w:p>
      <w:pPr>
        <w:spacing w:after="200"/>
      </w:pPr>
      <w:r>
        <w:t xml:space="preserve">AT1C is designed to be operational within a single working day for both individual users and organisations.</w:t>
      </w:r>
    </w:p>
    <w:p>
      <w:pPr>
        <w:pStyle w:val="Heading2"/>
        <w:spacing w:after="100" w:before="200"/>
      </w:pPr>
      <w:r>
        <w:t xml:space="preserve">Step 1 — Create your account (5 minutes)</w:t>
      </w:r>
    </w:p>
    <w:p>
      <w:pPr>
        <w:spacing w:after="200"/>
      </w:pPr>
      <w:r>
        <w:t xml:space="preserve">Register a free account at </w:t>
      </w:r>
      <w:r>
        <w:rPr>
          <w:b/>
          <w:bCs/>
        </w:rPr>
        <w:t xml:space="preserve">at1c.com</w:t>
      </w:r>
      <w:r>
        <w:t xml:space="preserve">. No credit card required. Your account is your identity anchor — the point at which your agents are registered and your receipts are attributed.</w:t>
      </w:r>
    </w:p>
    <w:p>
      <w:pPr>
        <w:pStyle w:val="Heading2"/>
        <w:spacing w:after="100" w:before="200"/>
      </w:pPr>
      <w:r>
        <w:t xml:space="preserve">Step 2 — Install the SDK (2 minutes)</w:t>
      </w:r>
    </w:p>
    <w:p>
      <w:pPr>
        <w:spacing w:after="100"/>
      </w:pPr>
      <w:r>
        <w:t xml:space="preserve">Install the AT1C SDK into your existing project:</w:t>
      </w:r>
    </w:p>
    <w:p>
      <w:pPr>
        <w:spacing w:after="200"/>
      </w:pPr>
      <w:r>
        <w:rPr>
          <w:rFonts w:ascii="Courier New" w:cs="Courier New" w:eastAsia="Courier New" w:hAnsi="Courier New"/>
          <w:b/>
          <w:bCs/>
          <w:sz w:val="20"/>
          <w:szCs w:val="20"/>
        </w:rPr>
        <w:t xml:space="preserve">npm install @at1c/sdk</w:t>
      </w:r>
    </w:p>
    <w:p>
      <w:pPr>
        <w:pStyle w:val="Heading2"/>
        <w:spacing w:after="100" w:before="200"/>
      </w:pPr>
      <w:r>
        <w:t xml:space="preserve">Step 3 — Generate your agent keypair (2 minutes)</w:t>
      </w:r>
    </w:p>
    <w:p>
      <w:pPr>
        <w:spacing w:after="100"/>
      </w:pPr>
      <w:r>
        <w:t xml:space="preserve">Generate a keypair locally — the private key never leaves your machine:</w:t>
      </w:r>
    </w:p>
    <w:p>
      <w:pPr>
        <w:spacing w:after="200"/>
      </w:pPr>
      <w:r>
        <w:rPr>
          <w:rFonts w:ascii="Courier New" w:cs="Courier New" w:eastAsia="Courier New" w:hAnsi="Courier New"/>
          <w:b/>
          <w:bCs/>
          <w:sz w:val="20"/>
          <w:szCs w:val="20"/>
        </w:rPr>
        <w:t xml:space="preserve">node generate-agent-keys.js --out my-agent-keys.json</w:t>
      </w:r>
    </w:p>
    <w:p>
      <w:pPr>
        <w:pStyle w:val="Heading2"/>
        <w:spacing w:after="100" w:before="200"/>
      </w:pPr>
      <w:r>
        <w:t xml:space="preserve">Step 4 — Register your agent (5 minutes)</w:t>
      </w:r>
    </w:p>
    <w:p>
      <w:pPr>
        <w:spacing w:after="200"/>
      </w:pPr>
      <w:r>
        <w:t xml:space="preserve">Register your agent's public key at </w:t>
      </w:r>
      <w:r>
        <w:rPr>
          <w:b/>
          <w:bCs/>
        </w:rPr>
        <w:t xml:space="preserve">at1c.com/users/register-agent.php</w:t>
      </w:r>
      <w:r>
        <w:t xml:space="preserve">. Set the agent's name, permission scope, and trust tier. The registry signs a certificate over your public key. For entity fleets, repeat for each agent with its specific permission scope.</w:t>
      </w:r>
    </w:p>
    <w:p>
      <w:pPr>
        <w:pStyle w:val="Heading2"/>
        <w:spacing w:after="100" w:before="200"/>
      </w:pPr>
      <w:r>
        <w:t xml:space="preserve">Step 5 — Integrate receipts into your action flow (remainder of day)</w:t>
      </w:r>
    </w:p>
    <w:p>
      <w:pPr>
        <w:spacing w:after="100"/>
      </w:pPr>
      <w:r>
        <w:t xml:space="preserve">The integration point is the moment before action execution:</w:t>
      </w:r>
    </w:p>
    <w:p>
      <w:pPr>
        <w:pStyle w:val="ListParagraph"/>
        <w:numPr>
          <w:ilvl w:val="0"/>
          <w:numId w:val="2"/>
        </w:numPr>
        <w:spacing w:after="100"/>
      </w:pPr>
      <w:r>
        <w:t xml:space="preserve">Agent generates a request for the specific action</w:t>
      </w:r>
    </w:p>
    <w:p>
      <w:pPr>
        <w:pStyle w:val="ListParagraph"/>
        <w:numPr>
          <w:ilvl w:val="0"/>
          <w:numId w:val="2"/>
        </w:numPr>
        <w:spacing w:after="100"/>
      </w:pPr>
      <w:r>
        <w:t xml:space="preserve">Human approves via your existing UI (button, notification, or approval flow)</w:t>
      </w:r>
    </w:p>
    <w:p>
      <w:pPr>
        <w:pStyle w:val="ListParagraph"/>
        <w:numPr>
          <w:ilvl w:val="0"/>
          <w:numId w:val="2"/>
        </w:numPr>
        <w:spacing w:after="100"/>
      </w:pPr>
      <w:r>
        <w:t xml:space="preserve">SDK generates the signed receipt in milliseconds</w:t>
      </w:r>
    </w:p>
    <w:p>
      <w:pPr>
        <w:pStyle w:val="ListParagraph"/>
        <w:numPr>
          <w:ilvl w:val="0"/>
          <w:numId w:val="2"/>
        </w:numPr>
        <w:spacing w:after="100"/>
      </w:pPr>
      <w:r>
        <w:t xml:space="preserve">Receipt is verified before the action executes</w:t>
      </w:r>
    </w:p>
    <w:p>
      <w:pPr>
        <w:pStyle w:val="ListParagraph"/>
        <w:numPr>
          <w:ilvl w:val="0"/>
          <w:numId w:val="2"/>
        </w:numPr>
        <w:spacing w:after="200"/>
      </w:pPr>
      <w:r>
        <w:t xml:space="preserve">Action executes — the receipt is your audit trail</w:t>
      </w:r>
    </w:p>
    <w:p>
      <w:pPr>
        <w:spacing w:after="200"/>
      </w:pPr>
      <w:r>
        <w:t xml:space="preserve">Full documentation, examples, and SDK reference at </w:t>
      </w:r>
      <w:r>
        <w:rPr>
          <w:b/>
          <w:bCs/>
        </w:rPr>
        <w:t xml:space="preserve">github.com/at1c-protocol/at1c-protocol-official</w:t>
      </w:r>
      <w:r>
        <w:t xml:space="preserve">.</w:t>
      </w:r>
    </w:p>
    <w:p>
      <w:r>
        <w:br w:type="page"/>
      </w:r>
    </w:p>
    <w:p>
      <w:pPr>
        <w:pStyle w:val="Heading1"/>
        <w:spacing w:after="200" w:before="400"/>
      </w:pPr>
      <w:r>
        <w:t xml:space="preserve">Roadmap</w:t>
      </w:r>
    </w:p>
    <w:p>
      <w:pPr>
        <w:pStyle w:val="ListParagraph"/>
        <w:numPr>
          <w:ilvl w:val="0"/>
          <w:numId w:val="2"/>
        </w:numPr>
        <w:spacing w:after="100"/>
      </w:pPr>
      <w:r>
        <w:rPr>
          <w:b/>
          <w:bCs/>
        </w:rPr>
        <w:t xml:space="preserve">v1.1 — Done: </w:t>
      </w:r>
      <w:r>
        <w:t xml:space="preserve">Non-custodial agent key registration</w:t>
      </w:r>
    </w:p>
    <w:p>
      <w:pPr>
        <w:pStyle w:val="ListParagraph"/>
        <w:numPr>
          <w:ilvl w:val="0"/>
          <w:numId w:val="2"/>
        </w:numPr>
        <w:spacing w:after="100"/>
      </w:pPr>
      <w:r>
        <w:rPr>
          <w:b/>
          <w:bCs/>
        </w:rPr>
        <w:t xml:space="preserve">v1.2 — Done: </w:t>
      </w:r>
      <w:r>
        <w:t xml:space="preserve">Live registry API at registry.at1c.com</w:t>
      </w:r>
    </w:p>
    <w:p>
      <w:pPr>
        <w:pStyle w:val="ListParagraph"/>
        <w:numPr>
          <w:ilvl w:val="0"/>
          <w:numId w:val="2"/>
        </w:numPr>
        <w:spacing w:after="100"/>
      </w:pPr>
      <w:r>
        <w:rPr>
          <w:b/>
          <w:bCs/>
        </w:rPr>
        <w:t xml:space="preserve">v1.3 — Done: </w:t>
      </w:r>
      <w:r>
        <w:t xml:space="preserve">Open web registration — personal and entity agents via at1c.com</w:t>
      </w:r>
    </w:p>
    <w:p>
      <w:pPr>
        <w:pStyle w:val="ListParagraph"/>
        <w:numPr>
          <w:ilvl w:val="0"/>
          <w:numId w:val="2"/>
        </w:numPr>
        <w:spacing w:after="100"/>
      </w:pPr>
      <w:r>
        <w:rPr>
          <w:b/>
          <w:bCs/>
        </w:rPr>
        <w:t xml:space="preserve">v1.4 — Planned: </w:t>
      </w:r>
      <w:r>
        <w:t xml:space="preserve">Browser-side keypair generation — no terminal required, one-form registration for all users</w:t>
      </w:r>
    </w:p>
    <w:p>
      <w:pPr>
        <w:pStyle w:val="ListParagraph"/>
        <w:numPr>
          <w:ilvl w:val="0"/>
          <w:numId w:val="2"/>
        </w:numPr>
        <w:spacing w:after="100"/>
      </w:pPr>
      <w:r>
        <w:rPr>
          <w:b/>
          <w:bCs/>
        </w:rPr>
        <w:t xml:space="preserve">v1.5 — Planned: </w:t>
      </w:r>
      <w:r>
        <w:t xml:space="preserve">End-user passkey (WebAuthn/FIDO2) onboarding — signing key on device, unlocked by biometric</w:t>
      </w:r>
    </w:p>
    <w:p>
      <w:pPr>
        <w:pStyle w:val="ListParagraph"/>
        <w:numPr>
          <w:ilvl w:val="0"/>
          <w:numId w:val="2"/>
        </w:numPr>
        <w:spacing w:after="100"/>
      </w:pPr>
      <w:r>
        <w:rPr>
          <w:b/>
          <w:bCs/>
        </w:rPr>
        <w:t xml:space="preserve">v1.6 — Planned: </w:t>
      </w:r>
      <w:r>
        <w:t xml:space="preserve">Hosted receipt storage — optional paid tier, 10-year retention, evidence-grade</w:t>
      </w:r>
    </w:p>
    <w:p>
      <w:pPr>
        <w:pStyle w:val="ListParagraph"/>
        <w:numPr>
          <w:ilvl w:val="0"/>
          <w:numId w:val="2"/>
        </w:numPr>
        <w:spacing w:after="100"/>
      </w:pPr>
      <w:r>
        <w:rPr>
          <w:b/>
          <w:bCs/>
        </w:rPr>
        <w:t xml:space="preserve">v2.0 — Planned: </w:t>
      </w:r>
      <w:r>
        <w:t xml:space="preserve">Tiered autonomy with alarm thresholds — low/medium/high trust tiers with boundary alerts for fleet management</w:t>
      </w:r>
    </w:p>
    <w:p>
      <w:pPr>
        <w:pStyle w:val="ListParagraph"/>
        <w:numPr>
          <w:ilvl w:val="0"/>
          <w:numId w:val="2"/>
        </w:numPr>
        <w:spacing w:after="100"/>
      </w:pPr>
      <w:r>
        <w:rPr>
          <w:b/>
          <w:bCs/>
        </w:rPr>
        <w:t xml:space="preserve">v2.1 — Planned: </w:t>
      </w:r>
      <w:r>
        <w:t xml:space="preserve">Algorand x402 payment integration — sub-$0.0002 micro-transaction fees for agent-scale commerce, USDC settlement, card onramp</w:t>
      </w:r>
    </w:p>
    <w:p>
      <w:pPr>
        <w:pStyle w:val="ListParagraph"/>
        <w:numPr>
          <w:ilvl w:val="0"/>
          <w:numId w:val="2"/>
        </w:numPr>
        <w:spacing w:after="100"/>
      </w:pPr>
      <w:r>
        <w:rPr>
          <w:b/>
          <w:bCs/>
        </w:rPr>
        <w:t xml:space="preserve">Future: </w:t>
      </w:r>
      <w:r>
        <w:t xml:space="preserve">Agent Manifest — structured per-agent documentation per EU AI Act Articles 13/14</w:t>
      </w:r>
    </w:p>
    <w:p>
      <w:pPr>
        <w:pStyle w:val="ListParagraph"/>
        <w:numPr>
          <w:ilvl w:val="0"/>
          <w:numId w:val="2"/>
        </w:numPr>
        <w:spacing w:after="200"/>
      </w:pPr>
      <w:r>
        <w:rPr>
          <w:b/>
          <w:bCs/>
        </w:rPr>
        <w:t xml:space="preserve">Future: </w:t>
      </w:r>
      <w:r>
        <w:t xml:space="preserve">Post-quantum signature scheme migration (NIST-approved lattice-based cryptography)</w:t>
      </w:r>
    </w:p>
    <w:p>
      <w:r>
        <w:br w:type="page"/>
      </w:r>
    </w:p>
    <w:p>
      <w:pPr>
        <w:pStyle w:val="Heading1"/>
        <w:spacing w:after="200" w:before="400"/>
      </w:pPr>
      <w:r>
        <w:t xml:space="preserve">Contact &amp; Further Information</w:t>
      </w:r>
    </w:p>
    <w:p>
      <w:pPr>
        <w:pStyle w:val="ListParagraph"/>
        <w:numPr>
          <w:ilvl w:val="0"/>
          <w:numId w:val="2"/>
        </w:numPr>
        <w:spacing w:after="100"/>
      </w:pPr>
      <w:r>
        <w:rPr>
          <w:b/>
          <w:bCs/>
        </w:rPr>
        <w:t xml:space="preserve">Website: </w:t>
      </w:r>
      <w:r>
        <w:t xml:space="preserve">at1c.com</w:t>
      </w:r>
    </w:p>
    <w:p>
      <w:pPr>
        <w:pStyle w:val="ListParagraph"/>
        <w:numPr>
          <w:ilvl w:val="0"/>
          <w:numId w:val="2"/>
        </w:numPr>
        <w:spacing w:after="100"/>
      </w:pPr>
      <w:r>
        <w:rPr>
          <w:b/>
          <w:bCs/>
        </w:rPr>
        <w:t xml:space="preserve">Live registry: </w:t>
      </w:r>
      <w:r>
        <w:t xml:space="preserve">registry.at1c.com</w:t>
      </w:r>
    </w:p>
    <w:p>
      <w:pPr>
        <w:pStyle w:val="ListParagraph"/>
        <w:numPr>
          <w:ilvl w:val="0"/>
          <w:numId w:val="2"/>
        </w:numPr>
        <w:spacing w:after="100"/>
      </w:pPr>
      <w:r>
        <w:rPr>
          <w:b/>
          <w:bCs/>
        </w:rPr>
        <w:t xml:space="preserve">GitHub: </w:t>
      </w:r>
      <w:r>
        <w:t xml:space="preserve">github.com/at1c-protocol/at1c-protocol-official</w:t>
      </w:r>
    </w:p>
    <w:p>
      <w:pPr>
        <w:pStyle w:val="ListParagraph"/>
        <w:numPr>
          <w:ilvl w:val="0"/>
          <w:numId w:val="2"/>
        </w:numPr>
        <w:spacing w:after="100"/>
      </w:pPr>
      <w:r>
        <w:rPr>
          <w:b/>
          <w:bCs/>
        </w:rPr>
        <w:t xml:space="preserve">npm: </w:t>
      </w:r>
      <w:r>
        <w:t xml:space="preserve">npmjs.com/package/@at1c/sdk</w:t>
      </w:r>
    </w:p>
    <w:p>
      <w:pPr>
        <w:pStyle w:val="ListParagraph"/>
        <w:numPr>
          <w:ilvl w:val="0"/>
          <w:numId w:val="2"/>
        </w:numPr>
        <w:spacing w:after="100"/>
      </w:pPr>
      <w:r>
        <w:rPr>
          <w:b/>
          <w:bCs/>
        </w:rPr>
        <w:t xml:space="preserve">SME compliance guide: </w:t>
      </w:r>
      <w:r>
        <w:t xml:space="preserve">at1c.com/compliance.html</w:t>
      </w:r>
    </w:p>
    <w:p>
      <w:pPr>
        <w:pStyle w:val="ListParagraph"/>
        <w:numPr>
          <w:ilvl w:val="0"/>
          <w:numId w:val="2"/>
        </w:numPr>
        <w:spacing w:after="200"/>
      </w:pPr>
      <w:r>
        <w:rPr>
          <w:b/>
          <w:bCs/>
        </w:rPr>
        <w:t xml:space="preserve">Register your agent: </w:t>
      </w:r>
      <w:r>
        <w:t xml:space="preserve">at1c.com/users/register-agent.php</w:t>
      </w:r>
    </w:p>
    <w:p>
      <w:pPr>
        <w:spacing w:before="400"/>
      </w:pPr>
      <w:r>
        <w:rPr>
          <w:i/>
          <w:iCs/>
          <w:color w:val="718096"/>
        </w:rPr>
        <w:t xml:space="preserve">© 2026 AT1C Protocol Contributors · MIT Licence · Version 1.4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2026-07-11T09:13:10.109Z</dcterms:created>
  <dcterms:modified xsi:type="dcterms:W3CDTF">2026-07-11T09:13:10.125Z</dcterms:modified>
</cp:coreProperties>
</file>

<file path=docProps/custom.xml><?xml version="1.0" encoding="utf-8"?>
<Properties xmlns="http://schemas.openxmlformats.org/officeDocument/2006/custom-properties" xmlns:vt="http://schemas.openxmlformats.org/officeDocument/2006/docPropsVTypes"/>
</file>