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89" w:rsidRDefault="00324689" w:rsidP="00324689">
      <w:pPr>
        <w:ind w:firstLineChars="0" w:firstLine="0"/>
        <w:jc w:val="center"/>
      </w:pPr>
      <w:r>
        <w:rPr>
          <w:noProof/>
        </w:rPr>
        <w:drawing>
          <wp:inline distT="0" distB="0" distL="0" distR="0" wp14:anchorId="6941FE08" wp14:editId="23BB658E">
            <wp:extent cx="5400000" cy="4144724"/>
            <wp:effectExtent l="0" t="0" r="0" b="825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00" cy="4144724"/>
                    </a:xfrm>
                    <a:prstGeom prst="rect">
                      <a:avLst/>
                    </a:prstGeom>
                    <a:noFill/>
                  </pic:spPr>
                </pic:pic>
              </a:graphicData>
            </a:graphic>
          </wp:inline>
        </w:drawing>
      </w:r>
    </w:p>
    <w:p w:rsidR="00324689" w:rsidRDefault="00324689" w:rsidP="00324689">
      <w:pPr>
        <w:spacing w:line="400" w:lineRule="exact"/>
        <w:ind w:firstLine="480"/>
        <w:jc w:val="center"/>
        <w:rPr>
          <w:rFonts w:ascii="Times New Roman" w:eastAsia="宋体" w:hAnsi="Times New Roman"/>
        </w:rPr>
      </w:pPr>
      <w:r w:rsidRPr="00375280">
        <w:rPr>
          <w:rFonts w:ascii="Times New Roman" w:eastAsia="宋体" w:hAnsi="Times New Roman" w:hint="eastAsia"/>
        </w:rPr>
        <w:t>图</w:t>
      </w:r>
      <w:r w:rsidRPr="00375280">
        <w:rPr>
          <w:rFonts w:ascii="Times New Roman" w:eastAsia="宋体" w:hAnsi="Times New Roman" w:hint="eastAsia"/>
        </w:rPr>
        <w:t>2-9</w:t>
      </w:r>
      <w:r w:rsidRPr="00375280">
        <w:rPr>
          <w:rFonts w:ascii="Times New Roman" w:eastAsia="宋体" w:hAnsi="Times New Roman"/>
        </w:rPr>
        <w:t xml:space="preserve"> </w:t>
      </w:r>
      <w:r w:rsidRPr="00375280">
        <w:rPr>
          <w:rFonts w:ascii="Times New Roman" w:eastAsia="宋体" w:hAnsi="Times New Roman"/>
        </w:rPr>
        <w:t>波导内径对吸收度的影响</w:t>
      </w:r>
    </w:p>
    <w:p w:rsidR="00324689" w:rsidRPr="00375280" w:rsidRDefault="00324689" w:rsidP="00324689">
      <w:pPr>
        <w:spacing w:line="400" w:lineRule="exact"/>
        <w:ind w:firstLine="480"/>
        <w:jc w:val="center"/>
        <w:rPr>
          <w:rFonts w:ascii="Times New Roman" w:eastAsia="宋体" w:hAnsi="Times New Roman"/>
        </w:rPr>
      </w:pPr>
    </w:p>
    <w:p w:rsidR="00324689" w:rsidRPr="005C4059" w:rsidRDefault="00324689" w:rsidP="00324689">
      <w:pPr>
        <w:spacing w:line="400" w:lineRule="exact"/>
        <w:ind w:firstLine="480"/>
        <w:rPr>
          <w:rFonts w:ascii="Times New Roman" w:hAnsi="Times New Roman" w:cs="Times New Roman"/>
        </w:rPr>
      </w:pPr>
      <w:r w:rsidRPr="005C4059">
        <w:rPr>
          <w:rFonts w:ascii="Times New Roman" w:hAnsi="Times New Roman" w:cs="Times New Roman"/>
        </w:rPr>
        <w:t>图</w:t>
      </w:r>
      <w:r w:rsidRPr="005C4059">
        <w:rPr>
          <w:rFonts w:ascii="Times New Roman" w:hAnsi="Times New Roman" w:cs="Times New Roman"/>
        </w:rPr>
        <w:t xml:space="preserve">2-9 </w:t>
      </w:r>
      <w:r w:rsidRPr="005C4059">
        <w:rPr>
          <w:rFonts w:ascii="Times New Roman" w:hAnsi="Times New Roman" w:cs="Times New Roman"/>
        </w:rPr>
        <w:t>为不同浓度及弯曲长度的情况下，波导内径对于气体吸收的影响仿真图。可以发现，这四张图中的曲线都有最低点的存在。也就是说，随着弯曲波导内径的增加，系统的气体吸收</w:t>
      </w:r>
      <w:proofErr w:type="gramStart"/>
      <w:r w:rsidRPr="005C4059">
        <w:rPr>
          <w:rFonts w:ascii="Times New Roman" w:hAnsi="Times New Roman" w:cs="Times New Roman"/>
        </w:rPr>
        <w:t>度存在</w:t>
      </w:r>
      <w:proofErr w:type="gramEnd"/>
      <w:r w:rsidRPr="005C4059">
        <w:rPr>
          <w:rFonts w:ascii="Times New Roman" w:hAnsi="Times New Roman" w:cs="Times New Roman"/>
        </w:rPr>
        <w:t>最低值。对于小型化气体传感系统而言，这一低谷是一个需要避免的最差波导内径区域。表</w:t>
      </w:r>
      <w:r w:rsidRPr="005C4059">
        <w:rPr>
          <w:rFonts w:ascii="Times New Roman" w:hAnsi="Times New Roman" w:cs="Times New Roman"/>
        </w:rPr>
        <w:t>2-1</w:t>
      </w:r>
      <w:r w:rsidRPr="005C4059">
        <w:rPr>
          <w:rFonts w:ascii="Times New Roman" w:hAnsi="Times New Roman" w:cs="Times New Roman"/>
        </w:rPr>
        <w:t>中详细列出了图</w:t>
      </w:r>
      <w:r w:rsidRPr="005C4059">
        <w:rPr>
          <w:rFonts w:ascii="Times New Roman" w:hAnsi="Times New Roman" w:cs="Times New Roman"/>
        </w:rPr>
        <w:t>2-9</w:t>
      </w:r>
      <w:r w:rsidRPr="005C4059">
        <w:rPr>
          <w:rFonts w:ascii="Times New Roman" w:hAnsi="Times New Roman" w:cs="Times New Roman"/>
        </w:rPr>
        <w:t>的仿真参数及最差波导内径的大小。</w:t>
      </w:r>
    </w:p>
    <w:p w:rsidR="00324689" w:rsidRPr="004A3934" w:rsidRDefault="00324689" w:rsidP="00324689">
      <w:pPr>
        <w:spacing w:beforeLines="100" w:before="312"/>
        <w:ind w:firstLine="480"/>
        <w:jc w:val="center"/>
        <w:rPr>
          <w:rFonts w:ascii="Times New Roman" w:eastAsia="宋体" w:hAnsi="Times New Roman"/>
        </w:rPr>
      </w:pPr>
      <w:r w:rsidRPr="004A3934">
        <w:rPr>
          <w:rFonts w:ascii="Times New Roman" w:eastAsia="宋体" w:hAnsi="Times New Roman"/>
        </w:rPr>
        <w:t>表</w:t>
      </w:r>
      <w:r w:rsidRPr="004A3934">
        <w:rPr>
          <w:rFonts w:ascii="Times New Roman" w:eastAsia="宋体" w:hAnsi="Times New Roman" w:hint="eastAsia"/>
        </w:rPr>
        <w:t>2-</w:t>
      </w:r>
      <w:r w:rsidRPr="004A3934">
        <w:rPr>
          <w:rFonts w:ascii="Times New Roman" w:eastAsia="宋体" w:hAnsi="Times New Roman"/>
        </w:rPr>
        <w:t>1</w:t>
      </w:r>
      <w:r>
        <w:rPr>
          <w:rFonts w:ascii="Times New Roman" w:eastAsia="宋体" w:hAnsi="Times New Roman"/>
        </w:rPr>
        <w:t xml:space="preserve"> </w:t>
      </w:r>
      <w:r>
        <w:rPr>
          <w:rFonts w:ascii="Times New Roman" w:eastAsia="宋体" w:hAnsi="Times New Roman"/>
        </w:rPr>
        <w:t>图</w:t>
      </w:r>
      <w:r>
        <w:rPr>
          <w:rFonts w:ascii="Times New Roman" w:eastAsia="宋体" w:hAnsi="Times New Roman" w:hint="eastAsia"/>
        </w:rPr>
        <w:t>2-</w:t>
      </w:r>
      <w:r>
        <w:rPr>
          <w:rFonts w:ascii="Times New Roman" w:eastAsia="宋体" w:hAnsi="Times New Roman"/>
        </w:rPr>
        <w:t>9</w:t>
      </w:r>
      <w:r>
        <w:rPr>
          <w:rFonts w:ascii="Times New Roman" w:eastAsia="宋体" w:hAnsi="Times New Roman"/>
        </w:rPr>
        <w:t>波导参数详表</w:t>
      </w:r>
    </w:p>
    <w:tbl>
      <w:tblPr>
        <w:tblStyle w:val="5"/>
        <w:tblW w:w="4958" w:type="pct"/>
        <w:jc w:val="center"/>
        <w:tblLook w:val="0420" w:firstRow="1" w:lastRow="0" w:firstColumn="0" w:lastColumn="0" w:noHBand="0" w:noVBand="1"/>
      </w:tblPr>
      <w:tblGrid>
        <w:gridCol w:w="681"/>
        <w:gridCol w:w="728"/>
        <w:gridCol w:w="980"/>
        <w:gridCol w:w="590"/>
        <w:gridCol w:w="1244"/>
        <w:gridCol w:w="176"/>
        <w:gridCol w:w="516"/>
        <w:gridCol w:w="692"/>
        <w:gridCol w:w="829"/>
        <w:gridCol w:w="555"/>
        <w:gridCol w:w="1245"/>
      </w:tblGrid>
      <w:tr w:rsidR="00324689" w:rsidRPr="008168DA" w:rsidTr="00BA49A0">
        <w:trPr>
          <w:cnfStyle w:val="100000000000" w:firstRow="1" w:lastRow="0" w:firstColumn="0" w:lastColumn="0" w:oddVBand="0" w:evenVBand="0" w:oddHBand="0" w:evenHBand="0" w:firstRowFirstColumn="0" w:firstRowLastColumn="0" w:lastRowFirstColumn="0" w:lastRowLastColumn="0"/>
          <w:trHeight w:val="283"/>
          <w:jc w:val="center"/>
        </w:trPr>
        <w:tc>
          <w:tcPr>
            <w:tcW w:w="413" w:type="pct"/>
            <w:tcBorders>
              <w:top w:val="single" w:sz="6" w:space="0" w:color="auto"/>
              <w:bottom w:val="single" w:sz="6" w:space="0" w:color="auto"/>
              <w:right w:val="single" w:sz="6" w:space="0" w:color="auto"/>
            </w:tcBorders>
            <w:vAlign w:val="center"/>
            <w:hideMark/>
          </w:tcPr>
          <w:p w:rsidR="00324689" w:rsidRPr="008168DA" w:rsidRDefault="00324689" w:rsidP="008D5504">
            <w:pPr>
              <w:spacing w:line="240" w:lineRule="exact"/>
              <w:ind w:firstLineChars="0" w:firstLine="0"/>
              <w:jc w:val="center"/>
              <w:rPr>
                <w:rFonts w:ascii="Times New Roman" w:hAnsi="Times New Roman" w:cs="Times New Roman"/>
                <w:b/>
                <w:i w:val="0"/>
                <w:sz w:val="21"/>
                <w:szCs w:val="21"/>
              </w:rPr>
            </w:pPr>
            <w:r w:rsidRPr="008168DA">
              <w:rPr>
                <w:rFonts w:ascii="Times New Roman" w:hAnsi="Times New Roman" w:cs="Times New Roman"/>
                <w:b/>
                <w:i w:val="0"/>
                <w:sz w:val="21"/>
                <w:szCs w:val="21"/>
              </w:rPr>
              <w:t>No.</w:t>
            </w:r>
          </w:p>
        </w:tc>
        <w:tc>
          <w:tcPr>
            <w:tcW w:w="442" w:type="pct"/>
            <w:tcBorders>
              <w:top w:val="single" w:sz="6" w:space="0" w:color="auto"/>
              <w:left w:val="single" w:sz="6" w:space="0" w:color="auto"/>
              <w:bottom w:val="single" w:sz="6" w:space="0" w:color="auto"/>
            </w:tcBorders>
            <w:vAlign w:val="center"/>
            <w:hideMark/>
          </w:tcPr>
          <w:p w:rsidR="00324689" w:rsidRPr="008168DA" w:rsidRDefault="00324689" w:rsidP="008D5504">
            <w:pPr>
              <w:spacing w:line="240" w:lineRule="exact"/>
              <w:ind w:firstLineChars="0" w:firstLine="0"/>
              <w:jc w:val="center"/>
              <w:rPr>
                <w:rFonts w:ascii="Times New Roman" w:hAnsi="Times New Roman" w:cs="Times New Roman"/>
                <w:b/>
                <w:i w:val="0"/>
                <w:sz w:val="21"/>
                <w:szCs w:val="21"/>
              </w:rPr>
            </w:pPr>
            <w:r w:rsidRPr="008168DA">
              <w:rPr>
                <w:rFonts w:ascii="Times New Roman" w:hAnsi="Times New Roman" w:cs="Times New Roman"/>
                <w:b/>
                <w:bCs/>
                <w:sz w:val="21"/>
                <w:szCs w:val="21"/>
              </w:rPr>
              <w:t>R</w:t>
            </w:r>
            <w:r w:rsidRPr="008168DA">
              <w:rPr>
                <w:rFonts w:ascii="Times New Roman" w:hAnsi="Times New Roman" w:cs="Times New Roman"/>
                <w:b/>
                <w:bCs/>
                <w:i w:val="0"/>
                <w:sz w:val="21"/>
                <w:szCs w:val="21"/>
              </w:rPr>
              <w:t>/</w:t>
            </w:r>
            <w:r w:rsidRPr="008168DA">
              <w:rPr>
                <w:rFonts w:ascii="Times New Roman" w:eastAsia="宋体" w:hAnsi="Times New Roman" w:cs="Times New Roman"/>
                <w:b/>
                <w:bCs/>
                <w:i w:val="0"/>
                <w:sz w:val="21"/>
                <w:szCs w:val="21"/>
              </w:rPr>
              <w:t>°</w:t>
            </w:r>
          </w:p>
        </w:tc>
        <w:tc>
          <w:tcPr>
            <w:tcW w:w="595" w:type="pct"/>
            <w:tcBorders>
              <w:top w:val="single" w:sz="6" w:space="0" w:color="auto"/>
              <w:bottom w:val="single" w:sz="6" w:space="0" w:color="auto"/>
            </w:tcBorders>
            <w:vAlign w:val="center"/>
            <w:hideMark/>
          </w:tcPr>
          <w:p w:rsidR="00324689" w:rsidRPr="008168DA" w:rsidRDefault="00324689" w:rsidP="008D5504">
            <w:pPr>
              <w:spacing w:line="240" w:lineRule="exact"/>
              <w:ind w:firstLineChars="0" w:firstLine="0"/>
              <w:jc w:val="center"/>
              <w:rPr>
                <w:rFonts w:ascii="Times New Roman" w:hAnsi="Times New Roman" w:cs="Times New Roman"/>
                <w:b/>
                <w:i w:val="0"/>
                <w:sz w:val="21"/>
                <w:szCs w:val="21"/>
              </w:rPr>
            </w:pPr>
            <w:r w:rsidRPr="008168DA">
              <w:rPr>
                <w:rFonts w:ascii="Times New Roman" w:hAnsi="Times New Roman" w:cs="Times New Roman"/>
                <w:b/>
                <w:bCs/>
                <w:sz w:val="21"/>
                <w:szCs w:val="21"/>
              </w:rPr>
              <w:t>C</w:t>
            </w:r>
            <w:r w:rsidRPr="008168DA">
              <w:rPr>
                <w:rFonts w:ascii="Times New Roman" w:hAnsi="Times New Roman" w:cs="Times New Roman"/>
                <w:b/>
                <w:bCs/>
                <w:i w:val="0"/>
                <w:sz w:val="21"/>
                <w:szCs w:val="21"/>
              </w:rPr>
              <w:t>/ppm</w:t>
            </w:r>
          </w:p>
        </w:tc>
        <w:tc>
          <w:tcPr>
            <w:tcW w:w="358" w:type="pct"/>
            <w:tcBorders>
              <w:top w:val="single" w:sz="6" w:space="0" w:color="auto"/>
              <w:bottom w:val="single" w:sz="6" w:space="0" w:color="auto"/>
            </w:tcBorders>
            <w:vAlign w:val="center"/>
          </w:tcPr>
          <w:p w:rsidR="00324689" w:rsidRPr="008168DA" w:rsidRDefault="00324689" w:rsidP="008D5504">
            <w:pPr>
              <w:spacing w:line="240" w:lineRule="exact"/>
              <w:ind w:firstLineChars="0" w:firstLine="0"/>
              <w:jc w:val="center"/>
              <w:rPr>
                <w:rFonts w:ascii="Times New Roman" w:hAnsi="Times New Roman" w:cs="Times New Roman"/>
                <w:b/>
                <w:bCs/>
                <w:i w:val="0"/>
                <w:sz w:val="21"/>
                <w:szCs w:val="21"/>
              </w:rPr>
            </w:pPr>
            <w:r w:rsidRPr="008168DA">
              <w:rPr>
                <w:rFonts w:ascii="Times New Roman" w:hAnsi="Times New Roman" w:cs="Times New Roman"/>
                <w:b/>
                <w:bCs/>
                <w:sz w:val="21"/>
                <w:szCs w:val="21"/>
              </w:rPr>
              <w:t>l</w:t>
            </w:r>
            <w:r w:rsidRPr="008168DA">
              <w:rPr>
                <w:rFonts w:ascii="Times New Roman" w:hAnsi="Times New Roman" w:cs="Times New Roman"/>
                <w:b/>
                <w:bCs/>
                <w:i w:val="0"/>
                <w:sz w:val="21"/>
                <w:szCs w:val="21"/>
              </w:rPr>
              <w:t>/m</w:t>
            </w:r>
          </w:p>
        </w:tc>
        <w:tc>
          <w:tcPr>
            <w:tcW w:w="755" w:type="pct"/>
            <w:tcBorders>
              <w:top w:val="single" w:sz="6" w:space="0" w:color="auto"/>
              <w:bottom w:val="single" w:sz="6" w:space="0" w:color="auto"/>
            </w:tcBorders>
            <w:vAlign w:val="center"/>
            <w:hideMark/>
          </w:tcPr>
          <w:p w:rsidR="00324689" w:rsidRPr="008168DA" w:rsidRDefault="00324689" w:rsidP="008D5504">
            <w:pPr>
              <w:spacing w:line="240" w:lineRule="exact"/>
              <w:ind w:firstLineChars="0" w:firstLine="0"/>
              <w:jc w:val="center"/>
              <w:rPr>
                <w:rFonts w:ascii="Times New Roman" w:hAnsi="Times New Roman" w:cs="Times New Roman"/>
                <w:b/>
                <w:i w:val="0"/>
                <w:sz w:val="21"/>
                <w:szCs w:val="21"/>
              </w:rPr>
            </w:pPr>
            <w:r w:rsidRPr="008168DA">
              <w:rPr>
                <w:rFonts w:ascii="Times New Roman" w:hAnsi="Times New Roman" w:cs="Times New Roman" w:hint="eastAsia"/>
                <w:b/>
                <w:bCs/>
                <w:i w:val="0"/>
                <w:sz w:val="21"/>
                <w:szCs w:val="21"/>
              </w:rPr>
              <w:t>Min</w:t>
            </w:r>
            <w:r w:rsidRPr="008168DA">
              <w:rPr>
                <w:rFonts w:ascii="Times New Roman" w:hAnsi="Times New Roman" w:cs="Times New Roman"/>
                <w:b/>
                <w:bCs/>
                <w:i w:val="0"/>
                <w:sz w:val="21"/>
                <w:szCs w:val="21"/>
              </w:rPr>
              <w:t xml:space="preserve"> </w:t>
            </w:r>
            <w:r w:rsidRPr="008168DA">
              <w:rPr>
                <w:rFonts w:ascii="Times New Roman" w:hAnsi="Times New Roman" w:cs="Times New Roman"/>
                <w:b/>
                <w:bCs/>
                <w:sz w:val="21"/>
                <w:szCs w:val="21"/>
              </w:rPr>
              <w:t>T</w:t>
            </w:r>
            <w:r w:rsidRPr="008168DA">
              <w:rPr>
                <w:rFonts w:ascii="Times New Roman" w:hAnsi="Times New Roman" w:cs="Times New Roman"/>
                <w:b/>
                <w:bCs/>
                <w:i w:val="0"/>
                <w:sz w:val="21"/>
                <w:szCs w:val="21"/>
              </w:rPr>
              <w:t>/mm</w:t>
            </w:r>
          </w:p>
        </w:tc>
        <w:tc>
          <w:tcPr>
            <w:tcW w:w="420" w:type="pct"/>
            <w:gridSpan w:val="2"/>
            <w:tcBorders>
              <w:top w:val="single" w:sz="6" w:space="0" w:color="auto"/>
              <w:bottom w:val="single" w:sz="6" w:space="0" w:color="auto"/>
              <w:right w:val="single" w:sz="6" w:space="0" w:color="auto"/>
            </w:tcBorders>
            <w:vAlign w:val="center"/>
          </w:tcPr>
          <w:p w:rsidR="00324689" w:rsidRPr="008168DA" w:rsidRDefault="00324689" w:rsidP="008D5504">
            <w:pPr>
              <w:spacing w:line="240" w:lineRule="exact"/>
              <w:ind w:firstLineChars="0" w:firstLine="0"/>
              <w:jc w:val="center"/>
              <w:rPr>
                <w:rFonts w:ascii="Times New Roman" w:hAnsi="Times New Roman" w:cs="Times New Roman"/>
                <w:b/>
                <w:bCs/>
                <w:i w:val="0"/>
                <w:sz w:val="21"/>
                <w:szCs w:val="21"/>
              </w:rPr>
            </w:pPr>
            <w:r w:rsidRPr="008168DA">
              <w:rPr>
                <w:rFonts w:ascii="Times New Roman" w:hAnsi="Times New Roman" w:cs="Times New Roman"/>
                <w:b/>
                <w:i w:val="0"/>
                <w:sz w:val="21"/>
                <w:szCs w:val="21"/>
              </w:rPr>
              <w:t>No.</w:t>
            </w:r>
          </w:p>
        </w:tc>
        <w:tc>
          <w:tcPr>
            <w:tcW w:w="420" w:type="pct"/>
            <w:tcBorders>
              <w:top w:val="single" w:sz="6" w:space="0" w:color="auto"/>
              <w:left w:val="single" w:sz="6" w:space="0" w:color="auto"/>
              <w:bottom w:val="single" w:sz="6" w:space="0" w:color="auto"/>
            </w:tcBorders>
            <w:vAlign w:val="center"/>
          </w:tcPr>
          <w:p w:rsidR="00324689" w:rsidRPr="008168DA" w:rsidRDefault="00324689" w:rsidP="008D5504">
            <w:pPr>
              <w:spacing w:line="240" w:lineRule="exact"/>
              <w:ind w:firstLineChars="0" w:firstLine="0"/>
              <w:jc w:val="center"/>
              <w:rPr>
                <w:rFonts w:ascii="Times New Roman" w:hAnsi="Times New Roman" w:cs="Times New Roman"/>
                <w:b/>
                <w:bCs/>
                <w:i w:val="0"/>
                <w:sz w:val="21"/>
                <w:szCs w:val="21"/>
              </w:rPr>
            </w:pPr>
            <w:r w:rsidRPr="008168DA">
              <w:rPr>
                <w:rFonts w:ascii="Times New Roman" w:hAnsi="Times New Roman" w:cs="Times New Roman"/>
                <w:b/>
                <w:bCs/>
                <w:sz w:val="21"/>
                <w:szCs w:val="21"/>
              </w:rPr>
              <w:t>R</w:t>
            </w:r>
            <w:r w:rsidRPr="008168DA">
              <w:rPr>
                <w:rFonts w:ascii="Times New Roman" w:hAnsi="Times New Roman" w:cs="Times New Roman"/>
                <w:b/>
                <w:bCs/>
                <w:i w:val="0"/>
                <w:sz w:val="21"/>
                <w:szCs w:val="21"/>
              </w:rPr>
              <w:t>/</w:t>
            </w:r>
            <w:r w:rsidRPr="008168DA">
              <w:rPr>
                <w:rFonts w:ascii="Times New Roman" w:eastAsia="宋体" w:hAnsi="Times New Roman" w:cs="Times New Roman"/>
                <w:b/>
                <w:bCs/>
                <w:i w:val="0"/>
                <w:sz w:val="21"/>
                <w:szCs w:val="21"/>
              </w:rPr>
              <w:t>°</w:t>
            </w:r>
          </w:p>
        </w:tc>
        <w:tc>
          <w:tcPr>
            <w:tcW w:w="503" w:type="pct"/>
            <w:tcBorders>
              <w:top w:val="single" w:sz="6" w:space="0" w:color="auto"/>
              <w:bottom w:val="single" w:sz="6" w:space="0" w:color="auto"/>
            </w:tcBorders>
            <w:vAlign w:val="center"/>
          </w:tcPr>
          <w:p w:rsidR="00324689" w:rsidRPr="008168DA" w:rsidRDefault="00324689" w:rsidP="008D5504">
            <w:pPr>
              <w:spacing w:line="240" w:lineRule="exact"/>
              <w:ind w:firstLineChars="0" w:firstLine="0"/>
              <w:jc w:val="center"/>
              <w:rPr>
                <w:rFonts w:ascii="Times New Roman" w:hAnsi="Times New Roman" w:cs="Times New Roman"/>
                <w:b/>
                <w:bCs/>
                <w:i w:val="0"/>
                <w:sz w:val="21"/>
                <w:szCs w:val="21"/>
              </w:rPr>
            </w:pPr>
            <w:r w:rsidRPr="008168DA">
              <w:rPr>
                <w:rFonts w:ascii="Times New Roman" w:hAnsi="Times New Roman" w:cs="Times New Roman"/>
                <w:b/>
                <w:bCs/>
                <w:sz w:val="21"/>
                <w:szCs w:val="21"/>
              </w:rPr>
              <w:t>C</w:t>
            </w:r>
            <w:r w:rsidRPr="008168DA">
              <w:rPr>
                <w:rFonts w:ascii="Times New Roman" w:hAnsi="Times New Roman" w:cs="Times New Roman"/>
                <w:b/>
                <w:bCs/>
                <w:i w:val="0"/>
                <w:sz w:val="21"/>
                <w:szCs w:val="21"/>
              </w:rPr>
              <w:t>/ppm</w:t>
            </w:r>
          </w:p>
        </w:tc>
        <w:tc>
          <w:tcPr>
            <w:tcW w:w="337" w:type="pct"/>
            <w:tcBorders>
              <w:top w:val="single" w:sz="6" w:space="0" w:color="auto"/>
              <w:bottom w:val="single" w:sz="6" w:space="0" w:color="auto"/>
            </w:tcBorders>
            <w:vAlign w:val="center"/>
          </w:tcPr>
          <w:p w:rsidR="00324689" w:rsidRPr="008168DA" w:rsidRDefault="00324689" w:rsidP="008D5504">
            <w:pPr>
              <w:spacing w:line="240" w:lineRule="exact"/>
              <w:ind w:firstLineChars="0" w:firstLine="0"/>
              <w:jc w:val="center"/>
              <w:rPr>
                <w:rFonts w:ascii="Times New Roman" w:hAnsi="Times New Roman" w:cs="Times New Roman"/>
                <w:b/>
                <w:bCs/>
                <w:i w:val="0"/>
                <w:sz w:val="21"/>
                <w:szCs w:val="21"/>
              </w:rPr>
            </w:pPr>
            <w:r w:rsidRPr="008168DA">
              <w:rPr>
                <w:rFonts w:ascii="Times New Roman" w:hAnsi="Times New Roman" w:cs="Times New Roman"/>
                <w:b/>
                <w:bCs/>
                <w:sz w:val="21"/>
                <w:szCs w:val="21"/>
              </w:rPr>
              <w:t>l</w:t>
            </w:r>
            <w:r w:rsidRPr="008168DA">
              <w:rPr>
                <w:rFonts w:ascii="Times New Roman" w:hAnsi="Times New Roman" w:cs="Times New Roman"/>
                <w:b/>
                <w:bCs/>
                <w:i w:val="0"/>
                <w:sz w:val="21"/>
                <w:szCs w:val="21"/>
              </w:rPr>
              <w:t>/m</w:t>
            </w:r>
          </w:p>
        </w:tc>
        <w:tc>
          <w:tcPr>
            <w:tcW w:w="756" w:type="pct"/>
            <w:tcBorders>
              <w:top w:val="single" w:sz="6" w:space="0" w:color="auto"/>
              <w:bottom w:val="single" w:sz="6" w:space="0" w:color="auto"/>
            </w:tcBorders>
            <w:vAlign w:val="center"/>
          </w:tcPr>
          <w:p w:rsidR="00324689" w:rsidRPr="008168DA" w:rsidRDefault="00324689" w:rsidP="008D5504">
            <w:pPr>
              <w:spacing w:line="240" w:lineRule="exact"/>
              <w:ind w:firstLineChars="0" w:firstLine="0"/>
              <w:jc w:val="center"/>
              <w:rPr>
                <w:rFonts w:ascii="Times New Roman" w:hAnsi="Times New Roman" w:cs="Times New Roman"/>
                <w:b/>
                <w:bCs/>
                <w:i w:val="0"/>
                <w:sz w:val="21"/>
                <w:szCs w:val="21"/>
              </w:rPr>
            </w:pPr>
            <w:r w:rsidRPr="008168DA">
              <w:rPr>
                <w:rFonts w:ascii="Times New Roman" w:hAnsi="Times New Roman" w:cs="Times New Roman" w:hint="eastAsia"/>
                <w:b/>
                <w:bCs/>
                <w:i w:val="0"/>
                <w:sz w:val="21"/>
                <w:szCs w:val="21"/>
              </w:rPr>
              <w:t>Min</w:t>
            </w:r>
            <w:r w:rsidRPr="008168DA">
              <w:rPr>
                <w:rFonts w:ascii="Times New Roman" w:hAnsi="Times New Roman" w:cs="Times New Roman"/>
                <w:b/>
                <w:bCs/>
                <w:i w:val="0"/>
                <w:sz w:val="21"/>
                <w:szCs w:val="21"/>
              </w:rPr>
              <w:t xml:space="preserve"> </w:t>
            </w:r>
            <w:r w:rsidRPr="008168DA">
              <w:rPr>
                <w:rFonts w:ascii="Times New Roman" w:hAnsi="Times New Roman" w:cs="Times New Roman"/>
                <w:b/>
                <w:bCs/>
                <w:sz w:val="21"/>
                <w:szCs w:val="21"/>
              </w:rPr>
              <w:t>T</w:t>
            </w:r>
            <w:r w:rsidRPr="008168DA">
              <w:rPr>
                <w:rFonts w:ascii="Times New Roman" w:hAnsi="Times New Roman" w:cs="Times New Roman"/>
                <w:b/>
                <w:bCs/>
                <w:i w:val="0"/>
                <w:sz w:val="21"/>
                <w:szCs w:val="21"/>
              </w:rPr>
              <w:t>/mm</w:t>
            </w:r>
          </w:p>
        </w:tc>
      </w:tr>
      <w:tr w:rsidR="00324689" w:rsidRPr="008168DA" w:rsidTr="00BA49A0">
        <w:trPr>
          <w:cnfStyle w:val="000000100000" w:firstRow="0" w:lastRow="0" w:firstColumn="0" w:lastColumn="0" w:oddVBand="0" w:evenVBand="0" w:oddHBand="1" w:evenHBand="0" w:firstRowFirstColumn="0" w:firstRowLastColumn="0" w:lastRowFirstColumn="0" w:lastRowLastColumn="0"/>
          <w:trHeight w:val="283"/>
          <w:jc w:val="center"/>
        </w:trPr>
        <w:tc>
          <w:tcPr>
            <w:tcW w:w="413" w:type="pct"/>
            <w:tcBorders>
              <w:top w:val="single" w:sz="6" w:space="0" w:color="auto"/>
              <w:right w:val="single" w:sz="6" w:space="0" w:color="auto"/>
            </w:tcBorders>
            <w:vAlign w:val="center"/>
            <w:hideMark/>
          </w:tcPr>
          <w:p w:rsidR="00324689" w:rsidRPr="008168DA" w:rsidRDefault="00324689" w:rsidP="008D5504">
            <w:pPr>
              <w:spacing w:line="240" w:lineRule="exact"/>
              <w:ind w:firstLineChars="0" w:firstLine="0"/>
              <w:jc w:val="center"/>
              <w:rPr>
                <w:sz w:val="21"/>
                <w:szCs w:val="21"/>
              </w:rPr>
            </w:pPr>
            <w:r w:rsidRPr="008168DA">
              <w:rPr>
                <w:sz w:val="21"/>
                <w:szCs w:val="21"/>
              </w:rPr>
              <w:t>a-1</w:t>
            </w:r>
          </w:p>
        </w:tc>
        <w:tc>
          <w:tcPr>
            <w:tcW w:w="442" w:type="pct"/>
            <w:tcBorders>
              <w:top w:val="single" w:sz="6" w:space="0" w:color="auto"/>
              <w:left w:val="single" w:sz="6" w:space="0" w:color="auto"/>
            </w:tcBorders>
            <w:vAlign w:val="center"/>
            <w:hideMark/>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90</w:t>
            </w:r>
          </w:p>
        </w:tc>
        <w:tc>
          <w:tcPr>
            <w:tcW w:w="595" w:type="pct"/>
            <w:tcBorders>
              <w:top w:val="single" w:sz="6" w:space="0" w:color="auto"/>
            </w:tcBorders>
            <w:vAlign w:val="center"/>
            <w:hideMark/>
          </w:tcPr>
          <w:p w:rsidR="00324689" w:rsidRPr="008168DA" w:rsidRDefault="00324689" w:rsidP="008D5504">
            <w:pPr>
              <w:spacing w:line="240" w:lineRule="exact"/>
              <w:ind w:firstLineChars="0" w:firstLine="0"/>
              <w:jc w:val="center"/>
              <w:rPr>
                <w:sz w:val="21"/>
                <w:szCs w:val="21"/>
              </w:rPr>
            </w:pPr>
            <w:r w:rsidRPr="008168DA">
              <w:rPr>
                <w:sz w:val="21"/>
                <w:szCs w:val="21"/>
              </w:rPr>
              <w:t>100</w:t>
            </w:r>
          </w:p>
        </w:tc>
        <w:tc>
          <w:tcPr>
            <w:tcW w:w="358" w:type="pct"/>
            <w:tcBorders>
              <w:top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w:t>
            </w:r>
          </w:p>
        </w:tc>
        <w:tc>
          <w:tcPr>
            <w:tcW w:w="862" w:type="pct"/>
            <w:gridSpan w:val="2"/>
            <w:tcBorders>
              <w:top w:val="single" w:sz="6" w:space="0" w:color="auto"/>
            </w:tcBorders>
            <w:vAlign w:val="center"/>
            <w:hideMark/>
          </w:tcPr>
          <w:p w:rsidR="00324689" w:rsidRPr="008168DA" w:rsidRDefault="00324689" w:rsidP="008D5504">
            <w:pPr>
              <w:spacing w:line="240" w:lineRule="exact"/>
              <w:ind w:firstLineChars="0" w:firstLine="0"/>
              <w:jc w:val="center"/>
              <w:rPr>
                <w:sz w:val="21"/>
                <w:szCs w:val="21"/>
              </w:rPr>
            </w:pPr>
            <w:r w:rsidRPr="008168DA">
              <w:rPr>
                <w:sz w:val="21"/>
                <w:szCs w:val="21"/>
              </w:rPr>
              <w:t>1.55</w:t>
            </w:r>
          </w:p>
        </w:tc>
        <w:tc>
          <w:tcPr>
            <w:tcW w:w="313" w:type="pct"/>
            <w:tcBorders>
              <w:top w:val="single" w:sz="6" w:space="0" w:color="auto"/>
              <w:righ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c-1</w:t>
            </w:r>
          </w:p>
        </w:tc>
        <w:tc>
          <w:tcPr>
            <w:tcW w:w="420" w:type="pct"/>
            <w:tcBorders>
              <w:top w:val="single" w:sz="6" w:space="0" w:color="auto"/>
              <w:lef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90</w:t>
            </w:r>
          </w:p>
        </w:tc>
        <w:tc>
          <w:tcPr>
            <w:tcW w:w="503" w:type="pct"/>
            <w:tcBorders>
              <w:top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1000</w:t>
            </w:r>
          </w:p>
        </w:tc>
        <w:tc>
          <w:tcPr>
            <w:tcW w:w="337" w:type="pct"/>
            <w:tcBorders>
              <w:top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w:t>
            </w:r>
          </w:p>
        </w:tc>
        <w:tc>
          <w:tcPr>
            <w:tcW w:w="756" w:type="pct"/>
            <w:tcBorders>
              <w:top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0.269</w:t>
            </w:r>
          </w:p>
        </w:tc>
      </w:tr>
      <w:tr w:rsidR="00324689" w:rsidRPr="008168DA" w:rsidTr="00BA49A0">
        <w:trPr>
          <w:trHeight w:val="283"/>
          <w:jc w:val="center"/>
        </w:trPr>
        <w:tc>
          <w:tcPr>
            <w:tcW w:w="413" w:type="pct"/>
            <w:tcBorders>
              <w:right w:val="single" w:sz="6" w:space="0" w:color="auto"/>
            </w:tcBorders>
            <w:vAlign w:val="center"/>
            <w:hideMark/>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a-2</w:t>
            </w:r>
          </w:p>
        </w:tc>
        <w:tc>
          <w:tcPr>
            <w:tcW w:w="442" w:type="pct"/>
            <w:tcBorders>
              <w:left w:val="single" w:sz="6" w:space="0" w:color="auto"/>
            </w:tcBorders>
            <w:vAlign w:val="center"/>
            <w:hideMark/>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90</w:t>
            </w:r>
          </w:p>
        </w:tc>
        <w:tc>
          <w:tcPr>
            <w:tcW w:w="595" w:type="pct"/>
            <w:vAlign w:val="center"/>
            <w:hideMark/>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101</w:t>
            </w:r>
          </w:p>
        </w:tc>
        <w:tc>
          <w:tcPr>
            <w:tcW w:w="358"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w:t>
            </w:r>
          </w:p>
        </w:tc>
        <w:tc>
          <w:tcPr>
            <w:tcW w:w="862" w:type="pct"/>
            <w:gridSpan w:val="2"/>
            <w:vAlign w:val="center"/>
            <w:hideMark/>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1.53</w:t>
            </w:r>
          </w:p>
        </w:tc>
        <w:tc>
          <w:tcPr>
            <w:tcW w:w="313" w:type="pct"/>
            <w:tcBorders>
              <w:righ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c-2</w:t>
            </w:r>
          </w:p>
        </w:tc>
        <w:tc>
          <w:tcPr>
            <w:tcW w:w="420" w:type="pct"/>
            <w:tcBorders>
              <w:lef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90</w:t>
            </w:r>
          </w:p>
        </w:tc>
        <w:tc>
          <w:tcPr>
            <w:tcW w:w="503"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100</w:t>
            </w:r>
            <w:r w:rsidRPr="008168DA">
              <w:rPr>
                <w:sz w:val="21"/>
                <w:szCs w:val="21"/>
              </w:rPr>
              <w:t>1</w:t>
            </w:r>
          </w:p>
        </w:tc>
        <w:tc>
          <w:tcPr>
            <w:tcW w:w="337"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w:t>
            </w:r>
          </w:p>
        </w:tc>
        <w:tc>
          <w:tcPr>
            <w:tcW w:w="756"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0.272</w:t>
            </w:r>
          </w:p>
        </w:tc>
      </w:tr>
      <w:tr w:rsidR="00324689" w:rsidRPr="008168DA" w:rsidTr="00BA49A0">
        <w:trPr>
          <w:cnfStyle w:val="000000100000" w:firstRow="0" w:lastRow="0" w:firstColumn="0" w:lastColumn="0" w:oddVBand="0" w:evenVBand="0" w:oddHBand="1" w:evenHBand="0" w:firstRowFirstColumn="0" w:firstRowLastColumn="0" w:lastRowFirstColumn="0" w:lastRowLastColumn="0"/>
          <w:trHeight w:val="283"/>
          <w:jc w:val="center"/>
        </w:trPr>
        <w:tc>
          <w:tcPr>
            <w:tcW w:w="413" w:type="pct"/>
            <w:tcBorders>
              <w:right w:val="single" w:sz="6" w:space="0" w:color="auto"/>
            </w:tcBorders>
            <w:vAlign w:val="center"/>
            <w:hideMark/>
          </w:tcPr>
          <w:p w:rsidR="00324689" w:rsidRPr="008168DA" w:rsidRDefault="00324689" w:rsidP="008D5504">
            <w:pPr>
              <w:spacing w:line="240" w:lineRule="exact"/>
              <w:ind w:firstLineChars="0" w:firstLine="0"/>
              <w:jc w:val="center"/>
              <w:rPr>
                <w:sz w:val="21"/>
                <w:szCs w:val="21"/>
              </w:rPr>
            </w:pPr>
            <w:r w:rsidRPr="008168DA">
              <w:rPr>
                <w:sz w:val="21"/>
                <w:szCs w:val="21"/>
              </w:rPr>
              <w:t>a-3</w:t>
            </w:r>
          </w:p>
        </w:tc>
        <w:tc>
          <w:tcPr>
            <w:tcW w:w="442" w:type="pct"/>
            <w:tcBorders>
              <w:left w:val="single" w:sz="6" w:space="0" w:color="auto"/>
            </w:tcBorders>
            <w:vAlign w:val="center"/>
            <w:hideMark/>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90</w:t>
            </w:r>
          </w:p>
        </w:tc>
        <w:tc>
          <w:tcPr>
            <w:tcW w:w="595" w:type="pct"/>
            <w:vAlign w:val="center"/>
            <w:hideMark/>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102</w:t>
            </w:r>
          </w:p>
        </w:tc>
        <w:tc>
          <w:tcPr>
            <w:tcW w:w="358"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w:t>
            </w:r>
          </w:p>
        </w:tc>
        <w:tc>
          <w:tcPr>
            <w:tcW w:w="862" w:type="pct"/>
            <w:gridSpan w:val="2"/>
            <w:vAlign w:val="center"/>
            <w:hideMark/>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1.5</w:t>
            </w:r>
            <w:r w:rsidRPr="008168DA">
              <w:rPr>
                <w:sz w:val="21"/>
                <w:szCs w:val="21"/>
              </w:rPr>
              <w:t>2</w:t>
            </w:r>
          </w:p>
        </w:tc>
        <w:tc>
          <w:tcPr>
            <w:tcW w:w="313" w:type="pct"/>
            <w:tcBorders>
              <w:righ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c-3</w:t>
            </w:r>
          </w:p>
        </w:tc>
        <w:tc>
          <w:tcPr>
            <w:tcW w:w="420" w:type="pct"/>
            <w:tcBorders>
              <w:lef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90</w:t>
            </w:r>
          </w:p>
        </w:tc>
        <w:tc>
          <w:tcPr>
            <w:tcW w:w="503"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100</w:t>
            </w:r>
            <w:r w:rsidRPr="008168DA">
              <w:rPr>
                <w:sz w:val="21"/>
                <w:szCs w:val="21"/>
              </w:rPr>
              <w:t>4</w:t>
            </w:r>
          </w:p>
        </w:tc>
        <w:tc>
          <w:tcPr>
            <w:tcW w:w="337"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w:t>
            </w:r>
          </w:p>
        </w:tc>
        <w:tc>
          <w:tcPr>
            <w:tcW w:w="756"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0.27</w:t>
            </w:r>
            <w:r w:rsidRPr="008168DA">
              <w:rPr>
                <w:sz w:val="21"/>
                <w:szCs w:val="21"/>
              </w:rPr>
              <w:t>0</w:t>
            </w:r>
          </w:p>
        </w:tc>
      </w:tr>
      <w:tr w:rsidR="00324689" w:rsidRPr="008168DA" w:rsidTr="00BA49A0">
        <w:trPr>
          <w:trHeight w:val="283"/>
          <w:jc w:val="center"/>
        </w:trPr>
        <w:tc>
          <w:tcPr>
            <w:tcW w:w="413" w:type="pct"/>
            <w:tcBorders>
              <w:righ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sz w:val="21"/>
                <w:szCs w:val="21"/>
              </w:rPr>
              <w:t>b-1</w:t>
            </w:r>
          </w:p>
        </w:tc>
        <w:tc>
          <w:tcPr>
            <w:tcW w:w="442" w:type="pct"/>
            <w:tcBorders>
              <w:lef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90</w:t>
            </w:r>
          </w:p>
        </w:tc>
        <w:tc>
          <w:tcPr>
            <w:tcW w:w="595"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100</w:t>
            </w:r>
          </w:p>
        </w:tc>
        <w:tc>
          <w:tcPr>
            <w:tcW w:w="358"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1.1</w:t>
            </w:r>
          </w:p>
        </w:tc>
        <w:tc>
          <w:tcPr>
            <w:tcW w:w="862" w:type="pct"/>
            <w:gridSpan w:val="2"/>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1.56</w:t>
            </w:r>
          </w:p>
        </w:tc>
        <w:tc>
          <w:tcPr>
            <w:tcW w:w="313" w:type="pct"/>
            <w:tcBorders>
              <w:righ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d-1</w:t>
            </w:r>
          </w:p>
        </w:tc>
        <w:tc>
          <w:tcPr>
            <w:tcW w:w="420" w:type="pct"/>
            <w:tcBorders>
              <w:lef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180</w:t>
            </w:r>
          </w:p>
        </w:tc>
        <w:tc>
          <w:tcPr>
            <w:tcW w:w="503"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1000</w:t>
            </w:r>
          </w:p>
        </w:tc>
        <w:tc>
          <w:tcPr>
            <w:tcW w:w="337"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w:t>
            </w:r>
          </w:p>
        </w:tc>
        <w:tc>
          <w:tcPr>
            <w:tcW w:w="756"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0.3210</w:t>
            </w:r>
          </w:p>
        </w:tc>
      </w:tr>
      <w:tr w:rsidR="00324689" w:rsidRPr="008168DA" w:rsidTr="00BA49A0">
        <w:trPr>
          <w:cnfStyle w:val="000000100000" w:firstRow="0" w:lastRow="0" w:firstColumn="0" w:lastColumn="0" w:oddVBand="0" w:evenVBand="0" w:oddHBand="1" w:evenHBand="0" w:firstRowFirstColumn="0" w:firstRowLastColumn="0" w:lastRowFirstColumn="0" w:lastRowLastColumn="0"/>
          <w:trHeight w:val="283"/>
          <w:jc w:val="center"/>
        </w:trPr>
        <w:tc>
          <w:tcPr>
            <w:tcW w:w="413" w:type="pct"/>
            <w:tcBorders>
              <w:righ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b-2</w:t>
            </w:r>
          </w:p>
        </w:tc>
        <w:tc>
          <w:tcPr>
            <w:tcW w:w="442" w:type="pct"/>
            <w:tcBorders>
              <w:lef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90</w:t>
            </w:r>
          </w:p>
        </w:tc>
        <w:tc>
          <w:tcPr>
            <w:tcW w:w="595"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100</w:t>
            </w:r>
          </w:p>
        </w:tc>
        <w:tc>
          <w:tcPr>
            <w:tcW w:w="358"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1.2</w:t>
            </w:r>
          </w:p>
        </w:tc>
        <w:tc>
          <w:tcPr>
            <w:tcW w:w="862" w:type="pct"/>
            <w:gridSpan w:val="2"/>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1.65</w:t>
            </w:r>
          </w:p>
        </w:tc>
        <w:tc>
          <w:tcPr>
            <w:tcW w:w="313" w:type="pct"/>
            <w:tcBorders>
              <w:righ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d-2</w:t>
            </w:r>
          </w:p>
        </w:tc>
        <w:tc>
          <w:tcPr>
            <w:tcW w:w="420" w:type="pct"/>
            <w:tcBorders>
              <w:lef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180</w:t>
            </w:r>
          </w:p>
        </w:tc>
        <w:tc>
          <w:tcPr>
            <w:tcW w:w="503"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1000</w:t>
            </w:r>
          </w:p>
        </w:tc>
        <w:tc>
          <w:tcPr>
            <w:tcW w:w="337"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w:t>
            </w:r>
          </w:p>
        </w:tc>
        <w:tc>
          <w:tcPr>
            <w:tcW w:w="756" w:type="pct"/>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0.3165</w:t>
            </w:r>
          </w:p>
        </w:tc>
      </w:tr>
      <w:tr w:rsidR="00324689" w:rsidRPr="008168DA" w:rsidTr="00BA49A0">
        <w:trPr>
          <w:trHeight w:val="283"/>
          <w:jc w:val="center"/>
        </w:trPr>
        <w:tc>
          <w:tcPr>
            <w:tcW w:w="413" w:type="pct"/>
            <w:tcBorders>
              <w:bottom w:val="single" w:sz="6" w:space="0" w:color="auto"/>
              <w:righ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b-3</w:t>
            </w:r>
          </w:p>
        </w:tc>
        <w:tc>
          <w:tcPr>
            <w:tcW w:w="442" w:type="pct"/>
            <w:tcBorders>
              <w:left w:val="single" w:sz="6" w:space="0" w:color="auto"/>
              <w:bottom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90</w:t>
            </w:r>
          </w:p>
        </w:tc>
        <w:tc>
          <w:tcPr>
            <w:tcW w:w="595" w:type="pct"/>
            <w:tcBorders>
              <w:bottom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100</w:t>
            </w:r>
          </w:p>
        </w:tc>
        <w:tc>
          <w:tcPr>
            <w:tcW w:w="358" w:type="pct"/>
            <w:tcBorders>
              <w:bottom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1.3</w:t>
            </w:r>
          </w:p>
        </w:tc>
        <w:tc>
          <w:tcPr>
            <w:tcW w:w="862" w:type="pct"/>
            <w:gridSpan w:val="2"/>
            <w:tcBorders>
              <w:bottom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1.67</w:t>
            </w:r>
          </w:p>
        </w:tc>
        <w:tc>
          <w:tcPr>
            <w:tcW w:w="313" w:type="pct"/>
            <w:tcBorders>
              <w:bottom w:val="single" w:sz="6" w:space="0" w:color="auto"/>
              <w:right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d-3</w:t>
            </w:r>
          </w:p>
        </w:tc>
        <w:tc>
          <w:tcPr>
            <w:tcW w:w="420" w:type="pct"/>
            <w:tcBorders>
              <w:left w:val="single" w:sz="6" w:space="0" w:color="auto"/>
              <w:bottom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180</w:t>
            </w:r>
          </w:p>
        </w:tc>
        <w:tc>
          <w:tcPr>
            <w:tcW w:w="503" w:type="pct"/>
            <w:tcBorders>
              <w:bottom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1000</w:t>
            </w:r>
          </w:p>
        </w:tc>
        <w:tc>
          <w:tcPr>
            <w:tcW w:w="337" w:type="pct"/>
            <w:tcBorders>
              <w:bottom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1</w:t>
            </w:r>
          </w:p>
        </w:tc>
        <w:tc>
          <w:tcPr>
            <w:tcW w:w="756" w:type="pct"/>
            <w:tcBorders>
              <w:bottom w:val="single" w:sz="6" w:space="0" w:color="auto"/>
            </w:tcBorders>
            <w:vAlign w:val="center"/>
          </w:tcPr>
          <w:p w:rsidR="00324689" w:rsidRPr="008168DA" w:rsidRDefault="00324689" w:rsidP="008D5504">
            <w:pPr>
              <w:spacing w:line="240" w:lineRule="exact"/>
              <w:ind w:firstLineChars="0" w:firstLine="0"/>
              <w:jc w:val="center"/>
              <w:rPr>
                <w:sz w:val="21"/>
                <w:szCs w:val="21"/>
              </w:rPr>
            </w:pPr>
            <w:r w:rsidRPr="008168DA">
              <w:rPr>
                <w:rFonts w:hint="eastAsia"/>
                <w:sz w:val="21"/>
                <w:szCs w:val="21"/>
              </w:rPr>
              <w:t>0.3165</w:t>
            </w:r>
          </w:p>
        </w:tc>
      </w:tr>
    </w:tbl>
    <w:p w:rsidR="00BA49A0" w:rsidRDefault="00BA49A0" w:rsidP="00BA49A0">
      <w:pPr>
        <w:spacing w:line="400" w:lineRule="exact"/>
        <w:ind w:firstLine="480"/>
      </w:pPr>
      <w:r>
        <w:t>若气体传感系统在某一浓度区间工作</w:t>
      </w:r>
      <w:r>
        <w:rPr>
          <w:rFonts w:hint="eastAsia"/>
        </w:rPr>
        <w:t>，</w:t>
      </w:r>
      <w:r>
        <w:t>如痕量气体浓度检测或爆炸临界报警等工作场景则可依此进行优化</w:t>
      </w:r>
      <w:r>
        <w:rPr>
          <w:rFonts w:hint="eastAsia"/>
        </w:rPr>
        <w:t>，</w:t>
      </w:r>
      <w:r>
        <w:t>避开吸收低谷</w:t>
      </w:r>
      <w:r>
        <w:rPr>
          <w:rFonts w:hint="eastAsia"/>
        </w:rPr>
        <w:t>，</w:t>
      </w:r>
      <w:r>
        <w:t>从而获得更好的检测灵敏度</w:t>
      </w:r>
      <w:r>
        <w:rPr>
          <w:rFonts w:hint="eastAsia"/>
        </w:rPr>
        <w:t>。但如果工作浓度区间较大也无妨。观察仿真图的纵轴可知，该低谷对于吸</w:t>
      </w:r>
      <w:r>
        <w:rPr>
          <w:rFonts w:hint="eastAsia"/>
        </w:rPr>
        <w:lastRenderedPageBreak/>
        <w:t>收的降低并不巨大。只要合理优化波导长度、弯曲半径等变量，提高整体吸收曲线就能够降低该低谷的影响。</w:t>
      </w:r>
    </w:p>
    <w:p w:rsidR="00CB5F1E" w:rsidRDefault="00CB5F1E">
      <w:pPr>
        <w:ind w:firstLine="480"/>
      </w:pPr>
    </w:p>
    <w:p w:rsidR="00FB05BF" w:rsidRDefault="00FB05BF">
      <w:pPr>
        <w:ind w:firstLine="480"/>
      </w:pPr>
    </w:p>
    <w:p w:rsidR="00FB05BF" w:rsidRDefault="00FB05BF">
      <w:pPr>
        <w:ind w:firstLine="480"/>
      </w:pPr>
    </w:p>
    <w:p w:rsidR="00FB05BF" w:rsidRDefault="00FB05BF">
      <w:pPr>
        <w:spacing w:line="240" w:lineRule="auto"/>
        <w:ind w:firstLineChars="0" w:firstLine="0"/>
      </w:pPr>
      <w:r>
        <w:br w:type="page"/>
      </w:r>
    </w:p>
    <w:p w:rsidR="00FB05BF" w:rsidRDefault="00FB05BF" w:rsidP="00FB05BF">
      <w:pPr>
        <w:ind w:firstLineChars="0" w:firstLine="0"/>
        <w:jc w:val="center"/>
        <w:rPr>
          <w:rFonts w:ascii="Times New Roman" w:eastAsia="宋体" w:hAnsi="Times New Roman"/>
          <w:sz w:val="32"/>
        </w:rPr>
      </w:pPr>
      <w:r w:rsidRPr="00726C62">
        <w:rPr>
          <w:rFonts w:ascii="Times New Roman" w:eastAsia="宋体" w:hAnsi="Times New Roman"/>
          <w:noProof/>
          <w:sz w:val="32"/>
        </w:rPr>
        <w:drawing>
          <wp:inline distT="0" distB="0" distL="0" distR="0" wp14:anchorId="15B601D5" wp14:editId="02711449">
            <wp:extent cx="3599180" cy="2609605"/>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a:extLst>
                        <a:ext uri="{28A0092B-C50C-407E-A947-70E740481C1C}">
                          <a14:useLocalDpi xmlns:a14="http://schemas.microsoft.com/office/drawing/2010/main" val="0"/>
                        </a:ext>
                      </a:extLst>
                    </a:blip>
                    <a:srcRect l="4939" t="7731" r="5307" b="6862"/>
                    <a:stretch/>
                  </pic:blipFill>
                  <pic:spPr bwMode="auto">
                    <a:xfrm>
                      <a:off x="0" y="0"/>
                      <a:ext cx="3600000" cy="2610200"/>
                    </a:xfrm>
                    <a:prstGeom prst="rect">
                      <a:avLst/>
                    </a:prstGeom>
                    <a:noFill/>
                    <a:ln>
                      <a:noFill/>
                    </a:ln>
                    <a:extLst>
                      <a:ext uri="{53640926-AAD7-44D8-BBD7-CCE9431645EC}">
                        <a14:shadowObscured xmlns:a14="http://schemas.microsoft.com/office/drawing/2010/main"/>
                      </a:ext>
                    </a:extLst>
                  </pic:spPr>
                </pic:pic>
              </a:graphicData>
            </a:graphic>
          </wp:inline>
        </w:drawing>
      </w:r>
    </w:p>
    <w:p w:rsidR="00FB05BF" w:rsidRDefault="00FB05BF" w:rsidP="00FB05BF">
      <w:pPr>
        <w:spacing w:line="400" w:lineRule="exact"/>
        <w:ind w:firstLine="480"/>
        <w:jc w:val="center"/>
        <w:rPr>
          <w:rFonts w:ascii="Times New Roman" w:eastAsia="宋体" w:hAnsi="Times New Roman" w:cs="Times New Roman"/>
        </w:rPr>
      </w:pPr>
      <w:r w:rsidRPr="00EE0758">
        <w:rPr>
          <w:rFonts w:ascii="Times New Roman" w:eastAsia="宋体" w:hAnsi="Times New Roman" w:cs="Times New Roman"/>
        </w:rPr>
        <w:t>图</w:t>
      </w:r>
      <w:r w:rsidRPr="00EE0758">
        <w:rPr>
          <w:rFonts w:ascii="Times New Roman" w:eastAsia="宋体" w:hAnsi="Times New Roman" w:cs="Times New Roman"/>
        </w:rPr>
        <w:t xml:space="preserve">4-2 </w:t>
      </w:r>
      <w:r w:rsidRPr="00EE0758">
        <w:rPr>
          <w:rFonts w:ascii="Times New Roman" w:eastAsia="宋体" w:hAnsi="Times New Roman" w:cs="Times New Roman"/>
        </w:rPr>
        <w:t>检测极限计算示意图</w:t>
      </w:r>
    </w:p>
    <w:p w:rsidR="00FB05BF" w:rsidRPr="00EE0758" w:rsidRDefault="00FB05BF" w:rsidP="00FB05BF">
      <w:pPr>
        <w:spacing w:line="400" w:lineRule="exact"/>
        <w:ind w:firstLine="480"/>
        <w:jc w:val="center"/>
        <w:rPr>
          <w:rFonts w:ascii="Times New Roman" w:eastAsia="宋体" w:hAnsi="Times New Roman" w:cs="Times New Roman"/>
        </w:rPr>
      </w:pPr>
    </w:p>
    <w:p w:rsidR="00FB05BF" w:rsidRDefault="00FB05BF">
      <w:pPr>
        <w:ind w:firstLine="480"/>
      </w:pPr>
    </w:p>
    <w:p w:rsidR="005A62C1" w:rsidRDefault="005A62C1">
      <w:pPr>
        <w:ind w:firstLine="480"/>
      </w:pPr>
    </w:p>
    <w:p w:rsidR="005A62C1" w:rsidRDefault="005A62C1">
      <w:pPr>
        <w:ind w:firstLine="480"/>
      </w:pPr>
    </w:p>
    <w:p w:rsidR="005A62C1" w:rsidRDefault="005A62C1" w:rsidP="005A62C1">
      <w:pPr>
        <w:spacing w:line="360" w:lineRule="auto"/>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结合实验结果给出了不同系统参数下的优化方案。</w:t>
      </w:r>
    </w:p>
    <w:p w:rsidR="005A62C1" w:rsidRDefault="005A62C1" w:rsidP="005A62C1">
      <w:pPr>
        <w:spacing w:line="360" w:lineRule="auto"/>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文中，我们将结合理论经验与实际情况给出小型化气体传感系统的气体吸收度公式，并对其中的各项参数给出优化方案。搭建了以</w:t>
      </w:r>
      <w:r w:rsidRPr="00457188">
        <w:rPr>
          <w:rFonts w:asciiTheme="majorEastAsia" w:eastAsiaTheme="majorEastAsia" w:hAnsiTheme="majorEastAsia" w:hint="eastAsia"/>
          <w:sz w:val="21"/>
          <w:szCs w:val="21"/>
        </w:rPr>
        <w:t>96c</w:t>
      </w:r>
      <w:r w:rsidRPr="00457188">
        <w:rPr>
          <w:rFonts w:asciiTheme="majorEastAsia" w:eastAsiaTheme="majorEastAsia" w:hAnsiTheme="majorEastAsia"/>
          <w:sz w:val="21"/>
          <w:szCs w:val="21"/>
        </w:rPr>
        <w:t>m</w:t>
      </w:r>
      <w:r w:rsidRPr="00457188">
        <w:rPr>
          <w:rFonts w:asciiTheme="majorEastAsia" w:eastAsiaTheme="majorEastAsia" w:hAnsiTheme="majorEastAsia" w:hint="eastAsia"/>
          <w:sz w:val="21"/>
          <w:szCs w:val="21"/>
        </w:rPr>
        <w:t>长700µ</w:t>
      </w:r>
      <w:r w:rsidRPr="00457188">
        <w:rPr>
          <w:rFonts w:asciiTheme="majorEastAsia" w:eastAsiaTheme="majorEastAsia" w:hAnsiTheme="majorEastAsia"/>
          <w:sz w:val="21"/>
          <w:szCs w:val="21"/>
        </w:rPr>
        <w:t>m</w:t>
      </w:r>
      <w:r>
        <w:rPr>
          <w:rFonts w:asciiTheme="majorEastAsia" w:eastAsiaTheme="majorEastAsia" w:hAnsiTheme="majorEastAsia"/>
          <w:sz w:val="21"/>
          <w:szCs w:val="21"/>
        </w:rPr>
        <w:t>内径</w:t>
      </w:r>
      <w:r>
        <w:rPr>
          <w:rFonts w:asciiTheme="majorEastAsia" w:eastAsiaTheme="majorEastAsia" w:hAnsiTheme="majorEastAsia" w:hint="eastAsia"/>
          <w:sz w:val="21"/>
          <w:szCs w:val="21"/>
        </w:rPr>
        <w:t>的Ag</w:t>
      </w:r>
      <w:r>
        <w:rPr>
          <w:rFonts w:asciiTheme="majorEastAsia" w:eastAsiaTheme="majorEastAsia" w:hAnsiTheme="majorEastAsia"/>
          <w:sz w:val="21"/>
          <w:szCs w:val="21"/>
        </w:rPr>
        <w:t>/</w:t>
      </w:r>
      <w:proofErr w:type="spellStart"/>
      <w:r>
        <w:rPr>
          <w:rFonts w:asciiTheme="majorEastAsia" w:eastAsiaTheme="majorEastAsia" w:hAnsiTheme="majorEastAsia"/>
          <w:sz w:val="21"/>
          <w:szCs w:val="21"/>
        </w:rPr>
        <w:t>AgI</w:t>
      </w:r>
      <w:proofErr w:type="spellEnd"/>
      <w:r>
        <w:rPr>
          <w:rFonts w:asciiTheme="majorEastAsia" w:eastAsiaTheme="majorEastAsia" w:hAnsiTheme="majorEastAsia"/>
          <w:sz w:val="21"/>
          <w:szCs w:val="21"/>
        </w:rPr>
        <w:t>空芯光纤作为气室</w:t>
      </w:r>
      <w:r>
        <w:rPr>
          <w:rFonts w:asciiTheme="majorEastAsia" w:eastAsiaTheme="majorEastAsia" w:hAnsiTheme="majorEastAsia" w:hint="eastAsia"/>
          <w:sz w:val="21"/>
          <w:szCs w:val="21"/>
        </w:rPr>
        <w:t>的</w:t>
      </w:r>
      <w:r w:rsidRPr="0075249E">
        <w:rPr>
          <w:rFonts w:asciiTheme="majorEastAsia" w:eastAsiaTheme="majorEastAsia" w:hAnsiTheme="majorEastAsia" w:hint="eastAsia"/>
          <w:sz w:val="21"/>
          <w:szCs w:val="21"/>
        </w:rPr>
        <w:t>传感系统</w:t>
      </w:r>
      <w:r>
        <w:rPr>
          <w:rFonts w:asciiTheme="majorEastAsia" w:eastAsiaTheme="majorEastAsia" w:hAnsiTheme="majorEastAsia" w:hint="eastAsia"/>
          <w:sz w:val="21"/>
          <w:szCs w:val="21"/>
        </w:rPr>
        <w:t>，并</w:t>
      </w:r>
    </w:p>
    <w:p w:rsidR="005A62C1" w:rsidRPr="003E147D" w:rsidRDefault="005A62C1" w:rsidP="005A62C1">
      <w:pPr>
        <w:spacing w:line="360" w:lineRule="auto"/>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然而由于空芯波导弯曲附加损耗的存在，其小型化后的传输</w:t>
      </w:r>
    </w:p>
    <w:p w:rsidR="005A62C1" w:rsidRPr="00D76793" w:rsidRDefault="005A62C1" w:rsidP="005A62C1">
      <w:pPr>
        <w:spacing w:line="360" w:lineRule="auto"/>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 xml:space="preserve">    </w:t>
      </w:r>
      <w:r w:rsidRPr="0075249E">
        <w:rPr>
          <w:rFonts w:asciiTheme="majorEastAsia" w:eastAsiaTheme="majorEastAsia" w:hAnsiTheme="majorEastAsia" w:hint="eastAsia"/>
          <w:sz w:val="21"/>
          <w:szCs w:val="21"/>
        </w:rPr>
        <w:t>目前，对于</w:t>
      </w:r>
      <w:r>
        <w:rPr>
          <w:rFonts w:asciiTheme="majorEastAsia" w:eastAsiaTheme="majorEastAsia" w:hAnsiTheme="majorEastAsia" w:hint="eastAsia"/>
          <w:sz w:val="21"/>
          <w:szCs w:val="21"/>
        </w:rPr>
        <w:t>基于空芯光纤的气体传感器有了针对红外特性、传感特性、信</w:t>
      </w:r>
      <w:r w:rsidRPr="0075249E">
        <w:rPr>
          <w:rFonts w:asciiTheme="majorEastAsia" w:eastAsiaTheme="majorEastAsia" w:hAnsiTheme="majorEastAsia" w:hint="eastAsia"/>
          <w:sz w:val="21"/>
          <w:szCs w:val="21"/>
        </w:rPr>
        <w:t>噪比等方面的研究。</w:t>
      </w:r>
      <w:r w:rsidRPr="0099166E">
        <w:rPr>
          <w:rFonts w:asciiTheme="majorEastAsia" w:eastAsiaTheme="majorEastAsia" w:hAnsiTheme="majorEastAsia" w:hint="eastAsia"/>
          <w:i/>
          <w:sz w:val="21"/>
          <w:szCs w:val="21"/>
        </w:rPr>
        <w:t>但</w:t>
      </w:r>
      <w:r w:rsidRPr="0099166E">
        <w:rPr>
          <w:rFonts w:asciiTheme="majorEastAsia" w:eastAsiaTheme="majorEastAsia" w:hAnsiTheme="majorEastAsia"/>
          <w:i/>
          <w:sz w:val="21"/>
          <w:szCs w:val="21"/>
        </w:rPr>
        <w:t>尚缺少</w:t>
      </w:r>
      <w:r w:rsidRPr="0099166E">
        <w:rPr>
          <w:rFonts w:asciiTheme="majorEastAsia" w:eastAsiaTheme="majorEastAsia" w:hAnsiTheme="majorEastAsia" w:hint="eastAsia"/>
          <w:i/>
          <w:sz w:val="21"/>
          <w:szCs w:val="21"/>
        </w:rPr>
        <w:t>。</w:t>
      </w:r>
      <w:r w:rsidRPr="0075249E">
        <w:rPr>
          <w:rFonts w:asciiTheme="majorEastAsia" w:eastAsiaTheme="majorEastAsia" w:hAnsiTheme="majorEastAsia" w:hint="eastAsia"/>
          <w:sz w:val="21"/>
          <w:szCs w:val="21"/>
        </w:rPr>
        <w:t>文中，我们分析了光纤长度、系统信噪比、弯曲半径、弯曲模型等变量对于传感特性的影响，并进行以甲烷气体为例进行实验验证。从而，对基于柔性空芯光纤的气体传感器的小型化提出了</w:t>
      </w:r>
      <w:r>
        <w:rPr>
          <w:rFonts w:asciiTheme="majorEastAsia" w:eastAsiaTheme="majorEastAsia" w:hAnsiTheme="majorEastAsia" w:hint="eastAsia"/>
          <w:sz w:val="21"/>
          <w:szCs w:val="21"/>
        </w:rPr>
        <w:t>优化方案。</w:t>
      </w:r>
    </w:p>
    <w:p w:rsidR="005A62C1" w:rsidRDefault="005A62C1">
      <w:pPr>
        <w:ind w:firstLine="480"/>
      </w:pPr>
    </w:p>
    <w:p w:rsidR="00D604FE" w:rsidRDefault="00D604FE">
      <w:pPr>
        <w:ind w:firstLine="480"/>
      </w:pPr>
    </w:p>
    <w:p w:rsidR="00D604FE" w:rsidRDefault="00D604FE">
      <w:pPr>
        <w:ind w:firstLine="480"/>
      </w:pPr>
    </w:p>
    <w:p w:rsidR="00D604FE" w:rsidRDefault="00D604FE">
      <w:pPr>
        <w:spacing w:line="240" w:lineRule="auto"/>
        <w:ind w:firstLineChars="0" w:firstLine="0"/>
      </w:pPr>
      <w:r>
        <w:br w:type="page"/>
      </w:r>
    </w:p>
    <w:p w:rsidR="00D604FE" w:rsidRDefault="00D604FE" w:rsidP="00D604FE">
      <w:pPr>
        <w:spacing w:line="360" w:lineRule="auto"/>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通过银镜反应及碘化反应，制备了优化在甲烷3.33µm红外吸收峰处的Ag/</w:t>
      </w:r>
      <w:proofErr w:type="spellStart"/>
      <w:r>
        <w:rPr>
          <w:rFonts w:asciiTheme="majorEastAsia" w:eastAsiaTheme="majorEastAsia" w:hAnsiTheme="majorEastAsia" w:hint="eastAsia"/>
          <w:sz w:val="21"/>
          <w:szCs w:val="21"/>
        </w:rPr>
        <w:t>AgI</w:t>
      </w:r>
      <w:proofErr w:type="spellEnd"/>
      <w:r>
        <w:rPr>
          <w:rFonts w:asciiTheme="majorEastAsia" w:eastAsiaTheme="majorEastAsia" w:hAnsiTheme="majorEastAsia" w:hint="eastAsia"/>
          <w:sz w:val="21"/>
          <w:szCs w:val="21"/>
        </w:rPr>
        <w:t>玻璃基底空芯波导作为气体传感的气室及光路径。通过贴有红外透明的KCL晶体薄片的三通耦合借口连接光路与气路并保证系统的气密性。采用FTIR作为红外宽谱光源；质量流量仪接入5000ppm甲烷/氮气作为气体发生设备，搭建了如图2所示的传感系统。</w:t>
      </w:r>
    </w:p>
    <w:p w:rsidR="00D604FE" w:rsidRPr="00B622F7" w:rsidRDefault="00D604FE" w:rsidP="00D604FE">
      <w:pPr>
        <w:spacing w:line="360" w:lineRule="auto"/>
        <w:ind w:firstLine="420"/>
        <w:jc w:val="center"/>
        <w:rPr>
          <w:rFonts w:asciiTheme="majorEastAsia" w:eastAsiaTheme="majorEastAsia" w:hAnsiTheme="majorEastAsia"/>
          <w:sz w:val="21"/>
          <w:szCs w:val="21"/>
        </w:rPr>
      </w:pPr>
      <w:r w:rsidRPr="00B622F7">
        <w:rPr>
          <w:rFonts w:asciiTheme="majorEastAsia" w:eastAsiaTheme="majorEastAsia" w:hAnsiTheme="majorEastAsia"/>
          <w:noProof/>
          <w:sz w:val="21"/>
          <w:szCs w:val="21"/>
        </w:rPr>
        <w:drawing>
          <wp:inline distT="0" distB="0" distL="0" distR="0" wp14:anchorId="4529ABE5" wp14:editId="6AB4502C">
            <wp:extent cx="3600000" cy="1873702"/>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1873702"/>
                    </a:xfrm>
                    <a:prstGeom prst="rect">
                      <a:avLst/>
                    </a:prstGeom>
                    <a:noFill/>
                  </pic:spPr>
                </pic:pic>
              </a:graphicData>
            </a:graphic>
          </wp:inline>
        </w:drawing>
      </w:r>
    </w:p>
    <w:p w:rsidR="00D604FE" w:rsidRDefault="00D604FE" w:rsidP="00D604FE">
      <w:pPr>
        <w:spacing w:line="360" w:lineRule="auto"/>
        <w:ind w:firstLine="420"/>
        <w:jc w:val="center"/>
        <w:rPr>
          <w:rFonts w:asciiTheme="majorEastAsia" w:eastAsiaTheme="majorEastAsia" w:hAnsiTheme="majorEastAsia"/>
          <w:sz w:val="21"/>
          <w:szCs w:val="21"/>
        </w:rPr>
      </w:pPr>
      <w:r w:rsidRPr="00B622F7">
        <w:rPr>
          <w:rFonts w:asciiTheme="majorEastAsia" w:eastAsiaTheme="majorEastAsia" w:hAnsiTheme="majorEastAsia"/>
          <w:sz w:val="21"/>
          <w:szCs w:val="21"/>
        </w:rPr>
        <w:t>图</w:t>
      </w:r>
      <w:r w:rsidRPr="00B622F7">
        <w:rPr>
          <w:rFonts w:asciiTheme="majorEastAsia" w:eastAsiaTheme="majorEastAsia" w:hAnsiTheme="majorEastAsia" w:hint="eastAsia"/>
          <w:sz w:val="21"/>
          <w:szCs w:val="21"/>
        </w:rPr>
        <w:t>2</w:t>
      </w:r>
      <w:r>
        <w:rPr>
          <w:rFonts w:asciiTheme="majorEastAsia" w:eastAsiaTheme="majorEastAsia" w:hAnsiTheme="majorEastAsia"/>
          <w:sz w:val="21"/>
          <w:szCs w:val="21"/>
        </w:rPr>
        <w:t>. 气体传感系统设计图</w:t>
      </w:r>
    </w:p>
    <w:p w:rsidR="00D604FE" w:rsidRDefault="00D604FE" w:rsidP="00D604FE">
      <w:pPr>
        <w:spacing w:line="360" w:lineRule="auto"/>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光通过耦合光纤获得聚焦并减少高次模的光束，穿过耦合接口的红外窗片，到达空芯光纤；气体通过质量流量仪配比以固定流速吹入耦合接口，并充满整个空心光纤内腔。其中，空芯光纤水平不弯曲情况下的损耗约为5dB/m，</w:t>
      </w:r>
      <w:proofErr w:type="gramStart"/>
      <w:r>
        <w:rPr>
          <w:rFonts w:asciiTheme="majorEastAsia" w:eastAsiaTheme="majorEastAsia" w:hAnsiTheme="majorEastAsia" w:hint="eastAsia"/>
          <w:sz w:val="21"/>
          <w:szCs w:val="21"/>
        </w:rPr>
        <w:t>红外窗片带来</w:t>
      </w:r>
      <w:proofErr w:type="gramEnd"/>
      <w:r>
        <w:rPr>
          <w:rFonts w:asciiTheme="majorEastAsia" w:eastAsiaTheme="majorEastAsia" w:hAnsiTheme="majorEastAsia" w:hint="eastAsia"/>
          <w:sz w:val="21"/>
          <w:szCs w:val="21"/>
        </w:rPr>
        <w:t>的插入损耗约为1dB。</w:t>
      </w:r>
    </w:p>
    <w:p w:rsidR="00D604FE" w:rsidRDefault="00D604FE" w:rsidP="00D604FE">
      <w:pPr>
        <w:spacing w:line="360" w:lineRule="auto"/>
        <w:ind w:firstLine="420"/>
        <w:jc w:val="center"/>
        <w:rPr>
          <w:rFonts w:asciiTheme="majorEastAsia" w:eastAsiaTheme="majorEastAsia" w:hAnsiTheme="majorEastAsia"/>
          <w:sz w:val="21"/>
          <w:szCs w:val="21"/>
        </w:rPr>
      </w:pPr>
      <w:r>
        <w:rPr>
          <w:rFonts w:asciiTheme="majorEastAsia" w:eastAsiaTheme="majorEastAsia" w:hAnsiTheme="majorEastAsia"/>
          <w:noProof/>
          <w:sz w:val="21"/>
          <w:szCs w:val="21"/>
        </w:rPr>
        <w:drawing>
          <wp:inline distT="0" distB="0" distL="0" distR="0" wp14:anchorId="538FA79A" wp14:editId="491DB302">
            <wp:extent cx="2285049" cy="1445895"/>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306" b="3598"/>
                    <a:stretch/>
                  </pic:blipFill>
                  <pic:spPr bwMode="auto">
                    <a:xfrm>
                      <a:off x="0" y="0"/>
                      <a:ext cx="2286024" cy="144651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EastAsia" w:eastAsiaTheme="majorEastAsia" w:hAnsiTheme="majorEastAsia"/>
          <w:noProof/>
          <w:sz w:val="21"/>
          <w:szCs w:val="21"/>
        </w:rPr>
        <w:drawing>
          <wp:inline distT="0" distB="0" distL="0" distR="0" wp14:anchorId="13693B6E" wp14:editId="4719AD6C">
            <wp:extent cx="2088000" cy="141047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86" t="5616" b="7511"/>
                    <a:stretch/>
                  </pic:blipFill>
                  <pic:spPr bwMode="auto">
                    <a:xfrm>
                      <a:off x="0" y="0"/>
                      <a:ext cx="2088000" cy="141047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EastAsia" w:eastAsiaTheme="majorEastAsia" w:hAnsiTheme="majorEastAsia" w:hint="eastAsia"/>
          <w:sz w:val="21"/>
          <w:szCs w:val="21"/>
        </w:rPr>
        <w:t xml:space="preserve"> </w:t>
      </w:r>
      <w:r>
        <w:rPr>
          <w:rFonts w:asciiTheme="majorEastAsia" w:eastAsiaTheme="majorEastAsia" w:hAnsiTheme="majorEastAsia"/>
          <w:noProof/>
          <w:sz w:val="21"/>
          <w:szCs w:val="21"/>
        </w:rPr>
        <w:drawing>
          <wp:inline distT="0" distB="0" distL="0" distR="0" wp14:anchorId="3F1EE67F" wp14:editId="1F7D5CF2">
            <wp:extent cx="2159635" cy="14573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529" b="6643"/>
                    <a:stretch/>
                  </pic:blipFill>
                  <pic:spPr bwMode="auto">
                    <a:xfrm>
                      <a:off x="0" y="0"/>
                      <a:ext cx="2160000" cy="14575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EastAsia" w:eastAsiaTheme="majorEastAsia" w:hAnsiTheme="majorEastAsia"/>
          <w:noProof/>
          <w:sz w:val="21"/>
          <w:szCs w:val="21"/>
        </w:rPr>
        <w:drawing>
          <wp:inline distT="0" distB="0" distL="0" distR="0" wp14:anchorId="27637C58" wp14:editId="2EA5F9F0">
            <wp:extent cx="2050415" cy="1479751"/>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30" t="5720" b="7137"/>
                    <a:stretch/>
                  </pic:blipFill>
                  <pic:spPr bwMode="auto">
                    <a:xfrm>
                      <a:off x="0" y="0"/>
                      <a:ext cx="2051365" cy="1480436"/>
                    </a:xfrm>
                    <a:prstGeom prst="rect">
                      <a:avLst/>
                    </a:prstGeom>
                    <a:noFill/>
                    <a:ln>
                      <a:noFill/>
                    </a:ln>
                    <a:extLst>
                      <a:ext uri="{53640926-AAD7-44D8-BBD7-CCE9431645EC}">
                        <a14:shadowObscured xmlns:a14="http://schemas.microsoft.com/office/drawing/2010/main"/>
                      </a:ext>
                    </a:extLst>
                  </pic:spPr>
                </pic:pic>
              </a:graphicData>
            </a:graphic>
          </wp:inline>
        </w:drawing>
      </w:r>
    </w:p>
    <w:p w:rsidR="00D604FE" w:rsidRDefault="00D604FE" w:rsidP="00D604FE">
      <w:pPr>
        <w:spacing w:line="360" w:lineRule="auto"/>
        <w:ind w:firstLine="420"/>
        <w:jc w:val="center"/>
        <w:rPr>
          <w:rFonts w:asciiTheme="majorEastAsia" w:eastAsiaTheme="majorEastAsia" w:hAnsiTheme="majorEastAsia"/>
          <w:sz w:val="21"/>
          <w:szCs w:val="21"/>
        </w:rPr>
      </w:pPr>
      <w:r>
        <w:rPr>
          <w:rFonts w:asciiTheme="majorEastAsia" w:eastAsiaTheme="majorEastAsia" w:hAnsiTheme="majorEastAsia"/>
          <w:sz w:val="21"/>
          <w:szCs w:val="21"/>
        </w:rPr>
        <w:t>图</w:t>
      </w:r>
      <w:r>
        <w:rPr>
          <w:rFonts w:asciiTheme="majorEastAsia" w:eastAsiaTheme="majorEastAsia" w:hAnsiTheme="majorEastAsia" w:hint="eastAsia"/>
          <w:sz w:val="21"/>
          <w:szCs w:val="21"/>
        </w:rPr>
        <w:t>3. 甲烷</w:t>
      </w:r>
      <w:r>
        <w:rPr>
          <w:rFonts w:asciiTheme="majorEastAsia" w:eastAsiaTheme="majorEastAsia" w:hAnsiTheme="majorEastAsia"/>
          <w:sz w:val="21"/>
          <w:szCs w:val="21"/>
        </w:rPr>
        <w:t>气体传感系统检测</w:t>
      </w:r>
    </w:p>
    <w:p w:rsidR="00D604FE" w:rsidRDefault="00D604FE">
      <w:pPr>
        <w:spacing w:line="240" w:lineRule="auto"/>
        <w:ind w:firstLineChars="0" w:firstLine="0"/>
      </w:pPr>
      <w:r>
        <w:br w:type="page"/>
      </w:r>
    </w:p>
    <w:p w:rsidR="00D604FE" w:rsidRPr="000B78F0" w:rsidRDefault="00D604FE" w:rsidP="00D604FE">
      <w:pPr>
        <w:spacing w:line="360" w:lineRule="auto"/>
        <w:ind w:firstLine="422"/>
        <w:rPr>
          <w:rFonts w:asciiTheme="majorEastAsia" w:eastAsiaTheme="majorEastAsia" w:hAnsiTheme="majorEastAsia"/>
          <w:b/>
          <w:sz w:val="21"/>
          <w:szCs w:val="21"/>
        </w:rPr>
      </w:pPr>
      <w:bookmarkStart w:id="0" w:name="OLE_LINK1"/>
      <w:r w:rsidRPr="000B78F0">
        <w:rPr>
          <w:rFonts w:asciiTheme="majorEastAsia" w:eastAsiaTheme="majorEastAsia" w:hAnsiTheme="majorEastAsia" w:hint="eastAsia"/>
          <w:b/>
          <w:sz w:val="21"/>
          <w:szCs w:val="21"/>
        </w:rPr>
        <w:t>4.1</w:t>
      </w:r>
      <w:r w:rsidRPr="000B78F0">
        <w:rPr>
          <w:rFonts w:asciiTheme="majorEastAsia" w:eastAsiaTheme="majorEastAsia" w:hAnsiTheme="majorEastAsia"/>
          <w:b/>
          <w:sz w:val="21"/>
          <w:szCs w:val="21"/>
        </w:rPr>
        <w:t xml:space="preserve"> 弯曲半径对系统的影响</w:t>
      </w:r>
    </w:p>
    <w:bookmarkEnd w:id="0"/>
    <w:p w:rsidR="00D604FE" w:rsidRDefault="00D604FE" w:rsidP="00D604FE">
      <w:pPr>
        <w:spacing w:line="360" w:lineRule="auto"/>
        <w:ind w:firstLine="480"/>
        <w:jc w:val="center"/>
        <w:rPr>
          <w:rFonts w:asciiTheme="majorEastAsia" w:eastAsiaTheme="majorEastAsia" w:hAnsiTheme="majorEastAsia"/>
          <w:sz w:val="21"/>
          <w:szCs w:val="21"/>
        </w:rPr>
      </w:pPr>
      <w:r>
        <w:rPr>
          <w:noProof/>
        </w:rPr>
        <w:drawing>
          <wp:inline distT="0" distB="0" distL="0" distR="0" wp14:anchorId="25B554DE" wp14:editId="38858AA9">
            <wp:extent cx="5270500" cy="143431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1434310"/>
                    </a:xfrm>
                    <a:prstGeom prst="rect">
                      <a:avLst/>
                    </a:prstGeom>
                    <a:noFill/>
                  </pic:spPr>
                </pic:pic>
              </a:graphicData>
            </a:graphic>
          </wp:inline>
        </w:drawing>
      </w:r>
    </w:p>
    <w:p w:rsidR="00D604FE" w:rsidRPr="006D64DD" w:rsidRDefault="00D604FE" w:rsidP="00D604FE">
      <w:pPr>
        <w:spacing w:line="360" w:lineRule="auto"/>
        <w:ind w:firstLine="420"/>
        <w:jc w:val="center"/>
        <w:rPr>
          <w:rFonts w:asciiTheme="majorEastAsia" w:eastAsiaTheme="majorEastAsia" w:hAnsiTheme="majorEastAsia"/>
          <w:sz w:val="21"/>
          <w:szCs w:val="21"/>
        </w:rPr>
      </w:pPr>
      <w:r>
        <w:rPr>
          <w:rFonts w:asciiTheme="majorEastAsia" w:eastAsiaTheme="majorEastAsia" w:hAnsiTheme="majorEastAsia"/>
          <w:sz w:val="21"/>
          <w:szCs w:val="21"/>
        </w:rPr>
        <w:t>图</w:t>
      </w:r>
      <w:r>
        <w:rPr>
          <w:rFonts w:asciiTheme="majorEastAsia" w:eastAsiaTheme="majorEastAsia" w:hAnsiTheme="majorEastAsia" w:hint="eastAsia"/>
          <w:sz w:val="21"/>
          <w:szCs w:val="21"/>
        </w:rPr>
        <w:t>4 相同弯曲长度不同弯曲半径下的气体吸收峰面积</w:t>
      </w:r>
    </w:p>
    <w:p w:rsidR="00D604FE" w:rsidRDefault="00D604FE" w:rsidP="00D604FE">
      <w:pPr>
        <w:spacing w:line="360" w:lineRule="auto"/>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 xml:space="preserve">    选择30cm，60cm两组长度，弯曲不同角度进行0ppm至2000ppm</w:t>
      </w:r>
      <w:r>
        <w:rPr>
          <w:rFonts w:asciiTheme="majorEastAsia" w:eastAsiaTheme="majorEastAsia" w:hAnsiTheme="majorEastAsia"/>
          <w:sz w:val="21"/>
          <w:szCs w:val="21"/>
        </w:rPr>
        <w:t>甲烷</w:t>
      </w:r>
      <w:r>
        <w:rPr>
          <w:rFonts w:asciiTheme="majorEastAsia" w:eastAsiaTheme="majorEastAsia" w:hAnsiTheme="majorEastAsia" w:hint="eastAsia"/>
          <w:sz w:val="21"/>
          <w:szCs w:val="21"/>
        </w:rPr>
        <w:t>/氮气的检测。可以发现弯曲半径越大，0ppm基线即会降低，但系统灵敏度会升高。</w:t>
      </w:r>
    </w:p>
    <w:p w:rsidR="00D604FE" w:rsidRDefault="00D604FE" w:rsidP="00D604FE">
      <w:pPr>
        <w:spacing w:line="360" w:lineRule="auto"/>
        <w:ind w:left="440" w:firstLine="420"/>
        <w:rPr>
          <w:rFonts w:asciiTheme="majorEastAsia" w:eastAsiaTheme="majorEastAsia" w:hAnsiTheme="majorEastAsia"/>
          <w:sz w:val="21"/>
          <w:szCs w:val="21"/>
        </w:rPr>
      </w:pPr>
      <w:r w:rsidRPr="0026484A">
        <w:rPr>
          <w:rFonts w:asciiTheme="majorEastAsia" w:eastAsiaTheme="majorEastAsia" w:hAnsiTheme="majorEastAsia" w:hint="eastAsia"/>
          <w:sz w:val="21"/>
          <w:szCs w:val="21"/>
          <w:highlight w:val="yellow"/>
        </w:rPr>
        <w:t>这是因为</w:t>
      </w:r>
    </w:p>
    <w:p w:rsidR="00D604FE" w:rsidRPr="000B78F0" w:rsidRDefault="00D604FE" w:rsidP="00D604FE">
      <w:pPr>
        <w:spacing w:line="360" w:lineRule="auto"/>
        <w:ind w:firstLine="422"/>
        <w:rPr>
          <w:rFonts w:asciiTheme="majorEastAsia" w:eastAsiaTheme="majorEastAsia" w:hAnsiTheme="majorEastAsia"/>
          <w:b/>
          <w:sz w:val="21"/>
          <w:szCs w:val="21"/>
        </w:rPr>
      </w:pPr>
      <w:bookmarkStart w:id="1" w:name="OLE_LINK2"/>
      <w:bookmarkStart w:id="2" w:name="OLE_LINK25"/>
      <w:r>
        <w:rPr>
          <w:rFonts w:asciiTheme="majorEastAsia" w:eastAsiaTheme="majorEastAsia" w:hAnsiTheme="majorEastAsia" w:hint="eastAsia"/>
          <w:b/>
          <w:sz w:val="21"/>
          <w:szCs w:val="21"/>
        </w:rPr>
        <w:t>4.2</w:t>
      </w:r>
      <w:r w:rsidRPr="000B78F0">
        <w:rPr>
          <w:rFonts w:asciiTheme="majorEastAsia" w:eastAsiaTheme="majorEastAsia" w:hAnsiTheme="majorEastAsia"/>
          <w:b/>
          <w:sz w:val="21"/>
          <w:szCs w:val="21"/>
        </w:rPr>
        <w:t xml:space="preserve"> </w:t>
      </w:r>
      <w:r>
        <w:rPr>
          <w:rFonts w:asciiTheme="majorEastAsia" w:eastAsiaTheme="majorEastAsia" w:hAnsiTheme="majorEastAsia"/>
          <w:b/>
          <w:sz w:val="21"/>
          <w:szCs w:val="21"/>
        </w:rPr>
        <w:t>弯曲长度</w:t>
      </w:r>
      <w:r w:rsidRPr="000B78F0">
        <w:rPr>
          <w:rFonts w:asciiTheme="majorEastAsia" w:eastAsiaTheme="majorEastAsia" w:hAnsiTheme="majorEastAsia"/>
          <w:b/>
          <w:sz w:val="21"/>
          <w:szCs w:val="21"/>
        </w:rPr>
        <w:t>对系统的影响</w:t>
      </w:r>
    </w:p>
    <w:bookmarkEnd w:id="1"/>
    <w:bookmarkEnd w:id="2"/>
    <w:p w:rsidR="00D604FE" w:rsidRDefault="00D604FE" w:rsidP="00D604FE">
      <w:pPr>
        <w:spacing w:line="360" w:lineRule="auto"/>
        <w:ind w:firstLine="420"/>
        <w:jc w:val="center"/>
        <w:rPr>
          <w:rFonts w:asciiTheme="majorEastAsia" w:eastAsiaTheme="majorEastAsia" w:hAnsiTheme="majorEastAsia"/>
          <w:sz w:val="21"/>
          <w:szCs w:val="21"/>
        </w:rPr>
      </w:pPr>
      <w:r w:rsidRPr="0026484A">
        <w:rPr>
          <w:rFonts w:asciiTheme="majorEastAsia" w:eastAsiaTheme="majorEastAsia" w:hAnsiTheme="majorEastAsia"/>
          <w:noProof/>
          <w:sz w:val="21"/>
          <w:szCs w:val="21"/>
        </w:rPr>
        <w:drawing>
          <wp:inline distT="0" distB="0" distL="0" distR="0" wp14:anchorId="76255034" wp14:editId="1082E0CA">
            <wp:extent cx="2160000" cy="155229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2160000" cy="1552293"/>
                    </a:xfrm>
                    <a:prstGeom prst="rect">
                      <a:avLst/>
                    </a:prstGeom>
                  </pic:spPr>
                </pic:pic>
              </a:graphicData>
            </a:graphic>
          </wp:inline>
        </w:drawing>
      </w:r>
      <w:r w:rsidRPr="0026484A">
        <w:rPr>
          <w:rFonts w:asciiTheme="majorEastAsia" w:eastAsiaTheme="majorEastAsia" w:hAnsiTheme="majorEastAsia"/>
          <w:noProof/>
          <w:sz w:val="21"/>
          <w:szCs w:val="21"/>
        </w:rPr>
        <w:drawing>
          <wp:inline distT="0" distB="0" distL="0" distR="0" wp14:anchorId="07F66FA4" wp14:editId="14259A48">
            <wp:extent cx="2160000" cy="1569088"/>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2160000" cy="1569088"/>
                    </a:xfrm>
                    <a:prstGeom prst="rect">
                      <a:avLst/>
                    </a:prstGeom>
                  </pic:spPr>
                </pic:pic>
              </a:graphicData>
            </a:graphic>
          </wp:inline>
        </w:drawing>
      </w:r>
    </w:p>
    <w:p w:rsidR="00D604FE" w:rsidRDefault="00D604FE" w:rsidP="00D604FE">
      <w:pPr>
        <w:spacing w:line="360" w:lineRule="auto"/>
        <w:ind w:firstLine="420"/>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 相同弯曲半径不同弯曲长度下的气体吸收峰面积</w:t>
      </w:r>
    </w:p>
    <w:p w:rsidR="00D604FE" w:rsidRPr="0026484A" w:rsidRDefault="00D604FE" w:rsidP="00D604FE">
      <w:pPr>
        <w:spacing w:line="360" w:lineRule="auto"/>
        <w:ind w:firstLine="420"/>
        <w:rPr>
          <w:rFonts w:asciiTheme="majorEastAsia" w:eastAsiaTheme="majorEastAsia" w:hAnsiTheme="majorEastAsia"/>
          <w:sz w:val="21"/>
          <w:szCs w:val="21"/>
        </w:rPr>
      </w:pPr>
      <w:r>
        <w:rPr>
          <w:rFonts w:asciiTheme="majorEastAsia" w:eastAsiaTheme="majorEastAsia" w:hAnsiTheme="majorEastAsia"/>
          <w:sz w:val="21"/>
          <w:szCs w:val="21"/>
        </w:rPr>
        <w:t xml:space="preserve">    灵敏度几乎相同，</w:t>
      </w:r>
      <w:r>
        <w:rPr>
          <w:rFonts w:asciiTheme="majorEastAsia" w:eastAsiaTheme="majorEastAsia" w:hAnsiTheme="majorEastAsia" w:hint="eastAsia"/>
          <w:sz w:val="21"/>
          <w:szCs w:val="21"/>
        </w:rPr>
        <w:t>而略有抬升，</w:t>
      </w:r>
      <w:r>
        <w:rPr>
          <w:rFonts w:asciiTheme="majorEastAsia" w:eastAsiaTheme="majorEastAsia" w:hAnsiTheme="majorEastAsia"/>
          <w:sz w:val="21"/>
          <w:szCs w:val="21"/>
        </w:rPr>
        <w:t>0ppm处基线增高。</w:t>
      </w:r>
    </w:p>
    <w:p w:rsidR="00D604FE" w:rsidRPr="006D64DD" w:rsidRDefault="00D604FE" w:rsidP="00D604FE">
      <w:pPr>
        <w:spacing w:line="360" w:lineRule="auto"/>
        <w:ind w:left="440" w:firstLine="420"/>
        <w:rPr>
          <w:rFonts w:asciiTheme="majorEastAsia" w:eastAsiaTheme="majorEastAsia" w:hAnsiTheme="majorEastAsia"/>
          <w:sz w:val="21"/>
          <w:szCs w:val="21"/>
        </w:rPr>
      </w:pPr>
    </w:p>
    <w:p w:rsidR="00D604FE" w:rsidRPr="000B78F0" w:rsidRDefault="00D604FE" w:rsidP="00D604FE">
      <w:pPr>
        <w:spacing w:line="360" w:lineRule="auto"/>
        <w:ind w:firstLine="422"/>
        <w:rPr>
          <w:rFonts w:asciiTheme="majorEastAsia" w:eastAsiaTheme="majorEastAsia" w:hAnsiTheme="majorEastAsia"/>
          <w:b/>
          <w:sz w:val="21"/>
          <w:szCs w:val="21"/>
        </w:rPr>
      </w:pPr>
      <w:bookmarkStart w:id="3" w:name="OLE_LINK26"/>
      <w:bookmarkStart w:id="4" w:name="OLE_LINK27"/>
      <w:r>
        <w:rPr>
          <w:rFonts w:asciiTheme="majorEastAsia" w:eastAsiaTheme="majorEastAsia" w:hAnsiTheme="majorEastAsia" w:hint="eastAsia"/>
          <w:b/>
          <w:sz w:val="21"/>
          <w:szCs w:val="21"/>
        </w:rPr>
        <w:t>4.3</w:t>
      </w:r>
      <w:r w:rsidRPr="000B78F0">
        <w:rPr>
          <w:rFonts w:asciiTheme="majorEastAsia" w:eastAsiaTheme="majorEastAsia" w:hAnsiTheme="majorEastAsia"/>
          <w:b/>
          <w:sz w:val="21"/>
          <w:szCs w:val="21"/>
        </w:rPr>
        <w:t xml:space="preserve"> </w:t>
      </w:r>
      <w:r>
        <w:rPr>
          <w:rFonts w:asciiTheme="majorEastAsia" w:eastAsiaTheme="majorEastAsia" w:hAnsiTheme="majorEastAsia" w:hint="eastAsia"/>
          <w:b/>
          <w:sz w:val="21"/>
          <w:szCs w:val="21"/>
        </w:rPr>
        <w:t>信噪比</w:t>
      </w:r>
      <w:r w:rsidRPr="000B78F0">
        <w:rPr>
          <w:rFonts w:asciiTheme="majorEastAsia" w:eastAsiaTheme="majorEastAsia" w:hAnsiTheme="majorEastAsia"/>
          <w:b/>
          <w:sz w:val="21"/>
          <w:szCs w:val="21"/>
        </w:rPr>
        <w:t>对系统的影响</w:t>
      </w:r>
    </w:p>
    <w:bookmarkEnd w:id="3"/>
    <w:bookmarkEnd w:id="4"/>
    <w:p w:rsidR="00D604FE" w:rsidRDefault="00D604FE" w:rsidP="00D604FE">
      <w:pPr>
        <w:spacing w:line="360" w:lineRule="auto"/>
        <w:ind w:firstLine="420"/>
        <w:jc w:val="center"/>
        <w:rPr>
          <w:rFonts w:asciiTheme="majorEastAsia" w:eastAsiaTheme="majorEastAsia" w:hAnsiTheme="majorEastAsia"/>
          <w:sz w:val="21"/>
          <w:szCs w:val="21"/>
        </w:rPr>
      </w:pPr>
      <w:r w:rsidRPr="0026484A">
        <w:rPr>
          <w:rFonts w:asciiTheme="majorEastAsia" w:eastAsiaTheme="majorEastAsia" w:hAnsiTheme="majorEastAsia"/>
          <w:noProof/>
          <w:sz w:val="21"/>
          <w:szCs w:val="21"/>
        </w:rPr>
        <w:drawing>
          <wp:inline distT="0" distB="0" distL="0" distR="0" wp14:anchorId="019C7C60" wp14:editId="6B5C1589">
            <wp:extent cx="2160000" cy="1552294"/>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2160000" cy="1552294"/>
                    </a:xfrm>
                    <a:prstGeom prst="rect">
                      <a:avLst/>
                    </a:prstGeom>
                  </pic:spPr>
                </pic:pic>
              </a:graphicData>
            </a:graphic>
          </wp:inline>
        </w:drawing>
      </w:r>
      <w:r w:rsidRPr="0026484A">
        <w:rPr>
          <w:rFonts w:asciiTheme="majorEastAsia" w:eastAsiaTheme="majorEastAsia" w:hAnsiTheme="majorEastAsia"/>
          <w:noProof/>
          <w:sz w:val="21"/>
          <w:szCs w:val="21"/>
        </w:rPr>
        <w:drawing>
          <wp:inline distT="0" distB="0" distL="0" distR="0" wp14:anchorId="46B31E7C" wp14:editId="60A547D9">
            <wp:extent cx="2160000" cy="1563067"/>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2160000" cy="1563067"/>
                    </a:xfrm>
                    <a:prstGeom prst="rect">
                      <a:avLst/>
                    </a:prstGeom>
                  </pic:spPr>
                </pic:pic>
              </a:graphicData>
            </a:graphic>
          </wp:inline>
        </w:drawing>
      </w:r>
    </w:p>
    <w:p w:rsidR="00D604FE" w:rsidRDefault="00D604FE" w:rsidP="00D604FE">
      <w:pPr>
        <w:spacing w:line="360" w:lineRule="auto"/>
        <w:ind w:firstLine="420"/>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 不同信噪比下的气体吸收峰面积</w:t>
      </w:r>
    </w:p>
    <w:p w:rsidR="00D604FE" w:rsidRPr="00035D76" w:rsidRDefault="00D604FE" w:rsidP="00D604FE">
      <w:pPr>
        <w:pStyle w:val="a5"/>
        <w:spacing w:line="360" w:lineRule="auto"/>
        <w:ind w:left="360"/>
        <w:rPr>
          <w:rFonts w:asciiTheme="majorEastAsia" w:eastAsiaTheme="majorEastAsia" w:hAnsiTheme="majorEastAsia"/>
          <w:sz w:val="21"/>
          <w:szCs w:val="21"/>
        </w:rPr>
      </w:pPr>
      <w:r w:rsidRPr="006D64DD">
        <w:rPr>
          <w:rFonts w:asciiTheme="majorEastAsia" w:eastAsiaTheme="majorEastAsia" w:hAnsiTheme="majorEastAsia" w:hint="eastAsia"/>
          <w:sz w:val="21"/>
          <w:szCs w:val="21"/>
        </w:rPr>
        <w:t>通过降低耦合效率实现系统信噪比的降低，系统整体特性降低。</w:t>
      </w:r>
    </w:p>
    <w:p w:rsidR="00D604FE" w:rsidRDefault="00D604FE" w:rsidP="00D604FE">
      <w:pPr>
        <w:spacing w:line="360" w:lineRule="auto"/>
        <w:ind w:firstLine="420"/>
        <w:rPr>
          <w:rFonts w:asciiTheme="majorEastAsia" w:eastAsiaTheme="majorEastAsia" w:hAnsiTheme="majorEastAsia"/>
          <w:sz w:val="21"/>
          <w:szCs w:val="21"/>
        </w:rPr>
      </w:pPr>
      <w:r>
        <w:rPr>
          <w:rFonts w:asciiTheme="majorEastAsia" w:eastAsiaTheme="majorEastAsia" w:hAnsiTheme="majorEastAsia"/>
          <w:sz w:val="21"/>
          <w:szCs w:val="21"/>
        </w:rPr>
        <w:t>信噪比越差，</w:t>
      </w:r>
      <w:r>
        <w:rPr>
          <w:rFonts w:asciiTheme="majorEastAsia" w:eastAsiaTheme="majorEastAsia" w:hAnsiTheme="majorEastAsia" w:hint="eastAsia"/>
          <w:sz w:val="21"/>
          <w:szCs w:val="21"/>
        </w:rPr>
        <w:t>线性度越差。</w:t>
      </w:r>
    </w:p>
    <w:p w:rsidR="00D604FE" w:rsidRPr="000B78F0" w:rsidRDefault="00D604FE" w:rsidP="00D604FE">
      <w:pPr>
        <w:spacing w:line="360" w:lineRule="auto"/>
        <w:ind w:firstLine="422"/>
        <w:rPr>
          <w:rFonts w:asciiTheme="majorEastAsia" w:eastAsiaTheme="majorEastAsia" w:hAnsiTheme="majorEastAsia"/>
          <w:b/>
          <w:sz w:val="21"/>
          <w:szCs w:val="21"/>
        </w:rPr>
      </w:pPr>
      <w:r>
        <w:rPr>
          <w:rFonts w:asciiTheme="majorEastAsia" w:eastAsiaTheme="majorEastAsia" w:hAnsiTheme="majorEastAsia" w:hint="eastAsia"/>
          <w:b/>
          <w:sz w:val="21"/>
          <w:szCs w:val="21"/>
        </w:rPr>
        <w:t>4.3</w:t>
      </w:r>
      <w:r w:rsidRPr="000B78F0">
        <w:rPr>
          <w:rFonts w:asciiTheme="majorEastAsia" w:eastAsiaTheme="majorEastAsia" w:hAnsiTheme="majorEastAsia"/>
          <w:b/>
          <w:sz w:val="21"/>
          <w:szCs w:val="21"/>
        </w:rPr>
        <w:t xml:space="preserve"> </w:t>
      </w:r>
      <w:r>
        <w:rPr>
          <w:rFonts w:asciiTheme="majorEastAsia" w:eastAsiaTheme="majorEastAsia" w:hAnsiTheme="majorEastAsia" w:hint="eastAsia"/>
          <w:b/>
          <w:sz w:val="21"/>
          <w:szCs w:val="21"/>
        </w:rPr>
        <w:t>弯曲模式</w:t>
      </w:r>
      <w:r w:rsidRPr="000B78F0">
        <w:rPr>
          <w:rFonts w:asciiTheme="majorEastAsia" w:eastAsiaTheme="majorEastAsia" w:hAnsiTheme="majorEastAsia"/>
          <w:b/>
          <w:sz w:val="21"/>
          <w:szCs w:val="21"/>
        </w:rPr>
        <w:t>对系统的影响</w:t>
      </w:r>
      <w:r>
        <w:rPr>
          <w:rFonts w:asciiTheme="majorEastAsia" w:eastAsiaTheme="majorEastAsia" w:hAnsiTheme="majorEastAsia" w:hint="eastAsia"/>
          <w:b/>
          <w:sz w:val="21"/>
          <w:szCs w:val="21"/>
        </w:rPr>
        <w:t>*</w:t>
      </w:r>
    </w:p>
    <w:p w:rsidR="00D604FE" w:rsidRDefault="00D604FE" w:rsidP="00D604FE">
      <w:pPr>
        <w:spacing w:line="360" w:lineRule="auto"/>
        <w:ind w:firstLine="420"/>
        <w:jc w:val="center"/>
        <w:rPr>
          <w:rFonts w:asciiTheme="majorEastAsia" w:eastAsiaTheme="majorEastAsia" w:hAnsiTheme="majorEastAsia"/>
          <w:sz w:val="21"/>
          <w:szCs w:val="21"/>
        </w:rPr>
      </w:pPr>
      <w:r w:rsidRPr="00035D76">
        <w:rPr>
          <w:rFonts w:asciiTheme="majorEastAsia" w:eastAsiaTheme="majorEastAsia" w:hAnsiTheme="majorEastAsia"/>
          <w:noProof/>
          <w:sz w:val="21"/>
          <w:szCs w:val="21"/>
        </w:rPr>
        <w:drawing>
          <wp:inline distT="0" distB="0" distL="0" distR="0" wp14:anchorId="3FC230A4" wp14:editId="17D0D122">
            <wp:extent cx="2160000" cy="1552337"/>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2160000" cy="1552337"/>
                    </a:xfrm>
                    <a:prstGeom prst="rect">
                      <a:avLst/>
                    </a:prstGeom>
                  </pic:spPr>
                </pic:pic>
              </a:graphicData>
            </a:graphic>
          </wp:inline>
        </w:drawing>
      </w:r>
    </w:p>
    <w:p w:rsidR="00D604FE" w:rsidRDefault="00D604FE" w:rsidP="00D604FE">
      <w:pPr>
        <w:spacing w:line="360" w:lineRule="auto"/>
        <w:ind w:firstLine="420"/>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w:t>
      </w:r>
    </w:p>
    <w:p w:rsidR="00D604FE" w:rsidRDefault="00D604FE" w:rsidP="00D604FE">
      <w:pPr>
        <w:spacing w:line="360" w:lineRule="auto"/>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实际情况中，光纤如果没有</w:t>
      </w:r>
      <w:proofErr w:type="gramStart"/>
      <w:r>
        <w:rPr>
          <w:rFonts w:asciiTheme="majorEastAsia" w:eastAsiaTheme="majorEastAsia" w:hAnsiTheme="majorEastAsia" w:hint="eastAsia"/>
          <w:sz w:val="21"/>
          <w:szCs w:val="21"/>
        </w:rPr>
        <w:t>正确被</w:t>
      </w:r>
      <w:proofErr w:type="gramEnd"/>
      <w:r>
        <w:rPr>
          <w:rFonts w:asciiTheme="majorEastAsia" w:eastAsiaTheme="majorEastAsia" w:hAnsiTheme="majorEastAsia" w:hint="eastAsia"/>
          <w:sz w:val="21"/>
          <w:szCs w:val="21"/>
        </w:rPr>
        <w:t>放置，会导致其弯曲模型并非完整的圆形。实验中我们考虑了两种情况：</w:t>
      </w:r>
    </w:p>
    <w:p w:rsidR="00D604FE" w:rsidRDefault="00D604FE" w:rsidP="00D604FE">
      <w:pPr>
        <w:spacing w:line="360" w:lineRule="auto"/>
        <w:ind w:firstLine="420"/>
        <w:rPr>
          <w:rFonts w:asciiTheme="majorEastAsia" w:eastAsiaTheme="majorEastAsia" w:hAnsiTheme="majorEastAsia"/>
          <w:sz w:val="21"/>
          <w:szCs w:val="21"/>
        </w:rPr>
      </w:pPr>
      <w:r>
        <w:rPr>
          <w:rFonts w:asciiTheme="majorEastAsia" w:eastAsiaTheme="majorEastAsia" w:hAnsiTheme="majorEastAsia"/>
          <w:sz w:val="21"/>
          <w:szCs w:val="21"/>
        </w:rPr>
        <w:t>1. 弯曲</w:t>
      </w:r>
    </w:p>
    <w:p w:rsidR="00D604FE" w:rsidRPr="00035D76" w:rsidRDefault="00D604FE" w:rsidP="00D604FE">
      <w:pPr>
        <w:spacing w:line="360" w:lineRule="auto"/>
        <w:ind w:firstLineChars="0" w:firstLine="0"/>
        <w:rPr>
          <w:rFonts w:asciiTheme="majorEastAsia" w:eastAsiaTheme="majorEastAsia" w:hAnsiTheme="majorEastAsia"/>
          <w:sz w:val="21"/>
          <w:szCs w:val="21"/>
        </w:rPr>
      </w:pPr>
      <w:r>
        <w:rPr>
          <w:rFonts w:asciiTheme="majorEastAsia" w:eastAsiaTheme="majorEastAsia" w:hAnsiTheme="majorEastAsia"/>
          <w:noProof/>
          <w:sz w:val="21"/>
          <w:szCs w:val="21"/>
        </w:rPr>
        <w:drawing>
          <wp:inline distT="0" distB="0" distL="0" distR="0" wp14:anchorId="40F3B8C1" wp14:editId="61038ED1">
            <wp:extent cx="5400000" cy="222792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2227920"/>
                    </a:xfrm>
                    <a:prstGeom prst="rect">
                      <a:avLst/>
                    </a:prstGeom>
                    <a:noFill/>
                  </pic:spPr>
                </pic:pic>
              </a:graphicData>
            </a:graphic>
          </wp:inline>
        </w:drawing>
      </w:r>
    </w:p>
    <w:p w:rsidR="008A266B" w:rsidRDefault="008A266B">
      <w:pPr>
        <w:spacing w:line="240" w:lineRule="auto"/>
        <w:ind w:firstLineChars="0" w:firstLine="0"/>
      </w:pPr>
      <w:r>
        <w:br w:type="page"/>
      </w:r>
    </w:p>
    <w:p w:rsidR="008A266B" w:rsidRPr="003C4B52" w:rsidRDefault="008A266B" w:rsidP="008A266B">
      <w:pPr>
        <w:spacing w:line="360" w:lineRule="auto"/>
        <w:ind w:firstLine="420"/>
        <w:rPr>
          <w:rFonts w:ascii="Times New Roman" w:eastAsiaTheme="majorEastAsia" w:hAnsi="Times New Roman" w:cs="Times New Roman"/>
          <w:sz w:val="21"/>
          <w:szCs w:val="21"/>
        </w:rPr>
      </w:pPr>
      <w:r w:rsidRPr="003C4B52">
        <w:rPr>
          <w:rFonts w:ascii="Times New Roman" w:eastAsiaTheme="majorEastAsia" w:hAnsi="Times New Roman" w:cs="Times New Roman"/>
          <w:sz w:val="21"/>
          <w:szCs w:val="21"/>
        </w:rPr>
        <w:t>图</w:t>
      </w:r>
      <w:r w:rsidRPr="003C4B52">
        <w:rPr>
          <w:rFonts w:ascii="Times New Roman" w:eastAsiaTheme="majorEastAsia" w:hAnsi="Times New Roman" w:cs="Times New Roman"/>
          <w:sz w:val="21"/>
          <w:szCs w:val="21"/>
        </w:rPr>
        <w:t>1.a</w:t>
      </w:r>
      <w:r w:rsidRPr="003C4B52">
        <w:rPr>
          <w:rFonts w:ascii="Times New Roman" w:eastAsiaTheme="majorEastAsia" w:hAnsi="Times New Roman" w:cs="Times New Roman"/>
          <w:sz w:val="21"/>
          <w:szCs w:val="21"/>
        </w:rPr>
        <w:t>为</w:t>
      </w:r>
      <w:r w:rsidRPr="003C4B52">
        <w:rPr>
          <w:rFonts w:ascii="Times New Roman" w:eastAsiaTheme="majorEastAsia" w:hAnsi="Times New Roman" w:cs="Times New Roman"/>
          <w:sz w:val="21"/>
          <w:szCs w:val="21"/>
        </w:rPr>
        <w:t>200ppm</w:t>
      </w:r>
      <w:r w:rsidRPr="003C4B52">
        <w:rPr>
          <w:rFonts w:ascii="Times New Roman" w:eastAsiaTheme="majorEastAsia" w:hAnsi="Times New Roman" w:cs="Times New Roman"/>
          <w:sz w:val="21"/>
          <w:szCs w:val="21"/>
        </w:rPr>
        <w:t>浓度甲烷，信噪比</w:t>
      </w:r>
      <w:r w:rsidRPr="003C4B52">
        <w:rPr>
          <w:rFonts w:ascii="Times New Roman" w:eastAsiaTheme="majorEastAsia" w:hAnsi="Times New Roman" w:cs="Times New Roman"/>
          <w:sz w:val="21"/>
          <w:szCs w:val="21"/>
        </w:rPr>
        <w:t>40</w:t>
      </w:r>
      <w:r w:rsidRPr="003C4B52">
        <w:rPr>
          <w:rFonts w:ascii="Times New Roman" w:eastAsiaTheme="majorEastAsia" w:hAnsi="Times New Roman" w:cs="Times New Roman"/>
          <w:sz w:val="21"/>
          <w:szCs w:val="21"/>
        </w:rPr>
        <w:t>的情况下，波导长度和弯曲半径与气体吸收强度关系的仿真结果。在弯曲半径固定的情况下，可以得到最佳波导长度使得气体吸收强度获得最大值。这是由于空芯光纤弯曲时，一方面会增加光在光纤内部的行走路径；另一方面又带来附加弯曲损耗。光的行走路径的增加使得气体对光的吸收更多，吸收峰增强；而弯曲损耗使得系统信噪比降低，能够达到接收端的信号能量减少。在这两方面的作用下寻找平衡点以获得最佳的波导长度。图</w:t>
      </w:r>
      <w:r w:rsidRPr="003C4B52">
        <w:rPr>
          <w:rFonts w:ascii="Times New Roman" w:eastAsiaTheme="majorEastAsia" w:hAnsi="Times New Roman" w:cs="Times New Roman"/>
          <w:sz w:val="21"/>
          <w:szCs w:val="21"/>
        </w:rPr>
        <w:t>1.b</w:t>
      </w:r>
      <w:r w:rsidRPr="003C4B52">
        <w:rPr>
          <w:rFonts w:ascii="Times New Roman" w:eastAsiaTheme="majorEastAsia" w:hAnsi="Times New Roman" w:cs="Times New Roman"/>
          <w:sz w:val="21"/>
          <w:szCs w:val="21"/>
        </w:rPr>
        <w:t>为波导长度</w:t>
      </w:r>
      <w:r w:rsidRPr="003C4B52">
        <w:rPr>
          <w:rFonts w:ascii="Times New Roman" w:eastAsiaTheme="majorEastAsia" w:hAnsi="Times New Roman" w:cs="Times New Roman"/>
          <w:sz w:val="21"/>
          <w:szCs w:val="21"/>
        </w:rPr>
        <w:t>1.5</w:t>
      </w:r>
      <w:r w:rsidRPr="003C4B52">
        <w:rPr>
          <w:rFonts w:ascii="Times New Roman" w:eastAsiaTheme="majorEastAsia" w:hAnsi="Times New Roman" w:cs="Times New Roman"/>
          <w:sz w:val="21"/>
          <w:szCs w:val="21"/>
        </w:rPr>
        <w:t>米，信噪比</w:t>
      </w:r>
      <w:r w:rsidRPr="003C4B52">
        <w:rPr>
          <w:rFonts w:ascii="Times New Roman" w:eastAsiaTheme="majorEastAsia" w:hAnsi="Times New Roman" w:cs="Times New Roman"/>
          <w:sz w:val="21"/>
          <w:szCs w:val="21"/>
        </w:rPr>
        <w:t>100</w:t>
      </w:r>
      <w:r w:rsidRPr="003C4B52">
        <w:rPr>
          <w:rFonts w:ascii="Times New Roman" w:eastAsiaTheme="majorEastAsia" w:hAnsi="Times New Roman" w:cs="Times New Roman"/>
          <w:sz w:val="21"/>
          <w:szCs w:val="21"/>
        </w:rPr>
        <w:t>的情况下弯曲半径和气体浓度与气体吸收强度关系的仿真结果。</w:t>
      </w:r>
    </w:p>
    <w:p w:rsidR="008A266B" w:rsidRDefault="008A266B" w:rsidP="008A266B">
      <w:pPr>
        <w:spacing w:line="360" w:lineRule="auto"/>
        <w:ind w:firstLine="420"/>
        <w:jc w:val="center"/>
        <w:rPr>
          <w:rFonts w:asciiTheme="majorEastAsia" w:eastAsiaTheme="majorEastAsia" w:hAnsiTheme="majorEastAsia"/>
          <w:sz w:val="21"/>
          <w:szCs w:val="21"/>
        </w:rPr>
      </w:pPr>
      <w:bookmarkStart w:id="5" w:name="OLE_LINK32"/>
      <w:bookmarkStart w:id="6" w:name="OLE_LINK33"/>
      <w:r>
        <w:rPr>
          <w:rFonts w:asciiTheme="majorEastAsia" w:eastAsiaTheme="majorEastAsia" w:hAnsiTheme="majorEastAsia"/>
          <w:noProof/>
          <w:sz w:val="21"/>
          <w:szCs w:val="21"/>
        </w:rPr>
        <w:drawing>
          <wp:inline distT="0" distB="0" distL="0" distR="0" wp14:anchorId="47F4B5A9" wp14:editId="11EA0038">
            <wp:extent cx="2484000" cy="1864611"/>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4000" cy="1864611"/>
                    </a:xfrm>
                    <a:prstGeom prst="rect">
                      <a:avLst/>
                    </a:prstGeom>
                    <a:noFill/>
                  </pic:spPr>
                </pic:pic>
              </a:graphicData>
            </a:graphic>
          </wp:inline>
        </w:drawing>
      </w:r>
      <w:r>
        <w:rPr>
          <w:rFonts w:asciiTheme="majorEastAsia" w:eastAsiaTheme="majorEastAsia" w:hAnsiTheme="majorEastAsia"/>
          <w:noProof/>
          <w:sz w:val="21"/>
          <w:szCs w:val="21"/>
        </w:rPr>
        <w:drawing>
          <wp:inline distT="0" distB="0" distL="0" distR="0" wp14:anchorId="5917266E" wp14:editId="682A2BBD">
            <wp:extent cx="2484000" cy="175801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4000" cy="1758016"/>
                    </a:xfrm>
                    <a:prstGeom prst="rect">
                      <a:avLst/>
                    </a:prstGeom>
                    <a:noFill/>
                  </pic:spPr>
                </pic:pic>
              </a:graphicData>
            </a:graphic>
          </wp:inline>
        </w:drawing>
      </w:r>
    </w:p>
    <w:p w:rsidR="008A266B" w:rsidRDefault="008A266B" w:rsidP="008A266B">
      <w:pPr>
        <w:spacing w:line="360" w:lineRule="auto"/>
        <w:ind w:firstLine="420"/>
        <w:jc w:val="center"/>
        <w:rPr>
          <w:rFonts w:asciiTheme="majorEastAsia" w:eastAsiaTheme="majorEastAsia" w:hAnsiTheme="majorEastAsia"/>
          <w:sz w:val="21"/>
          <w:szCs w:val="21"/>
        </w:rPr>
      </w:pPr>
      <w:r>
        <w:rPr>
          <w:rFonts w:asciiTheme="majorEastAsia" w:eastAsiaTheme="majorEastAsia" w:hAnsiTheme="majorEastAsia"/>
          <w:sz w:val="21"/>
          <w:szCs w:val="21"/>
        </w:rPr>
        <w:t>图</w:t>
      </w:r>
      <w:r>
        <w:rPr>
          <w:rFonts w:asciiTheme="majorEastAsia" w:eastAsiaTheme="majorEastAsia" w:hAnsiTheme="majorEastAsia" w:hint="eastAsia"/>
          <w:sz w:val="21"/>
          <w:szCs w:val="21"/>
        </w:rPr>
        <w:t>1</w:t>
      </w:r>
      <w:r>
        <w:rPr>
          <w:rFonts w:asciiTheme="majorEastAsia" w:eastAsiaTheme="majorEastAsia" w:hAnsiTheme="majorEastAsia"/>
          <w:sz w:val="21"/>
          <w:szCs w:val="21"/>
        </w:rPr>
        <w:t>.</w:t>
      </w:r>
      <w:r>
        <w:rPr>
          <w:rFonts w:asciiTheme="majorEastAsia" w:eastAsiaTheme="majorEastAsia" w:hAnsiTheme="majorEastAsia" w:hint="eastAsia"/>
          <w:sz w:val="21"/>
          <w:szCs w:val="21"/>
        </w:rPr>
        <w:t xml:space="preserve"> </w:t>
      </w:r>
      <w:r>
        <w:rPr>
          <w:rFonts w:asciiTheme="majorEastAsia" w:eastAsiaTheme="majorEastAsia" w:hAnsiTheme="majorEastAsia"/>
          <w:sz w:val="21"/>
          <w:szCs w:val="21"/>
        </w:rPr>
        <w:t>波导长度</w:t>
      </w:r>
      <w:r>
        <w:rPr>
          <w:rFonts w:asciiTheme="majorEastAsia" w:eastAsiaTheme="majorEastAsia" w:hAnsiTheme="majorEastAsia" w:hint="eastAsia"/>
          <w:sz w:val="21"/>
          <w:szCs w:val="21"/>
        </w:rPr>
        <w:t>、</w:t>
      </w:r>
      <w:r>
        <w:rPr>
          <w:rFonts w:asciiTheme="majorEastAsia" w:eastAsiaTheme="majorEastAsia" w:hAnsiTheme="majorEastAsia"/>
          <w:sz w:val="21"/>
          <w:szCs w:val="21"/>
        </w:rPr>
        <w:t>弯曲半径</w:t>
      </w:r>
      <w:r>
        <w:rPr>
          <w:rFonts w:asciiTheme="majorEastAsia" w:eastAsiaTheme="majorEastAsia" w:hAnsiTheme="majorEastAsia" w:hint="eastAsia"/>
          <w:sz w:val="21"/>
          <w:szCs w:val="21"/>
        </w:rPr>
        <w:t>、</w:t>
      </w:r>
      <w:r>
        <w:rPr>
          <w:rFonts w:asciiTheme="majorEastAsia" w:eastAsiaTheme="majorEastAsia" w:hAnsiTheme="majorEastAsia"/>
          <w:sz w:val="21"/>
          <w:szCs w:val="21"/>
        </w:rPr>
        <w:t>气体浓度与气体吸收强度关系图</w:t>
      </w:r>
      <w:r>
        <w:rPr>
          <w:rFonts w:asciiTheme="majorEastAsia" w:eastAsiaTheme="majorEastAsia" w:hAnsiTheme="majorEastAsia"/>
          <w:sz w:val="21"/>
          <w:szCs w:val="21"/>
        </w:rPr>
        <w:br/>
        <w:t>(</w:t>
      </w:r>
      <w:proofErr w:type="spellStart"/>
      <w:r>
        <w:rPr>
          <w:rFonts w:asciiTheme="majorEastAsia" w:eastAsiaTheme="majorEastAsia" w:hAnsiTheme="majorEastAsia"/>
          <w:sz w:val="21"/>
          <w:szCs w:val="21"/>
        </w:rPr>
        <w:t>a</w:t>
      </w:r>
      <w:r>
        <w:rPr>
          <w:rFonts w:asciiTheme="majorEastAsia" w:eastAsiaTheme="majorEastAsia" w:hAnsiTheme="majorEastAsia" w:hint="eastAsia"/>
          <w:sz w:val="21"/>
          <w:szCs w:val="21"/>
        </w:rPr>
        <w:t>:</w:t>
      </w:r>
      <w:r>
        <w:rPr>
          <w:rFonts w:asciiTheme="majorEastAsia" w:eastAsiaTheme="majorEastAsia" w:hAnsiTheme="majorEastAsia"/>
          <w:sz w:val="21"/>
          <w:szCs w:val="21"/>
        </w:rPr>
        <w:t>SNR</w:t>
      </w:r>
      <w:proofErr w:type="spellEnd"/>
      <w:r>
        <w:rPr>
          <w:rFonts w:asciiTheme="majorEastAsia" w:eastAsiaTheme="majorEastAsia" w:hAnsiTheme="majorEastAsia"/>
          <w:sz w:val="21"/>
          <w:szCs w:val="21"/>
        </w:rPr>
        <w:t>=40, C=200ppm;b:SNR=100, L=1.5m)</w:t>
      </w:r>
    </w:p>
    <w:p w:rsidR="008A266B" w:rsidRDefault="008A266B" w:rsidP="008A266B">
      <w:pPr>
        <w:spacing w:line="360" w:lineRule="auto"/>
        <w:ind w:firstLine="420"/>
        <w:rPr>
          <w:rFonts w:asciiTheme="majorEastAsia" w:eastAsiaTheme="majorEastAsia" w:hAnsiTheme="majorEastAsia"/>
          <w:sz w:val="21"/>
          <w:szCs w:val="21"/>
        </w:rPr>
      </w:pPr>
      <w:r w:rsidRPr="005C0897">
        <w:rPr>
          <w:rFonts w:asciiTheme="majorEastAsia" w:eastAsiaTheme="majorEastAsia" w:hAnsiTheme="majorEastAsia" w:hint="eastAsia"/>
          <w:sz w:val="21"/>
          <w:szCs w:val="21"/>
        </w:rPr>
        <w:t>对于气体传感系统，我们对表征系统的气体吸收强度</w:t>
      </w:r>
      <m:oMath>
        <m:sSub>
          <m:sSubPr>
            <m:ctrlPr>
              <w:rPr>
                <w:rFonts w:ascii="Cambria Math" w:eastAsiaTheme="majorEastAsia" w:hAnsi="Cambria Math"/>
                <w:i/>
                <w:sz w:val="21"/>
                <w:szCs w:val="21"/>
              </w:rPr>
            </m:ctrlPr>
          </m:sSubPr>
          <m:e>
            <m:r>
              <w:rPr>
                <w:rFonts w:ascii="Cambria Math" w:eastAsiaTheme="majorEastAsia" w:hAnsi="Cambria Math"/>
                <w:sz w:val="21"/>
                <w:szCs w:val="21"/>
              </w:rPr>
              <m:t>P</m:t>
            </m:r>
          </m:e>
          <m:sub>
            <m:r>
              <w:rPr>
                <w:rFonts w:ascii="Cambria Math" w:eastAsiaTheme="majorEastAsia" w:hAnsi="Cambria Math"/>
                <w:sz w:val="21"/>
                <w:szCs w:val="21"/>
              </w:rPr>
              <m:t>out</m:t>
            </m:r>
          </m:sub>
        </m:sSub>
      </m:oMath>
      <w:r w:rsidRPr="005C0897">
        <w:rPr>
          <w:rFonts w:asciiTheme="majorEastAsia" w:eastAsiaTheme="majorEastAsia" w:hAnsiTheme="majorEastAsia" w:hint="eastAsia"/>
          <w:sz w:val="21"/>
          <w:szCs w:val="21"/>
        </w:rPr>
        <w:t>求导得到系统灵敏度。在理想条件下，根据朗伯-比尔定律气体吸收强度</w:t>
      </w:r>
      <w:r>
        <w:rPr>
          <w:rFonts w:asciiTheme="majorEastAsia" w:eastAsiaTheme="majorEastAsia" w:hAnsiTheme="majorEastAsia" w:hint="eastAsia"/>
          <w:sz w:val="21"/>
          <w:szCs w:val="21"/>
        </w:rPr>
        <w:t>与气体浓度呈线性关系。即对于某一传感系统，其灵敏度为固定常数。然而在实际情况中，由于上述各类因素的存在，气体吸收曲线会呈现出非线性的趋势，见图2。</w:t>
      </w:r>
    </w:p>
    <w:p w:rsidR="008A266B" w:rsidRDefault="008A266B" w:rsidP="008A266B">
      <w:pPr>
        <w:spacing w:line="360" w:lineRule="auto"/>
        <w:ind w:firstLine="420"/>
        <w:jc w:val="center"/>
        <w:rPr>
          <w:rFonts w:asciiTheme="majorEastAsia" w:eastAsiaTheme="majorEastAsia" w:hAnsiTheme="majorEastAsia"/>
          <w:sz w:val="21"/>
          <w:szCs w:val="21"/>
        </w:rPr>
      </w:pPr>
      <w:r w:rsidRPr="00524772">
        <w:rPr>
          <w:rFonts w:asciiTheme="majorEastAsia" w:eastAsiaTheme="majorEastAsia" w:hAnsiTheme="majorEastAsia"/>
          <w:noProof/>
          <w:sz w:val="21"/>
          <w:szCs w:val="21"/>
        </w:rPr>
        <w:drawing>
          <wp:inline distT="0" distB="0" distL="0" distR="0" wp14:anchorId="34DCF370" wp14:editId="1B73DA3E">
            <wp:extent cx="2520000" cy="18574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1857423"/>
                    </a:xfrm>
                    <a:prstGeom prst="rect">
                      <a:avLst/>
                    </a:prstGeom>
                    <a:noFill/>
                    <a:ln>
                      <a:noFill/>
                    </a:ln>
                  </pic:spPr>
                </pic:pic>
              </a:graphicData>
            </a:graphic>
          </wp:inline>
        </w:drawing>
      </w:r>
    </w:p>
    <w:p w:rsidR="008A266B" w:rsidRPr="007166A8" w:rsidRDefault="008A266B" w:rsidP="008A266B">
      <w:pPr>
        <w:spacing w:line="360" w:lineRule="auto"/>
        <w:ind w:firstLine="420"/>
        <w:jc w:val="center"/>
        <w:rPr>
          <w:rFonts w:asciiTheme="majorEastAsia" w:eastAsiaTheme="majorEastAsia" w:hAnsiTheme="majorEastAsia"/>
          <w:sz w:val="21"/>
          <w:szCs w:val="21"/>
        </w:rPr>
      </w:pPr>
      <w:r>
        <w:rPr>
          <w:rFonts w:asciiTheme="majorEastAsia" w:eastAsiaTheme="majorEastAsia" w:hAnsiTheme="majorEastAsia"/>
          <w:sz w:val="21"/>
          <w:szCs w:val="21"/>
        </w:rPr>
        <w:t>图</w:t>
      </w:r>
      <w:r>
        <w:rPr>
          <w:rFonts w:asciiTheme="majorEastAsia" w:eastAsiaTheme="majorEastAsia" w:hAnsiTheme="majorEastAsia" w:hint="eastAsia"/>
          <w:sz w:val="21"/>
          <w:szCs w:val="21"/>
        </w:rPr>
        <w:t>2. 气体吸收曲线的非线性饱和（*圆</w:t>
      </w:r>
      <w:r>
        <w:rPr>
          <w:rFonts w:asciiTheme="majorEastAsia" w:eastAsiaTheme="majorEastAsia" w:hAnsiTheme="majorEastAsia"/>
          <w:sz w:val="21"/>
          <w:szCs w:val="21"/>
        </w:rPr>
        <w:t>点为实测数据</w:t>
      </w:r>
      <w:r>
        <w:rPr>
          <w:rFonts w:asciiTheme="majorEastAsia" w:eastAsiaTheme="majorEastAsia" w:hAnsiTheme="majorEastAsia" w:hint="eastAsia"/>
          <w:sz w:val="21"/>
          <w:szCs w:val="21"/>
        </w:rPr>
        <w:t>）</w:t>
      </w:r>
    </w:p>
    <w:p w:rsidR="008A266B" w:rsidRPr="009F200F" w:rsidRDefault="008A266B" w:rsidP="008A266B">
      <w:pPr>
        <w:spacing w:line="360" w:lineRule="auto"/>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由上图我们可以看出，低浓度区域的线性度很好，但随着浓度的增加灵敏度逐渐降低。这是因为尽管气体吸收峰在不断增大，但系统信噪比使得可检测出的吸收峰趋近饱和。后文中比较系统性能时所提到的灵敏度，皆指代低浓度区域符合线性变化时的吸收曲线斜率。</w:t>
      </w:r>
    </w:p>
    <w:p w:rsidR="008A266B" w:rsidRPr="00CF624C" w:rsidRDefault="008A266B" w:rsidP="008A266B">
      <w:pPr>
        <w:spacing w:line="360" w:lineRule="auto"/>
        <w:ind w:firstLine="420"/>
        <w:rPr>
          <w:rFonts w:asciiTheme="majorEastAsia" w:eastAsiaTheme="majorEastAsia" w:hAnsiTheme="majorEastAsia"/>
          <w:sz w:val="21"/>
          <w:szCs w:val="21"/>
        </w:rPr>
      </w:pPr>
      <w:bookmarkStart w:id="7" w:name="OLE_LINK15"/>
      <w:bookmarkStart w:id="8" w:name="OLE_LINK16"/>
      <w:bookmarkEnd w:id="5"/>
      <w:bookmarkEnd w:id="6"/>
      <w:r>
        <w:rPr>
          <w:rFonts w:asciiTheme="majorEastAsia" w:eastAsiaTheme="majorEastAsia" w:hAnsiTheme="majorEastAsia"/>
          <w:sz w:val="21"/>
          <w:szCs w:val="21"/>
        </w:rPr>
        <w:t>实验结果表明</w:t>
      </w:r>
      <w:r>
        <w:rPr>
          <w:rFonts w:asciiTheme="majorEastAsia" w:eastAsiaTheme="majorEastAsia" w:hAnsiTheme="majorEastAsia" w:hint="eastAsia"/>
          <w:sz w:val="21"/>
          <w:szCs w:val="21"/>
        </w:rPr>
        <w:t>，</w:t>
      </w:r>
      <w:r>
        <w:rPr>
          <w:rFonts w:asciiTheme="majorEastAsia" w:eastAsiaTheme="majorEastAsia" w:hAnsiTheme="majorEastAsia"/>
          <w:sz w:val="21"/>
          <w:szCs w:val="21"/>
        </w:rPr>
        <w:t>该系统能够有效的对甲烷气体浓度进行检测</w:t>
      </w:r>
      <w:r>
        <w:rPr>
          <w:rFonts w:asciiTheme="majorEastAsia" w:eastAsiaTheme="majorEastAsia" w:hAnsiTheme="majorEastAsia" w:hint="eastAsia"/>
          <w:sz w:val="21"/>
          <w:szCs w:val="21"/>
        </w:rPr>
        <w:t>，</w:t>
      </w:r>
      <w:r>
        <w:rPr>
          <w:rFonts w:asciiTheme="majorEastAsia" w:eastAsiaTheme="majorEastAsia" w:hAnsiTheme="majorEastAsia"/>
          <w:sz w:val="21"/>
          <w:szCs w:val="21"/>
        </w:rPr>
        <w:t>见图</w:t>
      </w:r>
      <w:r>
        <w:rPr>
          <w:rFonts w:asciiTheme="majorEastAsia" w:eastAsiaTheme="majorEastAsia" w:hAnsiTheme="majorEastAsia" w:hint="eastAsia"/>
          <w:sz w:val="21"/>
          <w:szCs w:val="21"/>
        </w:rPr>
        <w:t>3。由图3.c可知，甲烷吸收峰的主峰在3.33µ</w:t>
      </w:r>
      <w:r>
        <w:rPr>
          <w:rFonts w:asciiTheme="majorEastAsia" w:eastAsiaTheme="majorEastAsia" w:hAnsiTheme="majorEastAsia"/>
          <w:sz w:val="21"/>
          <w:szCs w:val="21"/>
        </w:rPr>
        <w:t>m左右</w:t>
      </w:r>
      <w:r>
        <w:rPr>
          <w:rFonts w:asciiTheme="majorEastAsia" w:eastAsiaTheme="majorEastAsia" w:hAnsiTheme="majorEastAsia" w:hint="eastAsia"/>
          <w:sz w:val="21"/>
          <w:szCs w:val="21"/>
        </w:rPr>
        <w:t>，</w:t>
      </w:r>
      <w:r>
        <w:rPr>
          <w:rFonts w:asciiTheme="majorEastAsia" w:eastAsiaTheme="majorEastAsia" w:hAnsiTheme="majorEastAsia"/>
          <w:sz w:val="21"/>
          <w:szCs w:val="21"/>
        </w:rPr>
        <w:t>而旁瓣则占据了</w:t>
      </w:r>
      <w:r>
        <w:rPr>
          <w:rFonts w:asciiTheme="majorEastAsia" w:eastAsiaTheme="majorEastAsia" w:hAnsiTheme="majorEastAsia" w:hint="eastAsia"/>
          <w:sz w:val="21"/>
          <w:szCs w:val="21"/>
        </w:rPr>
        <w:t>3.15µ</w:t>
      </w:r>
      <w:r>
        <w:rPr>
          <w:rFonts w:asciiTheme="majorEastAsia" w:eastAsiaTheme="majorEastAsia" w:hAnsiTheme="majorEastAsia"/>
          <w:sz w:val="21"/>
          <w:szCs w:val="21"/>
        </w:rPr>
        <w:t>m至</w:t>
      </w:r>
      <w:r>
        <w:rPr>
          <w:rFonts w:asciiTheme="majorEastAsia" w:eastAsiaTheme="majorEastAsia" w:hAnsiTheme="majorEastAsia" w:hint="eastAsia"/>
          <w:sz w:val="21"/>
          <w:szCs w:val="21"/>
        </w:rPr>
        <w:t>3.5µ</w:t>
      </w:r>
      <w:r>
        <w:rPr>
          <w:rFonts w:asciiTheme="majorEastAsia" w:eastAsiaTheme="majorEastAsia" w:hAnsiTheme="majorEastAsia"/>
          <w:sz w:val="21"/>
          <w:szCs w:val="21"/>
        </w:rPr>
        <w:t>m的波段</w:t>
      </w:r>
      <w:r>
        <w:rPr>
          <w:rFonts w:asciiTheme="majorEastAsia" w:eastAsiaTheme="majorEastAsia" w:hAnsiTheme="majorEastAsia" w:hint="eastAsia"/>
          <w:sz w:val="21"/>
          <w:szCs w:val="21"/>
        </w:rPr>
        <w:t>。</w:t>
      </w:r>
      <w:r>
        <w:rPr>
          <w:rFonts w:asciiTheme="majorEastAsia" w:eastAsiaTheme="majorEastAsia" w:hAnsiTheme="majorEastAsia"/>
          <w:sz w:val="21"/>
          <w:szCs w:val="21"/>
        </w:rPr>
        <w:t>气体浓度越强</w:t>
      </w:r>
      <w:r>
        <w:rPr>
          <w:rFonts w:asciiTheme="majorEastAsia" w:eastAsiaTheme="majorEastAsia" w:hAnsiTheme="majorEastAsia" w:hint="eastAsia"/>
          <w:sz w:val="21"/>
          <w:szCs w:val="21"/>
        </w:rPr>
        <w:t>，</w:t>
      </w:r>
      <w:r>
        <w:rPr>
          <w:rFonts w:asciiTheme="majorEastAsia" w:eastAsiaTheme="majorEastAsia" w:hAnsiTheme="majorEastAsia"/>
          <w:sz w:val="21"/>
          <w:szCs w:val="21"/>
        </w:rPr>
        <w:t>主峰增加趋势降低</w:t>
      </w:r>
      <w:r>
        <w:rPr>
          <w:rFonts w:asciiTheme="majorEastAsia" w:eastAsiaTheme="majorEastAsia" w:hAnsiTheme="majorEastAsia" w:hint="eastAsia"/>
          <w:sz w:val="21"/>
          <w:szCs w:val="21"/>
        </w:rPr>
        <w:t>，</w:t>
      </w:r>
      <w:r>
        <w:rPr>
          <w:rFonts w:asciiTheme="majorEastAsia" w:eastAsiaTheme="majorEastAsia" w:hAnsiTheme="majorEastAsia"/>
          <w:sz w:val="21"/>
          <w:szCs w:val="21"/>
        </w:rPr>
        <w:t>但旁瓣逐渐明显并增高</w:t>
      </w:r>
      <w:r>
        <w:rPr>
          <w:rFonts w:asciiTheme="majorEastAsia" w:eastAsiaTheme="majorEastAsia" w:hAnsiTheme="majorEastAsia" w:hint="eastAsia"/>
          <w:sz w:val="21"/>
          <w:szCs w:val="21"/>
        </w:rPr>
        <w:t>。</w:t>
      </w:r>
      <w:r>
        <w:rPr>
          <w:rFonts w:asciiTheme="majorEastAsia" w:eastAsiaTheme="majorEastAsia" w:hAnsiTheme="majorEastAsia"/>
          <w:sz w:val="21"/>
          <w:szCs w:val="21"/>
        </w:rPr>
        <w:t>在计算峰值时</w:t>
      </w:r>
      <w:r>
        <w:rPr>
          <w:rFonts w:asciiTheme="majorEastAsia" w:eastAsiaTheme="majorEastAsia" w:hAnsiTheme="majorEastAsia" w:hint="eastAsia"/>
          <w:sz w:val="21"/>
          <w:szCs w:val="21"/>
        </w:rPr>
        <w:t>，</w:t>
      </w:r>
      <w:r>
        <w:rPr>
          <w:rFonts w:asciiTheme="majorEastAsia" w:eastAsiaTheme="majorEastAsia" w:hAnsiTheme="majorEastAsia"/>
          <w:sz w:val="21"/>
          <w:szCs w:val="21"/>
        </w:rPr>
        <w:t>笔者比较了最大值</w:t>
      </w:r>
      <w:r>
        <w:rPr>
          <w:rFonts w:asciiTheme="majorEastAsia" w:eastAsiaTheme="majorEastAsia" w:hAnsiTheme="majorEastAsia" w:hint="eastAsia"/>
          <w:sz w:val="21"/>
          <w:szCs w:val="21"/>
        </w:rPr>
        <w:t>(吸收峰顶端数值)、主峰面积、主峰加旁瓣面积三种计量方式。在信噪比较差的情况下，由于基线不稳定，旁瓣很容易淹没在噪声中，因此通过计量吸收峰的最大值来表征吸收是更优并且更简便的方案。当信噪比情况良好时，若检测浓度较低则不需要考虑旁瓣影响，反之则将旁瓣波段起伏计入吸收峰面积。本文中，为了保证数据的可比性，全都采用了3.15µ</w:t>
      </w:r>
      <w:r>
        <w:rPr>
          <w:rFonts w:asciiTheme="majorEastAsia" w:eastAsiaTheme="majorEastAsia" w:hAnsiTheme="majorEastAsia"/>
          <w:sz w:val="21"/>
          <w:szCs w:val="21"/>
        </w:rPr>
        <w:t>m至3.5</w:t>
      </w:r>
      <w:r>
        <w:rPr>
          <w:rFonts w:asciiTheme="majorEastAsia" w:eastAsiaTheme="majorEastAsia" w:hAnsiTheme="majorEastAsia" w:hint="eastAsia"/>
          <w:sz w:val="21"/>
          <w:szCs w:val="21"/>
        </w:rPr>
        <w:t>µ</w:t>
      </w:r>
      <w:r>
        <w:rPr>
          <w:rFonts w:asciiTheme="majorEastAsia" w:eastAsiaTheme="majorEastAsia" w:hAnsiTheme="majorEastAsia"/>
          <w:sz w:val="21"/>
          <w:szCs w:val="21"/>
        </w:rPr>
        <w:t>m的吸收峰面积积分。</w:t>
      </w:r>
      <w:r>
        <w:rPr>
          <w:rFonts w:asciiTheme="majorEastAsia" w:eastAsiaTheme="majorEastAsia" w:hAnsiTheme="majorEastAsia" w:hint="eastAsia"/>
          <w:sz w:val="21"/>
          <w:szCs w:val="21"/>
        </w:rPr>
        <w:t>由图3.d</w:t>
      </w:r>
      <w:r>
        <w:rPr>
          <w:rFonts w:asciiTheme="majorEastAsia" w:eastAsiaTheme="majorEastAsia" w:hAnsiTheme="majorEastAsia"/>
          <w:sz w:val="21"/>
          <w:szCs w:val="21"/>
        </w:rPr>
        <w:t>可知</w:t>
      </w:r>
      <w:r>
        <w:rPr>
          <w:rFonts w:asciiTheme="majorEastAsia" w:eastAsiaTheme="majorEastAsia" w:hAnsiTheme="majorEastAsia" w:hint="eastAsia"/>
          <w:sz w:val="21"/>
          <w:szCs w:val="21"/>
        </w:rPr>
        <w:t>，甲烷在7.6µm处的</w:t>
      </w:r>
      <w:r>
        <w:rPr>
          <w:rFonts w:asciiTheme="majorEastAsia" w:eastAsiaTheme="majorEastAsia" w:hAnsiTheme="majorEastAsia"/>
          <w:sz w:val="21"/>
          <w:szCs w:val="21"/>
        </w:rPr>
        <w:t>吸收峰也可被清晰检测</w:t>
      </w:r>
      <w:r>
        <w:rPr>
          <w:rFonts w:asciiTheme="majorEastAsia" w:eastAsiaTheme="majorEastAsia" w:hAnsiTheme="majorEastAsia" w:hint="eastAsia"/>
          <w:sz w:val="21"/>
          <w:szCs w:val="21"/>
        </w:rPr>
        <w:t>。只要安排得当，该传感系统亦可应用于多气体检测。</w:t>
      </w:r>
    </w:p>
    <w:p w:rsidR="008A266B" w:rsidRDefault="008A266B" w:rsidP="008A266B">
      <w:pPr>
        <w:spacing w:line="360" w:lineRule="auto"/>
        <w:ind w:firstLine="420"/>
        <w:rPr>
          <w:rFonts w:asciiTheme="majorEastAsia" w:eastAsiaTheme="majorEastAsia" w:hAnsiTheme="majorEastAsia"/>
          <w:sz w:val="21"/>
          <w:szCs w:val="21"/>
        </w:rPr>
      </w:pPr>
      <w:r>
        <w:rPr>
          <w:rFonts w:asciiTheme="majorEastAsia" w:eastAsiaTheme="majorEastAsia" w:hAnsiTheme="majorEastAsia"/>
          <w:sz w:val="21"/>
          <w:szCs w:val="21"/>
        </w:rPr>
        <w:t>由于</w:t>
      </w:r>
      <w:r>
        <w:rPr>
          <w:rFonts w:asciiTheme="majorEastAsia" w:eastAsiaTheme="majorEastAsia" w:hAnsiTheme="majorEastAsia" w:hint="eastAsia"/>
          <w:sz w:val="21"/>
          <w:szCs w:val="21"/>
        </w:rPr>
        <w:t>配气仪在5000pp</w:t>
      </w:r>
      <w:r>
        <w:rPr>
          <w:rFonts w:asciiTheme="majorEastAsia" w:eastAsiaTheme="majorEastAsia" w:hAnsiTheme="majorEastAsia"/>
          <w:sz w:val="21"/>
          <w:szCs w:val="21"/>
        </w:rPr>
        <w:t>m</w:t>
      </w:r>
      <w:r>
        <w:rPr>
          <w:rFonts w:asciiTheme="majorEastAsia" w:eastAsiaTheme="majorEastAsia" w:hAnsiTheme="majorEastAsia" w:hint="eastAsia"/>
          <w:sz w:val="21"/>
          <w:szCs w:val="21"/>
        </w:rPr>
        <w:t>甲烷（氮气）及1000ml流量的情况下最低可配浓度为5</w:t>
      </w:r>
      <w:r>
        <w:rPr>
          <w:rFonts w:asciiTheme="majorEastAsia" w:eastAsiaTheme="majorEastAsia" w:hAnsiTheme="majorEastAsia"/>
          <w:sz w:val="21"/>
          <w:szCs w:val="21"/>
        </w:rPr>
        <w:t>0</w:t>
      </w:r>
      <w:r>
        <w:rPr>
          <w:rFonts w:asciiTheme="majorEastAsia" w:eastAsiaTheme="majorEastAsia" w:hAnsiTheme="majorEastAsia" w:hint="eastAsia"/>
          <w:sz w:val="21"/>
          <w:szCs w:val="21"/>
        </w:rPr>
        <w:t>ppm，所以我们通过噪声幅值与信号比来估计最低可测量极限。在弯曲半径为38c</w:t>
      </w:r>
      <w:r>
        <w:rPr>
          <w:rFonts w:asciiTheme="majorEastAsia" w:eastAsiaTheme="majorEastAsia" w:hAnsiTheme="majorEastAsia"/>
          <w:sz w:val="21"/>
          <w:szCs w:val="21"/>
        </w:rPr>
        <w:t>m</w:t>
      </w:r>
      <w:r>
        <w:rPr>
          <w:rFonts w:asciiTheme="majorEastAsia" w:eastAsiaTheme="majorEastAsia" w:hAnsiTheme="majorEastAsia" w:hint="eastAsia"/>
          <w:sz w:val="21"/>
          <w:szCs w:val="21"/>
        </w:rPr>
        <w:t>的情况下，吸收</w:t>
      </w:r>
      <w:proofErr w:type="gramStart"/>
      <w:r>
        <w:rPr>
          <w:rFonts w:asciiTheme="majorEastAsia" w:eastAsiaTheme="majorEastAsia" w:hAnsiTheme="majorEastAsia" w:hint="eastAsia"/>
          <w:sz w:val="21"/>
          <w:szCs w:val="21"/>
        </w:rPr>
        <w:t>峰区域</w:t>
      </w:r>
      <w:proofErr w:type="gramEnd"/>
      <w:r>
        <w:rPr>
          <w:rFonts w:asciiTheme="majorEastAsia" w:eastAsiaTheme="majorEastAsia" w:hAnsiTheme="majorEastAsia" w:hint="eastAsia"/>
          <w:sz w:val="21"/>
          <w:szCs w:val="21"/>
        </w:rPr>
        <w:t>基线抖动范围为0.16dB。以低浓度范围线性拟合曲线计算可知检测极限小于1ppm。</w:t>
      </w:r>
    </w:p>
    <w:p w:rsidR="00D604FE" w:rsidRPr="008A266B" w:rsidRDefault="00D604FE">
      <w:pPr>
        <w:ind w:firstLine="480"/>
        <w:rPr>
          <w:rFonts w:hint="eastAsia"/>
        </w:rPr>
      </w:pPr>
      <w:bookmarkStart w:id="9" w:name="_GoBack"/>
      <w:bookmarkEnd w:id="7"/>
      <w:bookmarkEnd w:id="8"/>
      <w:bookmarkEnd w:id="9"/>
    </w:p>
    <w:sectPr w:rsidR="00D604FE" w:rsidRPr="008A266B">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60F" w:rsidRDefault="00E7260F" w:rsidP="005A62C1">
      <w:pPr>
        <w:spacing w:line="240" w:lineRule="auto"/>
        <w:ind w:firstLine="480"/>
      </w:pPr>
      <w:r>
        <w:separator/>
      </w:r>
    </w:p>
  </w:endnote>
  <w:endnote w:type="continuationSeparator" w:id="0">
    <w:p w:rsidR="00E7260F" w:rsidRDefault="00E7260F" w:rsidP="005A62C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2C1" w:rsidRDefault="005A62C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2C1" w:rsidRDefault="005A62C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2C1" w:rsidRDefault="005A62C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60F" w:rsidRDefault="00E7260F" w:rsidP="005A62C1">
      <w:pPr>
        <w:spacing w:line="240" w:lineRule="auto"/>
        <w:ind w:firstLine="480"/>
      </w:pPr>
      <w:r>
        <w:separator/>
      </w:r>
    </w:p>
  </w:footnote>
  <w:footnote w:type="continuationSeparator" w:id="0">
    <w:p w:rsidR="00E7260F" w:rsidRDefault="00E7260F" w:rsidP="005A62C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2C1" w:rsidRDefault="005A62C1">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2C1" w:rsidRDefault="005A62C1">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2C1" w:rsidRDefault="005A62C1">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689"/>
    <w:rsid w:val="00324689"/>
    <w:rsid w:val="005A62C1"/>
    <w:rsid w:val="00852578"/>
    <w:rsid w:val="008A266B"/>
    <w:rsid w:val="009E25FC"/>
    <w:rsid w:val="00A6349E"/>
    <w:rsid w:val="00BA49A0"/>
    <w:rsid w:val="00CB5F1E"/>
    <w:rsid w:val="00D604FE"/>
    <w:rsid w:val="00E7260F"/>
    <w:rsid w:val="00FB05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9DCE76-1058-439F-976C-53D1E6195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689"/>
    <w:pPr>
      <w:spacing w:line="300" w:lineRule="auto"/>
      <w:ind w:firstLineChars="200" w:firstLine="200"/>
    </w:pPr>
    <w:rPr>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5">
    <w:name w:val="Plain Table 5"/>
    <w:basedOn w:val="a1"/>
    <w:uiPriority w:val="99"/>
    <w:rsid w:val="00324689"/>
    <w:rPr>
      <w:kern w:val="0"/>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3">
    <w:name w:val="header"/>
    <w:basedOn w:val="a"/>
    <w:link w:val="Char"/>
    <w:uiPriority w:val="99"/>
    <w:unhideWhenUsed/>
    <w:rsid w:val="005A62C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5A62C1"/>
    <w:rPr>
      <w:kern w:val="0"/>
      <w:sz w:val="18"/>
      <w:szCs w:val="18"/>
    </w:rPr>
  </w:style>
  <w:style w:type="paragraph" w:styleId="a4">
    <w:name w:val="footer"/>
    <w:basedOn w:val="a"/>
    <w:link w:val="Char0"/>
    <w:uiPriority w:val="99"/>
    <w:unhideWhenUsed/>
    <w:rsid w:val="005A62C1"/>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5A62C1"/>
    <w:rPr>
      <w:kern w:val="0"/>
      <w:sz w:val="18"/>
      <w:szCs w:val="18"/>
    </w:rPr>
  </w:style>
  <w:style w:type="paragraph" w:styleId="a5">
    <w:name w:val="List Paragraph"/>
    <w:basedOn w:val="a"/>
    <w:uiPriority w:val="34"/>
    <w:qFormat/>
    <w:rsid w:val="00D604FE"/>
    <w:pPr>
      <w:spacing w:line="240" w:lineRule="auto"/>
      <w:ind w:firstLineChars="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8</Pages>
  <Words>407</Words>
  <Characters>2322</Characters>
  <Application>Microsoft Office Word</Application>
  <DocSecurity>0</DocSecurity>
  <Lines>19</Lines>
  <Paragraphs>5</Paragraphs>
  <ScaleCrop>false</ScaleCrop>
  <Company>Sky123.Org</Company>
  <LinksUpToDate>false</LinksUpToDate>
  <CharactersWithSpaces>2724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Yuqing Wei</dc:creator>
  <cp:keywords/>
  <dc:description/>
  <cp:lastModifiedBy>Yuqing Wei</cp:lastModifiedBy>
  <cp:revision>7</cp:revision>
  <dcterms:created xsi:type="dcterms:W3CDTF">2016-03-22T11:53:00Z</dcterms:created>
  <dcterms:modified xsi:type="dcterms:W3CDTF">2016-04-04T10:49:00Z</dcterms:modified>
</cp:coreProperties>
</file>