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A5C" w:val="clear"/>
            <w:tcMar>
              <w:top w:type="dxa" w:w="280"/>
              <w:left w:type="dxa" w:w="360"/>
              <w:bottom w:type="dxa" w:w="120"/>
              <w:right w:type="dxa" w:w="360"/>
            </w:tcMar>
          </w:tcPr>
          <w:p>
            <w:pPr>
              <w:spacing w:after="0" w:before="0"/>
              <w:jc w:val="center"/>
            </w:pPr>
            <w:r>
              <w:rPr>
                <w:rFonts w:ascii="Calibri" w:cs="Calibri" w:eastAsia="Calibri" w:hAnsi="Calibri"/>
                <w:b/>
                <w:bCs/>
                <w:color w:val="FFFFFF"/>
                <w:sz w:val="60"/>
                <w:szCs w:val="60"/>
              </w:rPr>
              <w:t xml:space="preserve">BRIAN WASHINGTON</w:t>
            </w:r>
          </w:p>
        </w:tc>
      </w:tr>
      <w:tr>
        <w:tc>
          <w:tcPr>
            <w:tcW w:type="dxa" w:w="10080"/>
            <w:tcBorders>
              <w:top w:val="none" w:color="FFFFFF" w:sz="0"/>
              <w:left w:val="none" w:color="FFFFFF" w:sz="0"/>
              <w:bottom w:val="none" w:color="FFFFFF" w:sz="0"/>
              <w:right w:val="none" w:color="FFFFFF" w:sz="0"/>
            </w:tcBorders>
            <w:shd w:fill="2E6DA4" w:val="clear"/>
            <w:tcMar>
              <w:top w:type="dxa" w:w="80"/>
              <w:left w:type="dxa" w:w="360"/>
              <w:bottom w:type="dxa" w:w="80"/>
              <w:right w:type="dxa" w:w="360"/>
            </w:tcMar>
          </w:tcPr>
          <w:p>
            <w:pPr>
              <w:spacing w:after="0" w:before="0"/>
              <w:jc w:val="center"/>
            </w:pPr>
            <w:r>
              <w:rPr>
                <w:rFonts w:ascii="Calibri" w:cs="Calibri" w:eastAsia="Calibri" w:hAnsi="Calibri"/>
                <w:color w:val="FFFFFF"/>
                <w:sz w:val="22"/>
                <w:szCs w:val="22"/>
              </w:rPr>
              <w:t xml:space="preserve">Systems &amp; Cloud Infrastructure Engineer  ·  Azure | Microsoft 365 | AI-Assisted Automation</w:t>
            </w:r>
          </w:p>
        </w:tc>
      </w:tr>
      <w:tr>
        <w:tc>
          <w:tcPr>
            <w:tcW w:type="dxa" w:w="10080"/>
            <w:tcBorders>
              <w:top w:val="none" w:color="FFFFFF" w:sz="0"/>
              <w:left w:val="none" w:color="FFFFFF" w:sz="0"/>
              <w:bottom w:val="none" w:color="FFFFFF" w:sz="0"/>
              <w:right w:val="none" w:color="FFFFFF" w:sz="0"/>
            </w:tcBorders>
            <w:shd w:fill="F0F4F8" w:val="clear"/>
            <w:tcMar>
              <w:top w:type="dxa" w:w="100"/>
              <w:left w:type="dxa" w:w="360"/>
              <w:bottom w:type="dxa" w:w="100"/>
              <w:right w:type="dxa" w:w="360"/>
            </w:tcMar>
          </w:tcPr>
          <w:p>
            <w:pPr>
              <w:spacing w:after="0" w:before="0"/>
              <w:jc w:val="center"/>
            </w:pPr>
            <w:r>
              <w:rPr>
                <w:rFonts w:ascii="Calibri" w:cs="Calibri" w:eastAsia="Calibri" w:hAnsi="Calibri"/>
                <w:b w:val="false"/>
                <w:bCs w:val="false"/>
                <w:i w:val="false"/>
                <w:iCs w:val="false"/>
                <w:color w:val="2E6DA4"/>
                <w:sz w:val="18"/>
                <w:szCs w:val="18"/>
              </w:rPr>
              <w:t xml:space="preserve">📞 </w:t>
            </w:r>
            <w:r>
              <w:rPr>
                <w:rFonts w:ascii="Calibri" w:cs="Calibri" w:eastAsia="Calibri" w:hAnsi="Calibri"/>
                <w:b w:val="false"/>
                <w:bCs w:val="false"/>
                <w:i w:val="false"/>
                <w:iCs w:val="false"/>
                <w:color w:val="2D2D2D"/>
                <w:sz w:val="18"/>
                <w:szCs w:val="18"/>
              </w:rPr>
              <w:t xml:space="preserve">314-632-6879</w:t>
            </w:r>
            <w:r>
              <w:rPr>
                <w:rFonts w:ascii="Calibri" w:cs="Calibri" w:eastAsia="Calibri" w:hAnsi="Calibri"/>
                <w:b w:val="false"/>
                <w:bCs w:val="false"/>
                <w:i w:val="false"/>
                <w:iCs w:val="false"/>
                <w:color w:val="2E6DA4"/>
                <w:sz w:val="18"/>
                <w:szCs w:val="18"/>
              </w:rPr>
              <w:t xml:space="preserve">   |   </w:t>
            </w:r>
            <w:r>
              <w:rPr>
                <w:rFonts w:ascii="Calibri" w:cs="Calibri" w:eastAsia="Calibri" w:hAnsi="Calibri"/>
                <w:b w:val="false"/>
                <w:bCs w:val="false"/>
                <w:i w:val="false"/>
                <w:iCs w:val="false"/>
                <w:color w:val="2E6DA4"/>
                <w:sz w:val="18"/>
                <w:szCs w:val="18"/>
              </w:rPr>
              <w:t xml:space="preserve">✉ </w:t>
            </w:r>
            <w:r>
              <w:rPr>
                <w:rFonts w:ascii="Calibri" w:cs="Calibri" w:eastAsia="Calibri" w:hAnsi="Calibri"/>
                <w:b w:val="false"/>
                <w:bCs w:val="false"/>
                <w:i w:val="false"/>
                <w:iCs w:val="false"/>
                <w:color w:val="2D2D2D"/>
                <w:sz w:val="18"/>
                <w:szCs w:val="18"/>
              </w:rPr>
              <w:t xml:space="preserve">brian@brianwashington.dev</w:t>
            </w:r>
            <w:r>
              <w:rPr>
                <w:rFonts w:ascii="Calibri" w:cs="Calibri" w:eastAsia="Calibri" w:hAnsi="Calibri"/>
                <w:b w:val="false"/>
                <w:bCs w:val="false"/>
                <w:i w:val="false"/>
                <w:iCs w:val="false"/>
                <w:color w:val="2E6DA4"/>
                <w:sz w:val="18"/>
                <w:szCs w:val="18"/>
              </w:rPr>
              <w:t xml:space="preserve">   |   </w:t>
            </w:r>
            <w:r>
              <w:rPr>
                <w:rFonts w:ascii="Calibri" w:cs="Calibri" w:eastAsia="Calibri" w:hAnsi="Calibri"/>
                <w:b w:val="false"/>
                <w:bCs w:val="false"/>
                <w:i w:val="false"/>
                <w:iCs w:val="false"/>
                <w:color w:val="2E6DA4"/>
                <w:sz w:val="18"/>
                <w:szCs w:val="18"/>
              </w:rPr>
              <w:t xml:space="preserve">📍 </w:t>
            </w:r>
            <w:r>
              <w:rPr>
                <w:rFonts w:ascii="Calibri" w:cs="Calibri" w:eastAsia="Calibri" w:hAnsi="Calibri"/>
                <w:b w:val="false"/>
                <w:bCs w:val="false"/>
                <w:i w:val="false"/>
                <w:iCs w:val="false"/>
                <w:color w:val="2D2D2D"/>
                <w:sz w:val="18"/>
                <w:szCs w:val="18"/>
              </w:rPr>
              <w:t xml:space="preserve">St. Louis, MO</w:t>
            </w:r>
            <w:r>
              <w:rPr>
                <w:rFonts w:ascii="Calibri" w:cs="Calibri" w:eastAsia="Calibri" w:hAnsi="Calibri"/>
                <w:b w:val="false"/>
                <w:bCs w:val="false"/>
                <w:i w:val="false"/>
                <w:iCs w:val="false"/>
                <w:color w:val="2E6DA4"/>
                <w:sz w:val="18"/>
                <w:szCs w:val="18"/>
              </w:rPr>
              <w:t xml:space="preserve">   |   </w:t>
            </w:r>
            <w:r>
              <w:rPr>
                <w:rFonts w:ascii="Calibri" w:cs="Calibri" w:eastAsia="Calibri" w:hAnsi="Calibri"/>
                <w:b w:val="false"/>
                <w:bCs w:val="false"/>
                <w:i w:val="false"/>
                <w:iCs w:val="false"/>
                <w:color w:val="2E6DA4"/>
                <w:sz w:val="18"/>
                <w:szCs w:val="18"/>
              </w:rPr>
              <w:t xml:space="preserve">🔗 </w:t>
            </w:r>
            <w:r>
              <w:rPr>
                <w:rFonts w:ascii="Calibri" w:cs="Calibri" w:eastAsia="Calibri" w:hAnsi="Calibri"/>
                <w:b w:val="false"/>
                <w:bCs w:val="false"/>
                <w:i w:val="false"/>
                <w:iCs w:val="false"/>
                <w:color w:val="2D2D2D"/>
                <w:sz w:val="18"/>
                <w:szCs w:val="18"/>
              </w:rPr>
              <w:t xml:space="preserve">linkedin.com/in/brianawashington</w:t>
            </w:r>
          </w:p>
        </w:tc>
      </w:tr>
    </w:tbl>
    <w:p>
      <w:pPr>
        <w:spacing w:after="40" w:before="0"/>
      </w:pPr>
      <w:r>
        <w:t xml:space="preserve"/>
      </w:r>
    </w:p>
    <w:tbl>
      <w:tblPr>
        <w:tblW w:type="dxa" w:w="10080"/>
        <w:tblBorders>
          <w:top w:val="none" w:color="FFFFFF" w:sz="0"/>
          <w:left w:val="none" w:color="FFFFFF" w:sz="0"/>
          <w:bottom w:val="single" w:color="CCCCCC" w:sz="4"/>
          <w:right w:val="none" w:color="FFFFFF" w:sz="0"/>
          <w:insideH w:val="single" w:color="auto" w:sz="4"/>
          <w:insideV w:val="single" w:color="auto" w:sz="4"/>
        </w:tblBorders>
        <w:tblCellMar>
          <w:top w:type="dxa" w:w="240"/>
          <w:bottom w:type="dxa" w:w="60"/>
        </w:tblCellMar>
      </w:tblPr>
      <w:tblGrid>
        <w:gridCol w:w="120"/>
        <w:gridCol w:w="9960"/>
      </w:tblGrid>
      <w:tr>
        <w:tc>
          <w:tcPr>
            <w:tcW w:type="dxa" w:w="120"/>
            <w:tcBorders>
              <w:top w:val="none" w:color="FFFFFF" w:sz="0"/>
              <w:left w:val="none" w:color="FFFFFF" w:sz="0"/>
              <w:bottom w:val="none" w:color="FFFFFF" w:sz="0"/>
              <w:right w:val="none" w:color="FFFFFF" w:sz="0"/>
            </w:tcBorders>
            <w:shd w:fill="2E6DA4" w:val="clear"/>
            <w:tcMar>
              <w:top w:type="dxa" w:w="0"/>
              <w:left w:type="dxa" w:w="0"/>
              <w:bottom w:type="dxa" w:w="0"/>
              <w:right w:type="dxa" w:w="0"/>
            </w:tcMar>
          </w:tcPr>
          <w:p>
            <w:r>
              <w:t xml:space="preserve"/>
            </w:r>
          </w:p>
        </w:tc>
        <w:tc>
          <w:tcPr>
            <w:tcW w:type="dxa" w:w="9960"/>
            <w:tcBorders>
              <w:top w:val="none" w:color="FFFFFF" w:sz="0"/>
              <w:left w:val="none" w:color="FFFFFF" w:sz="0"/>
              <w:bottom w:val="none" w:color="FFFFFF" w:sz="0"/>
              <w:right w:val="none" w:color="FFFFFF" w:sz="0"/>
            </w:tcBorders>
            <w:tcMar>
              <w:top w:type="dxa" w:w="40"/>
              <w:left w:type="dxa" w:w="180"/>
              <w:bottom w:type="dxa" w:w="40"/>
              <w:right w:type="dxa" w:w="0"/>
            </w:tcMar>
          </w:tcPr>
          <w:p>
            <w:pPr>
              <w:spacing w:after="0" w:before="0"/>
            </w:pPr>
            <w:r>
              <w:rPr>
                <w:rFonts w:ascii="Calibri" w:cs="Calibri" w:eastAsia="Calibri" w:hAnsi="Calibri"/>
                <w:b/>
                <w:bCs/>
                <w:color w:val="1B3A5C"/>
                <w:sz w:val="22"/>
                <w:szCs w:val="22"/>
              </w:rPr>
              <w:t xml:space="preserve">PROFESSIONAL SUMMARY</w:t>
            </w:r>
          </w:p>
        </w:tc>
      </w:tr>
    </w:tbl>
    <w:p>
      <w:pPr>
        <w:spacing w:after="60" w:before="80"/>
      </w:pPr>
      <w:r>
        <w:rPr>
          <w:rFonts w:ascii="Calibri" w:cs="Calibri" w:eastAsia="Calibri" w:hAnsi="Calibri"/>
          <w:b w:val="false"/>
          <w:bCs w:val="false"/>
          <w:i w:val="false"/>
          <w:iCs w:val="false"/>
          <w:color w:val="2D2D2D"/>
          <w:sz w:val="19"/>
          <w:szCs w:val="19"/>
        </w:rPr>
        <w:t xml:space="preserve">I've spent the last 9 years running IT at Ronnoco Coffee, building out the cloud infrastructure, keeping the Azure/M365 environment healthy, and handling everything from VMware to mobile device management. Over time I've moved further into scripting and automation, using PowerShell and the Microsoft Graph API to cut out repetitive manual work. Lately I've been picking up Python, web development, and working with AI APIs to build internal tools. I'm working toward AZ-104 and looking to move into a Cloud or Azure Engineering role.</w:t>
      </w:r>
    </w:p>
    <w:tbl>
      <w:tblPr>
        <w:tblW w:type="dxa" w:w="10080"/>
        <w:tblBorders>
          <w:top w:val="none" w:color="FFFFFF" w:sz="0"/>
          <w:left w:val="none" w:color="FFFFFF" w:sz="0"/>
          <w:bottom w:val="single" w:color="CCCCCC" w:sz="4"/>
          <w:right w:val="none" w:color="FFFFFF" w:sz="0"/>
          <w:insideH w:val="single" w:color="auto" w:sz="4"/>
          <w:insideV w:val="single" w:color="auto" w:sz="4"/>
        </w:tblBorders>
        <w:tblCellMar>
          <w:top w:type="dxa" w:w="240"/>
          <w:bottom w:type="dxa" w:w="60"/>
        </w:tblCellMar>
      </w:tblPr>
      <w:tblGrid>
        <w:gridCol w:w="120"/>
        <w:gridCol w:w="9960"/>
      </w:tblGrid>
      <w:tr>
        <w:tc>
          <w:tcPr>
            <w:tcW w:type="dxa" w:w="120"/>
            <w:tcBorders>
              <w:top w:val="none" w:color="FFFFFF" w:sz="0"/>
              <w:left w:val="none" w:color="FFFFFF" w:sz="0"/>
              <w:bottom w:val="none" w:color="FFFFFF" w:sz="0"/>
              <w:right w:val="none" w:color="FFFFFF" w:sz="0"/>
            </w:tcBorders>
            <w:shd w:fill="2E6DA4" w:val="clear"/>
            <w:tcMar>
              <w:top w:type="dxa" w:w="0"/>
              <w:left w:type="dxa" w:w="0"/>
              <w:bottom w:type="dxa" w:w="0"/>
              <w:right w:type="dxa" w:w="0"/>
            </w:tcMar>
          </w:tcPr>
          <w:p>
            <w:r>
              <w:t xml:space="preserve"/>
            </w:r>
          </w:p>
        </w:tc>
        <w:tc>
          <w:tcPr>
            <w:tcW w:type="dxa" w:w="9960"/>
            <w:tcBorders>
              <w:top w:val="none" w:color="FFFFFF" w:sz="0"/>
              <w:left w:val="none" w:color="FFFFFF" w:sz="0"/>
              <w:bottom w:val="none" w:color="FFFFFF" w:sz="0"/>
              <w:right w:val="none" w:color="FFFFFF" w:sz="0"/>
            </w:tcBorders>
            <w:tcMar>
              <w:top w:type="dxa" w:w="40"/>
              <w:left w:type="dxa" w:w="180"/>
              <w:bottom w:type="dxa" w:w="40"/>
              <w:right w:type="dxa" w:w="0"/>
            </w:tcMar>
          </w:tcPr>
          <w:p>
            <w:pPr>
              <w:spacing w:after="0" w:before="0"/>
            </w:pPr>
            <w:r>
              <w:rPr>
                <w:rFonts w:ascii="Calibri" w:cs="Calibri" w:eastAsia="Calibri" w:hAnsi="Calibri"/>
                <w:b/>
                <w:bCs/>
                <w:color w:val="1B3A5C"/>
                <w:sz w:val="22"/>
                <w:szCs w:val="22"/>
              </w:rPr>
              <w:t xml:space="preserve">TECHNICAL SKILLS</w:t>
            </w:r>
          </w:p>
        </w:tc>
      </w:tr>
    </w:tbl>
    <w:p>
      <w:pPr>
        <w:spacing w:after="40" w:before="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0"/>
              <w:left w:type="dxa" w:w="0"/>
              <w:bottom w:type="dxa" w:w="0"/>
              <w:right w:type="dxa" w:w="160"/>
            </w:tcMar>
          </w:tcPr>
          <w:p>
            <w:pPr>
              <w:spacing w:after="40" w:before="40"/>
            </w:pPr>
            <w:r>
              <w:rPr>
                <w:rFonts w:ascii="Calibri" w:cs="Calibri" w:eastAsia="Calibri" w:hAnsi="Calibri"/>
                <w:b/>
                <w:bCs/>
                <w:color w:val="2E6DA4"/>
                <w:sz w:val="19"/>
                <w:szCs w:val="19"/>
              </w:rPr>
              <w:t xml:space="preserve">Cloud &amp; Identity:  </w:t>
            </w:r>
            <w:r>
              <w:rPr>
                <w:rFonts w:ascii="Calibri" w:cs="Calibri" w:eastAsia="Calibri" w:hAnsi="Calibri"/>
                <w:color w:val="2D2D2D"/>
                <w:sz w:val="19"/>
                <w:szCs w:val="19"/>
              </w:rPr>
              <w:t xml:space="preserve">Azure AD / Entra ID · Microsoft 365 · Microsoft Graph API · Conditional Access · MFA · Intune MDM/MAM</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60"/>
            </w:tcMar>
          </w:tcPr>
          <w:p>
            <w:pPr>
              <w:spacing w:after="40" w:before="40"/>
            </w:pPr>
            <w:r>
              <w:rPr>
                <w:rFonts w:ascii="Calibri" w:cs="Calibri" w:eastAsia="Calibri" w:hAnsi="Calibri"/>
                <w:b/>
                <w:bCs/>
                <w:color w:val="2E6DA4"/>
                <w:sz w:val="19"/>
                <w:szCs w:val="19"/>
              </w:rPr>
              <w:t xml:space="preserve">Linux &amp; Monitoring:  </w:t>
            </w:r>
            <w:r>
              <w:rPr>
                <w:rFonts w:ascii="Calibri" w:cs="Calibri" w:eastAsia="Calibri" w:hAnsi="Calibri"/>
                <w:color w:val="2D2D2D"/>
                <w:sz w:val="19"/>
                <w:szCs w:val="19"/>
              </w:rPr>
              <w:t xml:space="preserve">Ubuntu Linux · Zabbix · Nginx Reverse Proxy · SSL/TLS Management · Service Health Monitoring</w:t>
            </w:r>
          </w:p>
        </w:tc>
      </w:tr>
      <w:tr>
        <w:tc>
          <w:tcPr>
            <w:tcW w:type="dxa" w:w="5040"/>
            <w:tcBorders>
              <w:top w:val="none" w:color="FFFFFF" w:sz="0"/>
              <w:left w:val="none" w:color="FFFFFF" w:sz="0"/>
              <w:bottom w:val="none" w:color="FFFFFF" w:sz="0"/>
              <w:right w:val="none" w:color="FFFFFF" w:sz="0"/>
            </w:tcBorders>
            <w:tcMar>
              <w:top w:type="dxa" w:w="0"/>
              <w:left w:type="dxa" w:w="0"/>
              <w:bottom w:type="dxa" w:w="0"/>
              <w:right w:type="dxa" w:w="160"/>
            </w:tcMar>
          </w:tcPr>
          <w:p>
            <w:pPr>
              <w:spacing w:after="40" w:before="40"/>
            </w:pPr>
            <w:r>
              <w:rPr>
                <w:rFonts w:ascii="Calibri" w:cs="Calibri" w:eastAsia="Calibri" w:hAnsi="Calibri"/>
                <w:b/>
                <w:bCs/>
                <w:color w:val="2E6DA4"/>
                <w:sz w:val="19"/>
                <w:szCs w:val="19"/>
              </w:rPr>
              <w:t xml:space="preserve">Scripting &amp; Dev:  </w:t>
            </w:r>
            <w:r>
              <w:rPr>
                <w:rFonts w:ascii="Calibri" w:cs="Calibri" w:eastAsia="Calibri" w:hAnsi="Calibri"/>
                <w:color w:val="2D2D2D"/>
                <w:sz w:val="19"/>
                <w:szCs w:val="19"/>
              </w:rPr>
              <w:t xml:space="preserve">PowerShell · Python · HTML/CSS/JavaScript · SQL · REST API Integration · OpenAI &amp; Anthropic Claude APIs</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60"/>
            </w:tcMar>
          </w:tcPr>
          <w:p>
            <w:pPr>
              <w:spacing w:after="40" w:before="40"/>
            </w:pPr>
            <w:r>
              <w:rPr>
                <w:rFonts w:ascii="Calibri" w:cs="Calibri" w:eastAsia="Calibri" w:hAnsi="Calibri"/>
                <w:b/>
                <w:bCs/>
                <w:color w:val="2E6DA4"/>
                <w:sz w:val="19"/>
                <w:szCs w:val="19"/>
              </w:rPr>
              <w:t xml:space="preserve">Networking:  </w:t>
            </w:r>
            <w:r>
              <w:rPr>
                <w:rFonts w:ascii="Calibri" w:cs="Calibri" w:eastAsia="Calibri" w:hAnsi="Calibri"/>
                <w:color w:val="2D2D2D"/>
                <w:sz w:val="19"/>
                <w:szCs w:val="19"/>
              </w:rPr>
              <w:t xml:space="preserve">Cisco/HP Switch Configuration · TCP/IP · VLAN · Network Troubleshooting</w:t>
            </w:r>
          </w:p>
        </w:tc>
      </w:tr>
      <w:tr>
        <w:tc>
          <w:tcPr>
            <w:tcW w:type="dxa" w:w="5040"/>
            <w:tcBorders>
              <w:top w:val="none" w:color="FFFFFF" w:sz="0"/>
              <w:left w:val="none" w:color="FFFFFF" w:sz="0"/>
              <w:bottom w:val="none" w:color="FFFFFF" w:sz="0"/>
              <w:right w:val="none" w:color="FFFFFF" w:sz="0"/>
            </w:tcBorders>
            <w:tcMar>
              <w:top w:type="dxa" w:w="0"/>
              <w:left w:type="dxa" w:w="0"/>
              <w:bottom w:type="dxa" w:w="0"/>
              <w:right w:type="dxa" w:w="160"/>
            </w:tcMar>
          </w:tcPr>
          <w:p>
            <w:pPr>
              <w:spacing w:after="40" w:before="40"/>
            </w:pPr>
            <w:r>
              <w:rPr>
                <w:rFonts w:ascii="Calibri" w:cs="Calibri" w:eastAsia="Calibri" w:hAnsi="Calibri"/>
                <w:b/>
                <w:bCs/>
                <w:color w:val="2E6DA4"/>
                <w:sz w:val="19"/>
                <w:szCs w:val="19"/>
              </w:rPr>
              <w:t xml:space="preserve">Infrastructure:  </w:t>
            </w:r>
            <w:r>
              <w:rPr>
                <w:rFonts w:ascii="Calibri" w:cs="Calibri" w:eastAsia="Calibri" w:hAnsi="Calibri"/>
                <w:color w:val="2D2D2D"/>
                <w:sz w:val="19"/>
                <w:szCs w:val="19"/>
              </w:rPr>
              <w:t xml:space="preserve">VMware vSphere / ESXi · Windows Server · Active Directory · GPO · DHCP · DNS · WDS/MDT Imaging</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160"/>
            </w:tcMar>
          </w:tcPr>
          <w:p>
            <w:pPr>
              <w:spacing w:after="40" w:before="40"/>
            </w:pPr>
            <w:r>
              <w:rPr>
                <w:rFonts w:ascii="Calibri" w:cs="Calibri" w:eastAsia="Calibri" w:hAnsi="Calibri"/>
                <w:b/>
                <w:bCs/>
                <w:color w:val="2E6DA4"/>
                <w:sz w:val="19"/>
                <w:szCs w:val="19"/>
              </w:rPr>
              <w:t xml:space="preserve">Tools &amp; Platforms:  </w:t>
            </w:r>
            <w:r>
              <w:rPr>
                <w:rFonts w:ascii="Calibri" w:cs="Calibri" w:eastAsia="Calibri" w:hAnsi="Calibri"/>
                <w:color w:val="2D2D2D"/>
                <w:sz w:val="19"/>
                <w:szCs w:val="19"/>
              </w:rPr>
              <w:t xml:space="preserve">Microsoft 365 Admin Center · VMware vCenter · MobiControl · FreshService · Veeam Backup Console</w:t>
            </w:r>
          </w:p>
        </w:tc>
      </w:tr>
    </w:tbl>
    <w:tbl>
      <w:tblPr>
        <w:tblW w:type="dxa" w:w="10080"/>
        <w:tblBorders>
          <w:top w:val="none" w:color="FFFFFF" w:sz="0"/>
          <w:left w:val="none" w:color="FFFFFF" w:sz="0"/>
          <w:bottom w:val="single" w:color="CCCCCC" w:sz="4"/>
          <w:right w:val="none" w:color="FFFFFF" w:sz="0"/>
          <w:insideH w:val="single" w:color="auto" w:sz="4"/>
          <w:insideV w:val="single" w:color="auto" w:sz="4"/>
        </w:tblBorders>
        <w:tblCellMar>
          <w:top w:type="dxa" w:w="240"/>
          <w:bottom w:type="dxa" w:w="60"/>
        </w:tblCellMar>
      </w:tblPr>
      <w:tblGrid>
        <w:gridCol w:w="120"/>
        <w:gridCol w:w="9960"/>
      </w:tblGrid>
      <w:tr>
        <w:tc>
          <w:tcPr>
            <w:tcW w:type="dxa" w:w="120"/>
            <w:tcBorders>
              <w:top w:val="none" w:color="FFFFFF" w:sz="0"/>
              <w:left w:val="none" w:color="FFFFFF" w:sz="0"/>
              <w:bottom w:val="none" w:color="FFFFFF" w:sz="0"/>
              <w:right w:val="none" w:color="FFFFFF" w:sz="0"/>
            </w:tcBorders>
            <w:shd w:fill="2E6DA4" w:val="clear"/>
            <w:tcMar>
              <w:top w:type="dxa" w:w="0"/>
              <w:left w:type="dxa" w:w="0"/>
              <w:bottom w:type="dxa" w:w="0"/>
              <w:right w:type="dxa" w:w="0"/>
            </w:tcMar>
          </w:tcPr>
          <w:p>
            <w:r>
              <w:t xml:space="preserve"/>
            </w:r>
          </w:p>
        </w:tc>
        <w:tc>
          <w:tcPr>
            <w:tcW w:type="dxa" w:w="9960"/>
            <w:tcBorders>
              <w:top w:val="none" w:color="FFFFFF" w:sz="0"/>
              <w:left w:val="none" w:color="FFFFFF" w:sz="0"/>
              <w:bottom w:val="none" w:color="FFFFFF" w:sz="0"/>
              <w:right w:val="none" w:color="FFFFFF" w:sz="0"/>
            </w:tcBorders>
            <w:tcMar>
              <w:top w:type="dxa" w:w="40"/>
              <w:left w:type="dxa" w:w="180"/>
              <w:bottom w:type="dxa" w:w="40"/>
              <w:right w:type="dxa" w:w="0"/>
            </w:tcMar>
          </w:tcPr>
          <w:p>
            <w:pPr>
              <w:spacing w:after="0" w:before="0"/>
            </w:pPr>
            <w:r>
              <w:rPr>
                <w:rFonts w:ascii="Calibri" w:cs="Calibri" w:eastAsia="Calibri" w:hAnsi="Calibri"/>
                <w:b/>
                <w:bCs/>
                <w:color w:val="1B3A5C"/>
                <w:sz w:val="22"/>
                <w:szCs w:val="22"/>
              </w:rPr>
              <w:t xml:space="preserve">PROFESSIONAL EXPERIENCE</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7200"/>
        <w:gridCol w:w="2880"/>
      </w:tblGrid>
      <w:tr>
        <w:tc>
          <w:tcPr>
            <w:tcW w:type="dxa" w:w="7200"/>
            <w:tcBorders>
              <w:top w:val="none" w:color="FFFFFF" w:sz="0"/>
              <w:left w:val="none" w:color="FFFFFF" w:sz="0"/>
              <w:bottom w:val="none" w:color="FFFFFF" w:sz="0"/>
              <w:right w:val="none" w:color="FFFFFF" w:sz="0"/>
            </w:tcBorders>
            <w:tcMar>
              <w:top w:type="dxa" w:w="0"/>
              <w:left w:type="dxa" w:w="0"/>
              <w:bottom w:type="dxa" w:w="0"/>
              <w:right w:type="dxa" w:w="0"/>
            </w:tcMar>
            <w:vAlign w:val="bottom"/>
          </w:tcPr>
          <w:p>
            <w:pPr>
              <w:spacing w:after="20" w:before="160"/>
            </w:pPr>
            <w:r>
              <w:rPr>
                <w:rFonts w:ascii="Calibri" w:cs="Calibri" w:eastAsia="Calibri" w:hAnsi="Calibri"/>
                <w:b/>
                <w:bCs/>
                <w:color w:val="1B3A5C"/>
                <w:sz w:val="22"/>
                <w:szCs w:val="22"/>
              </w:rPr>
              <w:t xml:space="preserve">Manager of IT Operations</w:t>
            </w:r>
            <w:r>
              <w:rPr>
                <w:rFonts w:ascii="Calibri" w:cs="Calibri" w:eastAsia="Calibri" w:hAnsi="Calibri"/>
                <w:sz w:val="20"/>
                <w:szCs w:val="20"/>
              </w:rPr>
              <w:t xml:space="preserve">   </w:t>
            </w:r>
            <w:r>
              <w:rPr>
                <w:rFonts w:ascii="Calibri" w:cs="Calibri" w:eastAsia="Calibri" w:hAnsi="Calibri"/>
                <w:b/>
                <w:bCs/>
                <w:color w:val="2D2D2D"/>
                <w:sz w:val="20"/>
                <w:szCs w:val="20"/>
              </w:rPr>
              <w:t xml:space="preserve">Ronnoco Coffee</w:t>
            </w:r>
            <w:r>
              <w:rPr>
                <w:rFonts w:ascii="Calibri" w:cs="Calibri" w:eastAsia="Calibri" w:hAnsi="Calibri"/>
                <w:color w:val="666666"/>
                <w:sz w:val="19"/>
                <w:szCs w:val="19"/>
              </w:rPr>
              <w:t xml:space="preserve"> · St. Louis, MO</w:t>
            </w:r>
          </w:p>
        </w:tc>
        <w:tc>
          <w:tcPr>
            <w:tcW w:type="dxa" w:w="2880"/>
            <w:tcBorders>
              <w:top w:val="none" w:color="FFFFFF" w:sz="0"/>
              <w:left w:val="none" w:color="FFFFFF" w:sz="0"/>
              <w:bottom w:val="none" w:color="FFFFFF" w:sz="0"/>
              <w:right w:val="none" w:color="FFFFFF" w:sz="0"/>
            </w:tcBorders>
            <w:tcMar>
              <w:top w:type="dxa" w:w="0"/>
              <w:left w:type="dxa" w:w="0"/>
              <w:bottom w:type="dxa" w:w="0"/>
              <w:right w:type="dxa" w:w="0"/>
            </w:tcMar>
            <w:vAlign w:val="bottom"/>
          </w:tcPr>
          <w:p>
            <w:pPr>
              <w:spacing w:after="20" w:before="160"/>
              <w:jc w:val="right"/>
            </w:pPr>
            <w:r>
              <w:rPr>
                <w:rFonts w:ascii="Calibri" w:cs="Calibri" w:eastAsia="Calibri" w:hAnsi="Calibri"/>
                <w:i/>
                <w:iCs/>
                <w:color w:val="666666"/>
                <w:sz w:val="19"/>
                <w:szCs w:val="19"/>
              </w:rPr>
              <w:t xml:space="preserve">Aug 2016 – Present</w:t>
            </w:r>
          </w:p>
        </w:tc>
      </w:tr>
    </w:tbl>
    <w:p>
      <w:pPr>
        <w:pStyle w:val="ListParagraph"/>
        <w:numPr>
          <w:ilvl w:val="0"/>
          <w:numId w:val="2"/>
        </w:numPr>
        <w:spacing w:after="40" w:before="40"/>
      </w:pPr>
      <w:r>
        <w:rPr>
          <w:rFonts w:ascii="Calibri" w:cs="Calibri" w:eastAsia="Calibri" w:hAnsi="Calibri"/>
          <w:b w:val="false"/>
          <w:bCs w:val="false"/>
          <w:i w:val="false"/>
          <w:iCs w:val="false"/>
          <w:color w:val="2D2D2D"/>
          <w:sz w:val="19"/>
          <w:szCs w:val="19"/>
        </w:rPr>
        <w:t xml:space="preserve">Manage Azure AD / Entra ID and Microsoft 365 for 100+ users, covering full user lifecycle, Conditional Access policies, MFA enforcement, and license management</w:t>
      </w:r>
    </w:p>
    <w:p>
      <w:pPr>
        <w:pStyle w:val="ListParagraph"/>
        <w:numPr>
          <w:ilvl w:val="0"/>
          <w:numId w:val="2"/>
        </w:numPr>
        <w:spacing w:after="40" w:before="40"/>
      </w:pPr>
      <w:r>
        <w:rPr>
          <w:rFonts w:ascii="Calibri" w:cs="Calibri" w:eastAsia="Calibri" w:hAnsi="Calibri"/>
          <w:b w:val="false"/>
          <w:bCs w:val="false"/>
          <w:i w:val="false"/>
          <w:iCs w:val="false"/>
          <w:color w:val="2D2D2D"/>
          <w:sz w:val="19"/>
          <w:szCs w:val="19"/>
        </w:rPr>
        <w:t xml:space="preserve">Built PowerShell scripts and Microsoft Graph API integrations to automate user provisioning, license assignment, and device compliance reporting, reducing a process that previously required manual intervention across multiple admin portals</w:t>
      </w:r>
    </w:p>
    <w:p>
      <w:pPr>
        <w:pStyle w:val="ListParagraph"/>
        <w:numPr>
          <w:ilvl w:val="0"/>
          <w:numId w:val="2"/>
        </w:numPr>
        <w:spacing w:after="40" w:before="40"/>
      </w:pPr>
      <w:r>
        <w:rPr>
          <w:rFonts w:ascii="Calibri" w:cs="Calibri" w:eastAsia="Calibri" w:hAnsi="Calibri"/>
          <w:b w:val="false"/>
          <w:bCs w:val="false"/>
          <w:i w:val="false"/>
          <w:iCs w:val="false"/>
          <w:color w:val="2D2D2D"/>
          <w:sz w:val="19"/>
          <w:szCs w:val="19"/>
        </w:rPr>
        <w:t xml:space="preserve">Building internal automation tools using Python and AI APIs (OpenAI, Anthropic Claude) to handle routine IT tasks, which has cut time spent on repetitive work and opened up time for higher-priority projects</w:t>
      </w:r>
    </w:p>
    <w:p>
      <w:pPr>
        <w:pStyle w:val="ListParagraph"/>
        <w:numPr>
          <w:ilvl w:val="0"/>
          <w:numId w:val="2"/>
        </w:numPr>
        <w:spacing w:after="40" w:before="40"/>
      </w:pPr>
      <w:r>
        <w:rPr>
          <w:rFonts w:ascii="Calibri" w:cs="Calibri" w:eastAsia="Calibri" w:hAnsi="Calibri"/>
          <w:b w:val="false"/>
          <w:bCs w:val="false"/>
          <w:i w:val="false"/>
          <w:iCs w:val="false"/>
          <w:color w:val="2D2D2D"/>
          <w:sz w:val="19"/>
          <w:szCs w:val="19"/>
        </w:rPr>
        <w:t xml:space="preserve">Manage VMware vSphere environment running 40+ virtual machines, with responsibility for performance monitoring, capacity planning, patching schedules, and snapshot management</w:t>
      </w:r>
    </w:p>
    <w:p>
      <w:pPr>
        <w:pStyle w:val="ListParagraph"/>
        <w:numPr>
          <w:ilvl w:val="0"/>
          <w:numId w:val="2"/>
        </w:numPr>
        <w:spacing w:after="40" w:before="40"/>
      </w:pPr>
      <w:r>
        <w:rPr>
          <w:rFonts w:ascii="Calibri" w:cs="Calibri" w:eastAsia="Calibri" w:hAnsi="Calibri"/>
          <w:b w:val="false"/>
          <w:bCs w:val="false"/>
          <w:i w:val="false"/>
          <w:iCs w:val="false"/>
          <w:color w:val="2D2D2D"/>
          <w:sz w:val="19"/>
          <w:szCs w:val="19"/>
        </w:rPr>
        <w:t xml:space="preserve">Led the full Exchange to Microsoft 365 migration, decommissioning aging on-prem hardware and consolidating mail, calendar, and collaboration tools under a single managed cloud platform</w:t>
      </w:r>
    </w:p>
    <w:p>
      <w:pPr>
        <w:pStyle w:val="ListParagraph"/>
        <w:numPr>
          <w:ilvl w:val="0"/>
          <w:numId w:val="2"/>
        </w:numPr>
        <w:spacing w:after="40" w:before="40"/>
      </w:pPr>
      <w:r>
        <w:rPr>
          <w:rFonts w:ascii="Calibri" w:cs="Calibri" w:eastAsia="Calibri" w:hAnsi="Calibri"/>
          <w:b w:val="false"/>
          <w:bCs w:val="false"/>
          <w:i w:val="false"/>
          <w:iCs w:val="false"/>
          <w:color w:val="2D2D2D"/>
          <w:sz w:val="19"/>
          <w:szCs w:val="19"/>
        </w:rPr>
        <w:t xml:space="preserve">Manage all mobile endpoints through Microsoft Intune, including compliance policies, security baselines, conditional access integration, and app deployment for iOS and Android devices</w:t>
      </w:r>
    </w:p>
    <w:p>
      <w:pPr>
        <w:pStyle w:val="ListParagraph"/>
        <w:numPr>
          <w:ilvl w:val="0"/>
          <w:numId w:val="2"/>
        </w:numPr>
        <w:spacing w:after="40" w:before="40"/>
      </w:pPr>
      <w:r>
        <w:rPr>
          <w:rFonts w:ascii="Calibri" w:cs="Calibri" w:eastAsia="Calibri" w:hAnsi="Calibri"/>
          <w:b w:val="false"/>
          <w:bCs w:val="false"/>
          <w:i w:val="false"/>
          <w:iCs w:val="false"/>
          <w:color w:val="2D2D2D"/>
          <w:sz w:val="19"/>
          <w:szCs w:val="19"/>
        </w:rPr>
        <w:t xml:space="preserve">Deployed Zabbix on Ubuntu Linux to centralize infrastructure monitoring across all servers and switches, with alerting for CPU load, disk usage, network throughput, and stopped services</w:t>
      </w:r>
    </w:p>
    <w:p>
      <w:pPr>
        <w:pStyle w:val="ListParagraph"/>
        <w:numPr>
          <w:ilvl w:val="0"/>
          <w:numId w:val="2"/>
        </w:numPr>
        <w:spacing w:after="40" w:before="40"/>
      </w:pPr>
      <w:r>
        <w:rPr>
          <w:rFonts w:ascii="Calibri" w:cs="Calibri" w:eastAsia="Calibri" w:hAnsi="Calibri"/>
          <w:b w:val="false"/>
          <w:bCs w:val="false"/>
          <w:i w:val="false"/>
          <w:iCs w:val="false"/>
          <w:color w:val="2D2D2D"/>
          <w:sz w:val="19"/>
          <w:szCs w:val="19"/>
        </w:rPr>
        <w:t xml:space="preserve">Configured Nginx as a reverse proxy for the company web server fleet, centralizing SSL termination and significantly simplifying certificate lifecycle management across all internal sites</w:t>
      </w:r>
    </w:p>
    <w:p>
      <w:pPr>
        <w:pStyle w:val="ListParagraph"/>
        <w:numPr>
          <w:ilvl w:val="0"/>
          <w:numId w:val="2"/>
        </w:numPr>
        <w:spacing w:after="40" w:before="40"/>
      </w:pPr>
      <w:r>
        <w:rPr>
          <w:rFonts w:ascii="Calibri" w:cs="Calibri" w:eastAsia="Calibri" w:hAnsi="Calibri"/>
          <w:b w:val="false"/>
          <w:bCs w:val="false"/>
          <w:i w:val="false"/>
          <w:iCs w:val="false"/>
          <w:color w:val="2D2D2D"/>
          <w:sz w:val="19"/>
          <w:szCs w:val="19"/>
        </w:rPr>
        <w:t xml:space="preserve">Administer Veeam Backup, managing backup schedules, retention policies, and restore operations across the virtual environment to keep recovery objectives within acceptable thresholds</w:t>
      </w:r>
    </w:p>
    <w:p>
      <w:pPr>
        <w:pStyle w:val="ListParagraph"/>
        <w:numPr>
          <w:ilvl w:val="0"/>
          <w:numId w:val="2"/>
        </w:numPr>
        <w:spacing w:after="40" w:before="40"/>
      </w:pPr>
      <w:r>
        <w:rPr>
          <w:rFonts w:ascii="Calibri" w:cs="Calibri" w:eastAsia="Calibri" w:hAnsi="Calibri"/>
          <w:b w:val="false"/>
          <w:bCs w:val="false"/>
          <w:i w:val="false"/>
          <w:iCs w:val="false"/>
          <w:color w:val="2D2D2D"/>
          <w:sz w:val="19"/>
          <w:szCs w:val="19"/>
        </w:rPr>
        <w:t xml:space="preserve">Reduced help desk ticket volume by 40% by deploying self-service password reset and building an internal knowledge base that lets users resolve common issues without opening a ticket</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7200"/>
        <w:gridCol w:w="2880"/>
      </w:tblGrid>
      <w:tr>
        <w:tc>
          <w:tcPr>
            <w:tcW w:type="dxa" w:w="7200"/>
            <w:tcBorders>
              <w:top w:val="none" w:color="FFFFFF" w:sz="0"/>
              <w:left w:val="none" w:color="FFFFFF" w:sz="0"/>
              <w:bottom w:val="none" w:color="FFFFFF" w:sz="0"/>
              <w:right w:val="none" w:color="FFFFFF" w:sz="0"/>
            </w:tcBorders>
            <w:tcMar>
              <w:top w:type="dxa" w:w="0"/>
              <w:left w:type="dxa" w:w="0"/>
              <w:bottom w:type="dxa" w:w="0"/>
              <w:right w:type="dxa" w:w="0"/>
            </w:tcMar>
            <w:vAlign w:val="bottom"/>
          </w:tcPr>
          <w:p>
            <w:pPr>
              <w:spacing w:after="20" w:before="160"/>
            </w:pPr>
            <w:r>
              <w:rPr>
                <w:rFonts w:ascii="Calibri" w:cs="Calibri" w:eastAsia="Calibri" w:hAnsi="Calibri"/>
                <w:b/>
                <w:bCs/>
                <w:color w:val="1B3A5C"/>
                <w:sz w:val="22"/>
                <w:szCs w:val="22"/>
              </w:rPr>
              <w:t xml:space="preserve">Senior Support Technician</w:t>
            </w:r>
            <w:r>
              <w:rPr>
                <w:rFonts w:ascii="Calibri" w:cs="Calibri" w:eastAsia="Calibri" w:hAnsi="Calibri"/>
                <w:sz w:val="20"/>
                <w:szCs w:val="20"/>
              </w:rPr>
              <w:t xml:space="preserve">   </w:t>
            </w:r>
            <w:r>
              <w:rPr>
                <w:rFonts w:ascii="Calibri" w:cs="Calibri" w:eastAsia="Calibri" w:hAnsi="Calibri"/>
                <w:b/>
                <w:bCs/>
                <w:color w:val="2D2D2D"/>
                <w:sz w:val="20"/>
                <w:szCs w:val="20"/>
              </w:rPr>
              <w:t xml:space="preserve">Apex Systems (Contracted to Ronnoco Coffee)</w:t>
            </w:r>
            <w:r>
              <w:rPr>
                <w:rFonts w:ascii="Calibri" w:cs="Calibri" w:eastAsia="Calibri" w:hAnsi="Calibri"/>
                <w:color w:val="666666"/>
                <w:sz w:val="19"/>
                <w:szCs w:val="19"/>
              </w:rPr>
              <w:t xml:space="preserve"> · St. Louis, MO</w:t>
            </w:r>
          </w:p>
        </w:tc>
        <w:tc>
          <w:tcPr>
            <w:tcW w:type="dxa" w:w="2880"/>
            <w:tcBorders>
              <w:top w:val="none" w:color="FFFFFF" w:sz="0"/>
              <w:left w:val="none" w:color="FFFFFF" w:sz="0"/>
              <w:bottom w:val="none" w:color="FFFFFF" w:sz="0"/>
              <w:right w:val="none" w:color="FFFFFF" w:sz="0"/>
            </w:tcBorders>
            <w:tcMar>
              <w:top w:type="dxa" w:w="0"/>
              <w:left w:type="dxa" w:w="0"/>
              <w:bottom w:type="dxa" w:w="0"/>
              <w:right w:type="dxa" w:w="0"/>
            </w:tcMar>
            <w:vAlign w:val="bottom"/>
          </w:tcPr>
          <w:p>
            <w:pPr>
              <w:spacing w:after="20" w:before="160"/>
              <w:jc w:val="right"/>
            </w:pPr>
            <w:r>
              <w:rPr>
                <w:rFonts w:ascii="Calibri" w:cs="Calibri" w:eastAsia="Calibri" w:hAnsi="Calibri"/>
                <w:i/>
                <w:iCs/>
                <w:color w:val="666666"/>
                <w:sz w:val="19"/>
                <w:szCs w:val="19"/>
              </w:rPr>
              <w:t xml:space="preserve">Oct 2015 – Aug 2016</w:t>
            </w:r>
          </w:p>
        </w:tc>
      </w:tr>
    </w:tbl>
    <w:p>
      <w:pPr>
        <w:spacing w:after="60" w:before="0"/>
      </w:pPr>
      <w:r>
        <w:rPr>
          <w:rFonts w:ascii="Calibri" w:cs="Calibri" w:eastAsia="Calibri" w:hAnsi="Calibri"/>
          <w:i/>
          <w:iCs/>
          <w:color w:val="2E6DA4"/>
          <w:sz w:val="18"/>
          <w:szCs w:val="18"/>
        </w:rPr>
        <w:t xml:space="preserve">Contracted through Apex Systems to Ronnoco Coffee; directly hired and promoted to Manager of IT Operations in August 2016.</w:t>
      </w:r>
    </w:p>
    <w:p>
      <w:pPr>
        <w:pStyle w:val="ListParagraph"/>
        <w:numPr>
          <w:ilvl w:val="0"/>
          <w:numId w:val="2"/>
        </w:numPr>
        <w:spacing w:after="40" w:before="40"/>
      </w:pPr>
      <w:r>
        <w:rPr>
          <w:rFonts w:ascii="Calibri" w:cs="Calibri" w:eastAsia="Calibri" w:hAnsi="Calibri"/>
          <w:b w:val="false"/>
          <w:bCs w:val="false"/>
          <w:i w:val="false"/>
          <w:iCs w:val="false"/>
          <w:color w:val="2D2D2D"/>
          <w:sz w:val="19"/>
          <w:szCs w:val="19"/>
        </w:rPr>
        <w:t xml:space="preserve">Brought new computer setup time from roughly a week down to a few hours by building a custom Windows image deployable over the network via WDS/MDT</w:t>
      </w:r>
    </w:p>
    <w:p>
      <w:pPr>
        <w:pStyle w:val="ListParagraph"/>
        <w:numPr>
          <w:ilvl w:val="0"/>
          <w:numId w:val="2"/>
        </w:numPr>
        <w:spacing w:after="40" w:before="40"/>
      </w:pPr>
      <w:r>
        <w:rPr>
          <w:rFonts w:ascii="Calibri" w:cs="Calibri" w:eastAsia="Calibri" w:hAnsi="Calibri"/>
          <w:b w:val="false"/>
          <w:bCs w:val="false"/>
          <w:i w:val="false"/>
          <w:iCs w:val="false"/>
          <w:color w:val="2D2D2D"/>
          <w:sz w:val="19"/>
          <w:szCs w:val="19"/>
        </w:rPr>
        <w:t xml:space="preserve">Handled all help desk tickets outside of SQL database issues, covering hardware repairs, software troubleshooting, and end-user support across the organization</w:t>
      </w:r>
    </w:p>
    <w:p>
      <w:pPr>
        <w:pStyle w:val="ListParagraph"/>
        <w:numPr>
          <w:ilvl w:val="0"/>
          <w:numId w:val="2"/>
        </w:numPr>
        <w:spacing w:after="40" w:before="40"/>
      </w:pPr>
      <w:r>
        <w:rPr>
          <w:rFonts w:ascii="Calibri" w:cs="Calibri" w:eastAsia="Calibri" w:hAnsi="Calibri"/>
          <w:b w:val="false"/>
          <w:bCs w:val="false"/>
          <w:i w:val="false"/>
          <w:iCs w:val="false"/>
          <w:color w:val="2D2D2D"/>
          <w:sz w:val="19"/>
          <w:szCs w:val="19"/>
        </w:rPr>
        <w:t xml:space="preserve">Managed full onboarding setup for new hires including account creation, computer imaging, and access provisioning across all relevant systems</w:t>
      </w:r>
    </w:p>
    <w:p>
      <w:pPr>
        <w:pStyle w:val="ListParagraph"/>
        <w:numPr>
          <w:ilvl w:val="0"/>
          <w:numId w:val="2"/>
        </w:numPr>
        <w:spacing w:after="40" w:before="40"/>
      </w:pPr>
      <w:r>
        <w:rPr>
          <w:rFonts w:ascii="Calibri" w:cs="Calibri" w:eastAsia="Calibri" w:hAnsi="Calibri"/>
          <w:b w:val="false"/>
          <w:bCs w:val="false"/>
          <w:i w:val="false"/>
          <w:iCs w:val="false"/>
          <w:color w:val="2D2D2D"/>
          <w:sz w:val="19"/>
          <w:szCs w:val="19"/>
        </w:rPr>
        <w:t xml:space="preserve">Fixed hardware in-house rather than sending out, which kept costs down and turnaround fast</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7200"/>
        <w:gridCol w:w="2880"/>
      </w:tblGrid>
      <w:tr>
        <w:tc>
          <w:tcPr>
            <w:tcW w:type="dxa" w:w="7200"/>
            <w:tcBorders>
              <w:top w:val="none" w:color="FFFFFF" w:sz="0"/>
              <w:left w:val="none" w:color="FFFFFF" w:sz="0"/>
              <w:bottom w:val="none" w:color="FFFFFF" w:sz="0"/>
              <w:right w:val="none" w:color="FFFFFF" w:sz="0"/>
            </w:tcBorders>
            <w:tcMar>
              <w:top w:type="dxa" w:w="0"/>
              <w:left w:type="dxa" w:w="0"/>
              <w:bottom w:type="dxa" w:w="0"/>
              <w:right w:type="dxa" w:w="0"/>
            </w:tcMar>
            <w:vAlign w:val="bottom"/>
          </w:tcPr>
          <w:p>
            <w:pPr>
              <w:spacing w:after="20" w:before="160"/>
            </w:pPr>
            <w:r>
              <w:rPr>
                <w:rFonts w:ascii="Calibri" w:cs="Calibri" w:eastAsia="Calibri" w:hAnsi="Calibri"/>
                <w:b/>
                <w:bCs/>
                <w:color w:val="1B3A5C"/>
                <w:sz w:val="22"/>
                <w:szCs w:val="22"/>
              </w:rPr>
              <w:t xml:space="preserve">Technical Support Analyst</w:t>
            </w:r>
            <w:r>
              <w:rPr>
                <w:rFonts w:ascii="Calibri" w:cs="Calibri" w:eastAsia="Calibri" w:hAnsi="Calibri"/>
                <w:sz w:val="20"/>
                <w:szCs w:val="20"/>
              </w:rPr>
              <w:t xml:space="preserve">   </w:t>
            </w:r>
            <w:r>
              <w:rPr>
                <w:rFonts w:ascii="Calibri" w:cs="Calibri" w:eastAsia="Calibri" w:hAnsi="Calibri"/>
                <w:b/>
                <w:bCs/>
                <w:color w:val="2D2D2D"/>
                <w:sz w:val="20"/>
                <w:szCs w:val="20"/>
              </w:rPr>
              <w:t xml:space="preserve">Enterprise Holdings</w:t>
            </w:r>
            <w:r>
              <w:rPr>
                <w:rFonts w:ascii="Calibri" w:cs="Calibri" w:eastAsia="Calibri" w:hAnsi="Calibri"/>
                <w:color w:val="666666"/>
                <w:sz w:val="19"/>
                <w:szCs w:val="19"/>
              </w:rPr>
              <w:t xml:space="preserve"> · Weldon Springs, MO</w:t>
            </w:r>
          </w:p>
        </w:tc>
        <w:tc>
          <w:tcPr>
            <w:tcW w:type="dxa" w:w="2880"/>
            <w:tcBorders>
              <w:top w:val="none" w:color="FFFFFF" w:sz="0"/>
              <w:left w:val="none" w:color="FFFFFF" w:sz="0"/>
              <w:bottom w:val="none" w:color="FFFFFF" w:sz="0"/>
              <w:right w:val="none" w:color="FFFFFF" w:sz="0"/>
            </w:tcBorders>
            <w:tcMar>
              <w:top w:type="dxa" w:w="0"/>
              <w:left w:type="dxa" w:w="0"/>
              <w:bottom w:type="dxa" w:w="0"/>
              <w:right w:type="dxa" w:w="0"/>
            </w:tcMar>
            <w:vAlign w:val="bottom"/>
          </w:tcPr>
          <w:p>
            <w:pPr>
              <w:spacing w:after="20" w:before="160"/>
              <w:jc w:val="right"/>
            </w:pPr>
            <w:r>
              <w:rPr>
                <w:rFonts w:ascii="Calibri" w:cs="Calibri" w:eastAsia="Calibri" w:hAnsi="Calibri"/>
                <w:i/>
                <w:iCs/>
                <w:color w:val="666666"/>
                <w:sz w:val="19"/>
                <w:szCs w:val="19"/>
              </w:rPr>
              <w:t xml:space="preserve">May 2013 – Aug 2015</w:t>
            </w:r>
          </w:p>
        </w:tc>
      </w:tr>
    </w:tbl>
    <w:p>
      <w:pPr>
        <w:pStyle w:val="ListParagraph"/>
        <w:numPr>
          <w:ilvl w:val="0"/>
          <w:numId w:val="2"/>
        </w:numPr>
        <w:spacing w:after="40" w:before="40"/>
      </w:pPr>
      <w:r>
        <w:rPr>
          <w:rFonts w:ascii="Calibri" w:cs="Calibri" w:eastAsia="Calibri" w:hAnsi="Calibri"/>
          <w:b w:val="false"/>
          <w:bCs w:val="false"/>
          <w:i w:val="false"/>
          <w:iCs w:val="false"/>
          <w:color w:val="2D2D2D"/>
          <w:sz w:val="19"/>
          <w:szCs w:val="19"/>
        </w:rPr>
        <w:t xml:space="preserve">Phone-based technical support for Android, iOS, Citrix, Windows 7, and Windows Server 2008 in a fast-paced call center</w:t>
      </w:r>
    </w:p>
    <w:p>
      <w:pPr>
        <w:pStyle w:val="ListParagraph"/>
        <w:numPr>
          <w:ilvl w:val="0"/>
          <w:numId w:val="2"/>
        </w:numPr>
        <w:spacing w:after="40" w:before="40"/>
      </w:pPr>
      <w:r>
        <w:rPr>
          <w:rFonts w:ascii="Calibri" w:cs="Calibri" w:eastAsia="Calibri" w:hAnsi="Calibri"/>
          <w:b w:val="false"/>
          <w:bCs w:val="false"/>
          <w:i w:val="false"/>
          <w:iCs w:val="false"/>
          <w:color w:val="2D2D2D"/>
          <w:sz w:val="19"/>
          <w:szCs w:val="19"/>
        </w:rPr>
        <w:t xml:space="preserve">98% resolution rate across up to 30 calls a day, almost never escalating to a manager</w:t>
      </w:r>
    </w:p>
    <w:p>
      <w:pPr>
        <w:pStyle w:val="ListParagraph"/>
        <w:numPr>
          <w:ilvl w:val="0"/>
          <w:numId w:val="2"/>
        </w:numPr>
        <w:spacing w:after="40" w:before="40"/>
      </w:pPr>
      <w:r>
        <w:rPr>
          <w:rFonts w:ascii="Calibri" w:cs="Calibri" w:eastAsia="Calibri" w:hAnsi="Calibri"/>
          <w:b w:val="false"/>
          <w:bCs w:val="false"/>
          <w:i w:val="false"/>
          <w:iCs w:val="false"/>
          <w:color w:val="2D2D2D"/>
          <w:sz w:val="19"/>
          <w:szCs w:val="19"/>
        </w:rPr>
        <w:t xml:space="preserve">Regularly pulled onto escalated calls by management when other reps could not resolve an issue, and became a consistent go-to for complex technical problems</w:t>
      </w:r>
    </w:p>
    <w:p>
      <w:pPr>
        <w:pStyle w:val="ListParagraph"/>
        <w:numPr>
          <w:ilvl w:val="0"/>
          <w:numId w:val="2"/>
        </w:numPr>
        <w:spacing w:after="40" w:before="40"/>
      </w:pPr>
      <w:r>
        <w:rPr>
          <w:rFonts w:ascii="Calibri" w:cs="Calibri" w:eastAsia="Calibri" w:hAnsi="Calibri"/>
          <w:b w:val="false"/>
          <w:bCs w:val="false"/>
          <w:i w:val="false"/>
          <w:iCs w:val="false"/>
          <w:color w:val="2D2D2D"/>
          <w:sz w:val="19"/>
          <w:szCs w:val="19"/>
        </w:rPr>
        <w:t xml:space="preserve">Trained new hires and did root cause analysis on recurring problems to help the team stay ahead of common issues</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7200"/>
        <w:gridCol w:w="2880"/>
      </w:tblGrid>
      <w:tr>
        <w:tc>
          <w:tcPr>
            <w:tcW w:type="dxa" w:w="7200"/>
            <w:tcBorders>
              <w:top w:val="none" w:color="FFFFFF" w:sz="0"/>
              <w:left w:val="none" w:color="FFFFFF" w:sz="0"/>
              <w:bottom w:val="none" w:color="FFFFFF" w:sz="0"/>
              <w:right w:val="none" w:color="FFFFFF" w:sz="0"/>
            </w:tcBorders>
            <w:tcMar>
              <w:top w:type="dxa" w:w="0"/>
              <w:left w:type="dxa" w:w="0"/>
              <w:bottom w:type="dxa" w:w="0"/>
              <w:right w:type="dxa" w:w="0"/>
            </w:tcMar>
            <w:vAlign w:val="bottom"/>
          </w:tcPr>
          <w:p>
            <w:pPr>
              <w:spacing w:after="20" w:before="160"/>
            </w:pPr>
            <w:r>
              <w:rPr>
                <w:rFonts w:ascii="Calibri" w:cs="Calibri" w:eastAsia="Calibri" w:hAnsi="Calibri"/>
                <w:b/>
                <w:bCs/>
                <w:color w:val="1B3A5C"/>
                <w:sz w:val="22"/>
                <w:szCs w:val="22"/>
              </w:rPr>
              <w:t xml:space="preserve">Cook</w:t>
            </w:r>
            <w:r>
              <w:rPr>
                <w:rFonts w:ascii="Calibri" w:cs="Calibri" w:eastAsia="Calibri" w:hAnsi="Calibri"/>
                <w:sz w:val="20"/>
                <w:szCs w:val="20"/>
              </w:rPr>
              <w:t xml:space="preserve">   </w:t>
            </w:r>
            <w:r>
              <w:rPr>
                <w:rFonts w:ascii="Calibri" w:cs="Calibri" w:eastAsia="Calibri" w:hAnsi="Calibri"/>
                <w:b/>
                <w:bCs/>
                <w:color w:val="2D2D2D"/>
                <w:sz w:val="20"/>
                <w:szCs w:val="20"/>
              </w:rPr>
              <w:t xml:space="preserve">Sisters of Mercy of the Americas</w:t>
            </w:r>
            <w:r>
              <w:rPr>
                <w:rFonts w:ascii="Calibri" w:cs="Calibri" w:eastAsia="Calibri" w:hAnsi="Calibri"/>
                <w:color w:val="666666"/>
                <w:sz w:val="19"/>
                <w:szCs w:val="19"/>
              </w:rPr>
              <w:t xml:space="preserve"> · Ladue, MO</w:t>
            </w:r>
          </w:p>
        </w:tc>
        <w:tc>
          <w:tcPr>
            <w:tcW w:type="dxa" w:w="2880"/>
            <w:tcBorders>
              <w:top w:val="none" w:color="FFFFFF" w:sz="0"/>
              <w:left w:val="none" w:color="FFFFFF" w:sz="0"/>
              <w:bottom w:val="none" w:color="FFFFFF" w:sz="0"/>
              <w:right w:val="none" w:color="FFFFFF" w:sz="0"/>
            </w:tcBorders>
            <w:tcMar>
              <w:top w:type="dxa" w:w="0"/>
              <w:left w:type="dxa" w:w="0"/>
              <w:bottom w:type="dxa" w:w="0"/>
              <w:right w:type="dxa" w:w="0"/>
            </w:tcMar>
            <w:vAlign w:val="bottom"/>
          </w:tcPr>
          <w:p>
            <w:pPr>
              <w:spacing w:after="20" w:before="160"/>
              <w:jc w:val="right"/>
            </w:pPr>
            <w:r>
              <w:rPr>
                <w:rFonts w:ascii="Calibri" w:cs="Calibri" w:eastAsia="Calibri" w:hAnsi="Calibri"/>
                <w:i/>
                <w:iCs/>
                <w:color w:val="666666"/>
                <w:sz w:val="19"/>
                <w:szCs w:val="19"/>
              </w:rPr>
              <w:t xml:space="preserve">Mar 2008 – Jun 2013</w:t>
            </w:r>
          </w:p>
        </w:tc>
      </w:tr>
    </w:tbl>
    <w:p>
      <w:pPr>
        <w:pStyle w:val="ListParagraph"/>
        <w:numPr>
          <w:ilvl w:val="0"/>
          <w:numId w:val="2"/>
        </w:numPr>
        <w:spacing w:after="40" w:before="40"/>
      </w:pPr>
      <w:r>
        <w:rPr>
          <w:rFonts w:ascii="Calibri" w:cs="Calibri" w:eastAsia="Calibri" w:hAnsi="Calibri"/>
          <w:b w:val="false"/>
          <w:bCs w:val="false"/>
          <w:i w:val="false"/>
          <w:iCs w:val="false"/>
          <w:color w:val="2D2D2D"/>
          <w:sz w:val="19"/>
          <w:szCs w:val="19"/>
        </w:rPr>
        <w:t xml:space="preserve">Prepared meals for residents and guests in line with food safety and quality standards</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7200"/>
        <w:gridCol w:w="2880"/>
      </w:tblGrid>
      <w:tr>
        <w:tc>
          <w:tcPr>
            <w:tcW w:type="dxa" w:w="7200"/>
            <w:tcBorders>
              <w:top w:val="none" w:color="FFFFFF" w:sz="0"/>
              <w:left w:val="none" w:color="FFFFFF" w:sz="0"/>
              <w:bottom w:val="none" w:color="FFFFFF" w:sz="0"/>
              <w:right w:val="none" w:color="FFFFFF" w:sz="0"/>
            </w:tcBorders>
            <w:tcMar>
              <w:top w:type="dxa" w:w="0"/>
              <w:left w:type="dxa" w:w="0"/>
              <w:bottom w:type="dxa" w:w="0"/>
              <w:right w:type="dxa" w:w="0"/>
            </w:tcMar>
            <w:vAlign w:val="bottom"/>
          </w:tcPr>
          <w:p>
            <w:pPr>
              <w:spacing w:after="20" w:before="160"/>
            </w:pPr>
            <w:r>
              <w:rPr>
                <w:rFonts w:ascii="Calibri" w:cs="Calibri" w:eastAsia="Calibri" w:hAnsi="Calibri"/>
                <w:b/>
                <w:bCs/>
                <w:color w:val="1B3A5C"/>
                <w:sz w:val="22"/>
                <w:szCs w:val="22"/>
              </w:rPr>
              <w:t xml:space="preserve">Networking / Upgrades Salesman</w:t>
            </w:r>
            <w:r>
              <w:rPr>
                <w:rFonts w:ascii="Calibri" w:cs="Calibri" w:eastAsia="Calibri" w:hAnsi="Calibri"/>
                <w:sz w:val="20"/>
                <w:szCs w:val="20"/>
              </w:rPr>
              <w:t xml:space="preserve">   </w:t>
            </w:r>
            <w:r>
              <w:rPr>
                <w:rFonts w:ascii="Calibri" w:cs="Calibri" w:eastAsia="Calibri" w:hAnsi="Calibri"/>
                <w:b/>
                <w:bCs/>
                <w:color w:val="2D2D2D"/>
                <w:sz w:val="20"/>
                <w:szCs w:val="20"/>
              </w:rPr>
              <w:t xml:space="preserve">CompUSA</w:t>
            </w:r>
            <w:r>
              <w:rPr>
                <w:rFonts w:ascii="Calibri" w:cs="Calibri" w:eastAsia="Calibri" w:hAnsi="Calibri"/>
                <w:color w:val="666666"/>
                <w:sz w:val="19"/>
                <w:szCs w:val="19"/>
              </w:rPr>
              <w:t xml:space="preserve"> · Bridgeton, MO</w:t>
            </w:r>
          </w:p>
        </w:tc>
        <w:tc>
          <w:tcPr>
            <w:tcW w:type="dxa" w:w="2880"/>
            <w:tcBorders>
              <w:top w:val="none" w:color="FFFFFF" w:sz="0"/>
              <w:left w:val="none" w:color="FFFFFF" w:sz="0"/>
              <w:bottom w:val="none" w:color="FFFFFF" w:sz="0"/>
              <w:right w:val="none" w:color="FFFFFF" w:sz="0"/>
            </w:tcBorders>
            <w:tcMar>
              <w:top w:type="dxa" w:w="0"/>
              <w:left w:type="dxa" w:w="0"/>
              <w:bottom w:type="dxa" w:w="0"/>
              <w:right w:type="dxa" w:w="0"/>
            </w:tcMar>
            <w:vAlign w:val="bottom"/>
          </w:tcPr>
          <w:p>
            <w:pPr>
              <w:spacing w:after="20" w:before="160"/>
              <w:jc w:val="right"/>
            </w:pPr>
            <w:r>
              <w:rPr>
                <w:rFonts w:ascii="Calibri" w:cs="Calibri" w:eastAsia="Calibri" w:hAnsi="Calibri"/>
                <w:i/>
                <w:iCs/>
                <w:color w:val="666666"/>
                <w:sz w:val="19"/>
                <w:szCs w:val="19"/>
              </w:rPr>
              <w:t xml:space="preserve">Oct 2006 – Jan 2008</w:t>
            </w:r>
          </w:p>
        </w:tc>
      </w:tr>
    </w:tbl>
    <w:p>
      <w:pPr>
        <w:pStyle w:val="ListParagraph"/>
        <w:numPr>
          <w:ilvl w:val="0"/>
          <w:numId w:val="2"/>
        </w:numPr>
        <w:spacing w:after="40" w:before="40"/>
      </w:pPr>
      <w:r>
        <w:rPr>
          <w:rFonts w:ascii="Calibri" w:cs="Calibri" w:eastAsia="Calibri" w:hAnsi="Calibri"/>
          <w:b w:val="false"/>
          <w:bCs w:val="false"/>
          <w:i w:val="false"/>
          <w:iCs w:val="false"/>
          <w:color w:val="2D2D2D"/>
          <w:sz w:val="19"/>
          <w:szCs w:val="19"/>
        </w:rPr>
        <w:t xml:space="preserve">Finished at 130% of quota by focusing on actually understanding what customers needed rather than pushing the most expensive option</w:t>
      </w:r>
    </w:p>
    <w:tbl>
      <w:tblPr>
        <w:tblW w:type="dxa" w:w="10080"/>
        <w:tblBorders>
          <w:top w:val="none" w:color="FFFFFF" w:sz="0"/>
          <w:left w:val="none" w:color="FFFFFF" w:sz="0"/>
          <w:bottom w:val="single" w:color="CCCCCC" w:sz="4"/>
          <w:right w:val="none" w:color="FFFFFF" w:sz="0"/>
          <w:insideH w:val="single" w:color="auto" w:sz="4"/>
          <w:insideV w:val="single" w:color="auto" w:sz="4"/>
        </w:tblBorders>
        <w:tblCellMar>
          <w:top w:type="dxa" w:w="240"/>
          <w:bottom w:type="dxa" w:w="60"/>
        </w:tblCellMar>
      </w:tblPr>
      <w:tblGrid>
        <w:gridCol w:w="120"/>
        <w:gridCol w:w="9960"/>
      </w:tblGrid>
      <w:tr>
        <w:tc>
          <w:tcPr>
            <w:tcW w:type="dxa" w:w="120"/>
            <w:tcBorders>
              <w:top w:val="none" w:color="FFFFFF" w:sz="0"/>
              <w:left w:val="none" w:color="FFFFFF" w:sz="0"/>
              <w:bottom w:val="none" w:color="FFFFFF" w:sz="0"/>
              <w:right w:val="none" w:color="FFFFFF" w:sz="0"/>
            </w:tcBorders>
            <w:shd w:fill="2E6DA4" w:val="clear"/>
            <w:tcMar>
              <w:top w:type="dxa" w:w="0"/>
              <w:left w:type="dxa" w:w="0"/>
              <w:bottom w:type="dxa" w:w="0"/>
              <w:right w:type="dxa" w:w="0"/>
            </w:tcMar>
          </w:tcPr>
          <w:p>
            <w:r>
              <w:t xml:space="preserve"/>
            </w:r>
          </w:p>
        </w:tc>
        <w:tc>
          <w:tcPr>
            <w:tcW w:type="dxa" w:w="9960"/>
            <w:tcBorders>
              <w:top w:val="none" w:color="FFFFFF" w:sz="0"/>
              <w:left w:val="none" w:color="FFFFFF" w:sz="0"/>
              <w:bottom w:val="none" w:color="FFFFFF" w:sz="0"/>
              <w:right w:val="none" w:color="FFFFFF" w:sz="0"/>
            </w:tcBorders>
            <w:tcMar>
              <w:top w:type="dxa" w:w="40"/>
              <w:left w:type="dxa" w:w="180"/>
              <w:bottom w:type="dxa" w:w="40"/>
              <w:right w:type="dxa" w:w="0"/>
            </w:tcMar>
          </w:tcPr>
          <w:p>
            <w:pPr>
              <w:spacing w:after="0" w:before="0"/>
            </w:pPr>
            <w:r>
              <w:rPr>
                <w:rFonts w:ascii="Calibri" w:cs="Calibri" w:eastAsia="Calibri" w:hAnsi="Calibri"/>
                <w:b/>
                <w:bCs/>
                <w:color w:val="1B3A5C"/>
                <w:sz w:val="22"/>
                <w:szCs w:val="22"/>
              </w:rPr>
              <w:t xml:space="preserve">EDUCATION &amp; CERTIFICATIONS</w:t>
            </w:r>
          </w:p>
        </w:tc>
      </w:tr>
    </w:tbl>
    <w:p>
      <w:pPr>
        <w:spacing w:after="40" w:before="0"/>
      </w:pPr>
      <w:r>
        <w:t xml:space="preserve"/>
      </w:r>
    </w:p>
    <w:p>
      <w:pPr>
        <w:spacing w:after="40" w:before="40"/>
      </w:pPr>
      <w:r>
        <w:rPr>
          <w:rFonts w:ascii="Calibri" w:cs="Calibri" w:eastAsia="Calibri" w:hAnsi="Calibri"/>
          <w:b/>
          <w:bCs/>
          <w:color w:val="2D2D2D"/>
          <w:sz w:val="20"/>
          <w:szCs w:val="20"/>
        </w:rPr>
        <w:t xml:space="preserve">Associate Degree, Information Technology</w:t>
      </w:r>
      <w:r>
        <w:rPr>
          <w:rFonts w:ascii="Calibri" w:cs="Calibri" w:eastAsia="Calibri" w:hAnsi="Calibri"/>
          <w:color w:val="666666"/>
          <w:sz w:val="19"/>
          <w:szCs w:val="19"/>
        </w:rPr>
        <w:t xml:space="preserve">  |  Ranken Technical College, St. Louis, MO</w:t>
      </w:r>
      <w:r>
        <w:t xml:space="preserve"/>
      </w:r>
    </w:p>
    <w:p>
      <w:pPr>
        <w:spacing w:after="40" w:before="40"/>
      </w:pPr>
      <w:r>
        <w:rPr>
          <w:rFonts w:ascii="Calibri" w:cs="Calibri" w:eastAsia="Calibri" w:hAnsi="Calibri"/>
          <w:b/>
          <w:bCs/>
          <w:color w:val="2D2D2D"/>
          <w:sz w:val="20"/>
          <w:szCs w:val="20"/>
        </w:rPr>
        <w:t xml:space="preserve">CompTIA A+</w:t>
      </w:r>
      <w:r>
        <w:rPr>
          <w:rFonts w:ascii="Calibri" w:cs="Calibri" w:eastAsia="Calibri" w:hAnsi="Calibri"/>
          <w:color w:val="666666"/>
          <w:sz w:val="19"/>
          <w:szCs w:val="19"/>
        </w:rPr>
        <w:t xml:space="preserve">  |  CompTIA</w:t>
      </w:r>
      <w:r>
        <w:rPr>
          <w:rFonts w:ascii="Calibri" w:cs="Calibri" w:eastAsia="Calibri" w:hAnsi="Calibri"/>
          <w:i/>
          <w:iCs/>
          <w:color w:val="2E6DA4"/>
          <w:sz w:val="18"/>
          <w:szCs w:val="18"/>
        </w:rPr>
        <w:t xml:space="preserve">  Certified 2015</w:t>
      </w:r>
    </w:p>
    <w:p>
      <w:pPr>
        <w:spacing w:after="40" w:before="40"/>
      </w:pPr>
      <w:r>
        <w:rPr>
          <w:rFonts w:ascii="Calibri" w:cs="Calibri" w:eastAsia="Calibri" w:hAnsi="Calibri"/>
          <w:b/>
          <w:bCs/>
          <w:color w:val="2D2D2D"/>
          <w:sz w:val="20"/>
          <w:szCs w:val="20"/>
        </w:rPr>
        <w:t xml:space="preserve">Microsoft AZ-104, Azure Administrator Associate</w:t>
      </w:r>
      <w:r>
        <w:t xml:space="preserve"/>
      </w:r>
      <w:r>
        <w:rPr>
          <w:rFonts w:ascii="Calibri" w:cs="Calibri" w:eastAsia="Calibri" w:hAnsi="Calibri"/>
          <w:i/>
          <w:iCs/>
          <w:color w:val="2E6DA4"/>
          <w:sz w:val="18"/>
          <w:szCs w:val="18"/>
        </w:rPr>
        <w:t xml:space="preserve">  (In Progress)</w:t>
      </w:r>
    </w:p>
    <w:sectPr>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D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2026-05-11T00:34:31.733Z</dcterms:created>
  <dcterms:modified xsi:type="dcterms:W3CDTF">2026-05-11T00:34:31.733Z</dcterms:modified>
</cp:coreProperties>
</file>

<file path=docProps/custom.xml><?xml version="1.0" encoding="utf-8"?>
<Properties xmlns="http://schemas.openxmlformats.org/officeDocument/2006/custom-properties" xmlns:vt="http://schemas.openxmlformats.org/officeDocument/2006/docPropsVTypes"/>
</file>