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56" w:leader="none"/>
        </w:tabs>
        <w:spacing w:lineRule="auto" w:line="271"/>
        <w:ind w:right="1160" w:hanging="0"/>
        <w:rPr>
          <w:rFonts w:ascii="Verdana" w:hAnsi="Verdana" w:eastAsia="Verdana" w:cs="Verdana"/>
          <w:sz w:val="27"/>
        </w:rPr>
      </w:pPr>
      <w:bookmarkStart w:id="0" w:name="page4"/>
      <w:bookmarkEnd w:id="0"/>
      <w:r>
        <w:rPr>
          <w:rFonts w:eastAsia="Verdana" w:cs="Verdana" w:ascii="Verdana" w:hAnsi="Verdana"/>
          <w:b/>
          <w:sz w:val="27"/>
        </w:rPr>
        <w:t>Recommendations for submission of supplementary information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sz w:val="27"/>
        </w:rPr>
      </w:pPr>
      <w:r>
        <w:rPr>
          <w:rFonts w:eastAsia="Times New Roman" w:cs="Times New Roman" w:ascii="Times New Roman" w:hAnsi="Times New Roman"/>
          <w:b/>
          <w:sz w:val="27"/>
        </w:rPr>
      </w:r>
    </w:p>
    <w:p>
      <w:pPr>
        <w:pStyle w:val="Normal"/>
        <w:spacing w:lineRule="exact" w:line="37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62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23"/>
        <w:gridCol w:w="2097"/>
        <w:gridCol w:w="23"/>
        <w:gridCol w:w="1397"/>
        <w:gridCol w:w="23"/>
        <w:gridCol w:w="2447"/>
        <w:gridCol w:w="1810"/>
      </w:tblGrid>
      <w:tr>
        <w:trPr>
          <w:trHeight w:val="299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b/>
                <w:b/>
                <w:color w:val="FFFFFF"/>
                <w:sz w:val="18"/>
              </w:rPr>
            </w:pPr>
            <w:r>
              <w:rPr>
                <w:rFonts w:eastAsia="Verdana" w:cs="Verdana" w:ascii="Verdana" w:hAnsi="Verdana"/>
                <w:b/>
                <w:color w:val="FFFFFF"/>
                <w:sz w:val="18"/>
              </w:rPr>
              <w:t>INN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b/>
                <w:b/>
                <w:color w:val="FFFFFF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b/>
                <w:b/>
                <w:color w:val="FFFFFF"/>
                <w:sz w:val="18"/>
              </w:rPr>
            </w:pPr>
            <w:r>
              <w:rPr>
                <w:rFonts w:eastAsia="Verdana" w:cs="Verdana" w:ascii="Verdana" w:hAnsi="Verdana"/>
                <w:b/>
                <w:color w:val="FFFFFF"/>
                <w:sz w:val="18"/>
              </w:rPr>
              <w:t>Signal (EPITT No)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b/>
                <w:b/>
                <w:color w:val="FFFFFF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b/>
                <w:b/>
                <w:color w:val="FFFFFF"/>
                <w:sz w:val="18"/>
              </w:rPr>
            </w:pPr>
            <w:r>
              <w:rPr>
                <w:rFonts w:eastAsia="Verdana" w:cs="Verdana" w:ascii="Verdana" w:hAnsi="Verdana"/>
                <w:b/>
                <w:color w:val="FFFFFF"/>
                <w:sz w:val="18"/>
              </w:rPr>
              <w:t>PRAC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b/>
                <w:b/>
                <w:color w:val="FFFFFF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b/>
                <w:b/>
                <w:color w:val="FFFFFF"/>
                <w:sz w:val="18"/>
              </w:rPr>
            </w:pPr>
            <w:r>
              <w:rPr>
                <w:rFonts w:eastAsia="Verdana" w:cs="Verdana" w:ascii="Verdana" w:hAnsi="Verdana"/>
                <w:b/>
                <w:color w:val="FFFFFF"/>
                <w:sz w:val="18"/>
              </w:rPr>
              <w:t>Action for MAH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b/>
                <w:b/>
                <w:color w:val="FFFFFF"/>
                <w:sz w:val="18"/>
              </w:rPr>
            </w:pPr>
            <w:r>
              <w:rPr>
                <w:rFonts w:eastAsia="Verdana" w:cs="Verdana" w:ascii="Verdana" w:hAnsi="Verdana"/>
                <w:b/>
                <w:color w:val="FFFFFF"/>
                <w:sz w:val="18"/>
              </w:rPr>
              <w:t>MAH</w:t>
            </w:r>
          </w:p>
        </w:tc>
      </w:tr>
      <w:tr>
        <w:trPr>
          <w:trHeight w:val="280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b/>
                <w:b/>
                <w:color w:val="FFFFFF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b/>
                <w:b/>
                <w:color w:val="FFFFFF"/>
                <w:sz w:val="16"/>
              </w:rPr>
            </w:pPr>
            <w:r>
              <w:rPr>
                <w:rFonts w:eastAsia="Verdana" w:cs="Verdana" w:ascii="Verdana" w:hAnsi="Verdana"/>
                <w:b/>
                <w:color w:val="FFFFFF"/>
                <w:sz w:val="16"/>
              </w:rPr>
              <w:t>Rapporteur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b/>
                <w:b/>
                <w:color w:val="FFFFFF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194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6"/>
              </w:rPr>
            </w:pPr>
            <w:r>
              <w:rPr>
                <w:rFonts w:eastAsia="Times New Roman" w:cs="Times New Roman" w:ascii="Times New Roman" w:hAnsi="Times New Roman"/>
                <w:sz w:val="16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6"/>
              </w:rPr>
            </w:pPr>
            <w:r>
              <w:rPr>
                <w:rFonts w:eastAsia="Times New Roman" w:cs="Times New Roman" w:ascii="Times New Roman" w:hAnsi="Times New Roman"/>
                <w:sz w:val="16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6"/>
              </w:rPr>
            </w:pPr>
            <w:r>
              <w:rPr>
                <w:rFonts w:eastAsia="Times New Roman" w:cs="Times New Roman" w:ascii="Times New Roman" w:hAnsi="Times New Roman"/>
                <w:sz w:val="16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6"/>
              </w:rPr>
            </w:pPr>
            <w:r>
              <w:rPr>
                <w:rFonts w:eastAsia="Times New Roman" w:cs="Times New Roman" w:ascii="Times New Roman" w:hAnsi="Times New Roman"/>
                <w:sz w:val="16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6"/>
              </w:rPr>
            </w:pPr>
            <w:r>
              <w:rPr>
                <w:rFonts w:eastAsia="Times New Roman" w:cs="Times New Roman" w:ascii="Times New Roman" w:hAnsi="Times New Roman"/>
                <w:sz w:val="16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6"/>
              </w:rPr>
            </w:pPr>
            <w:r>
              <w:rPr>
                <w:rFonts w:eastAsia="Times New Roman" w:cs="Times New Roman" w:ascii="Times New Roman" w:hAnsi="Times New Roman"/>
                <w:sz w:val="16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6"/>
              </w:rPr>
            </w:pPr>
            <w:r>
              <w:rPr>
                <w:rFonts w:eastAsia="Times New Roman" w:cs="Times New Roman" w:ascii="Times New Roman" w:hAnsi="Times New Roman"/>
                <w:sz w:val="16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6"/>
              </w:rPr>
            </w:pPr>
            <w:r>
              <w:rPr>
                <w:rFonts w:eastAsia="Times New Roman" w:cs="Times New Roman" w:ascii="Times New Roman" w:hAnsi="Times New Roman"/>
                <w:sz w:val="16"/>
              </w:rPr>
            </w:r>
          </w:p>
        </w:tc>
      </w:tr>
      <w:tr>
        <w:trPr>
          <w:trHeight w:val="288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Adalimumab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Autoimmune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Ulla Wändel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Supplementary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AbbVie Ltd</w:t>
            </w:r>
          </w:p>
        </w:tc>
      </w:tr>
      <w:tr>
        <w:trPr>
          <w:trHeight w:val="278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haemolytic anaemia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Liminga (SE)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information requested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96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(AIHA) and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(submission by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haemolytic anaemia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09/12/2015)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81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(HA) (18447)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128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</w:tr>
      <w:tr>
        <w:trPr>
          <w:trHeight w:val="288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Alogliptin;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Arthralgia (18489)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Menno van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Supplementary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Takeda Pharma</w:t>
            </w:r>
          </w:p>
        </w:tc>
      </w:tr>
      <w:tr>
        <w:trPr>
          <w:trHeight w:val="278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Linagliptin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der Elst (NL)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information requested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A/S; Boehringer</w:t>
            </w:r>
          </w:p>
        </w:tc>
      </w:tr>
      <w:tr>
        <w:trPr>
          <w:trHeight w:val="296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(submission by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Ingelheim</w:t>
            </w:r>
          </w:p>
        </w:tc>
      </w:tr>
      <w:tr>
        <w:trPr>
          <w:trHeight w:val="265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3"/>
              </w:rPr>
            </w:pPr>
            <w:r>
              <w:rPr>
                <w:rFonts w:eastAsia="Times New Roman" w:cs="Times New Roman" w:ascii="Times New Roman" w:hAnsi="Times New Roman"/>
                <w:sz w:val="23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3"/>
              </w:rPr>
            </w:pPr>
            <w:r>
              <w:rPr>
                <w:rFonts w:eastAsia="Times New Roman" w:cs="Times New Roman" w:ascii="Times New Roman" w:hAnsi="Times New Roman"/>
                <w:sz w:val="23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3"/>
              </w:rPr>
            </w:pPr>
            <w:r>
              <w:rPr>
                <w:rFonts w:eastAsia="Times New Roman" w:cs="Times New Roman" w:ascii="Times New Roman" w:hAnsi="Times New Roman"/>
                <w:sz w:val="23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3"/>
              </w:rPr>
            </w:pPr>
            <w:r>
              <w:rPr>
                <w:rFonts w:eastAsia="Times New Roman" w:cs="Times New Roman" w:ascii="Times New Roman" w:hAnsi="Times New Roman"/>
                <w:sz w:val="23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3"/>
              </w:rPr>
            </w:pPr>
            <w:r>
              <w:rPr>
                <w:rFonts w:eastAsia="Times New Roman" w:cs="Times New Roman" w:ascii="Times New Roman" w:hAnsi="Times New Roman"/>
                <w:sz w:val="23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3"/>
              </w:rPr>
            </w:pPr>
            <w:r>
              <w:rPr>
                <w:rFonts w:eastAsia="Times New Roman" w:cs="Times New Roman" w:ascii="Times New Roman" w:hAnsi="Times New Roman"/>
                <w:sz w:val="23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09/12/2015)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International</w:t>
            </w:r>
          </w:p>
        </w:tc>
      </w:tr>
      <w:tr>
        <w:trPr>
          <w:trHeight w:val="299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GmbH</w:t>
            </w:r>
          </w:p>
        </w:tc>
      </w:tr>
      <w:tr>
        <w:trPr>
          <w:trHeight w:val="128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</w:tr>
      <w:tr>
        <w:trPr>
          <w:trHeight w:val="286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Carbidopa,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Intussusception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Qun-Ying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Supplementary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AbbVie Ltd</w:t>
            </w:r>
          </w:p>
        </w:tc>
      </w:tr>
      <w:tr>
        <w:trPr>
          <w:trHeight w:val="281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levodopa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(18424)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Yue (SE)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information requested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81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(submission by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99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09/12/2015)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128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</w:tr>
      <w:tr>
        <w:trPr>
          <w:trHeight w:val="288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Ibrutinib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Peripheral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Julie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Assess in the next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Janssen-Cilag</w:t>
            </w:r>
          </w:p>
        </w:tc>
      </w:tr>
      <w:tr>
        <w:trPr>
          <w:trHeight w:val="299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neuropathy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Williams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PSUR (submission by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International NV</w:t>
            </w:r>
          </w:p>
        </w:tc>
      </w:tr>
      <w:tr>
        <w:trPr>
          <w:trHeight w:val="260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/>
            </w:pPr>
            <w:r>
              <w:rPr>
                <w:rFonts w:eastAsia="Verdana" w:cs="Verdana" w:ascii="Verdana" w:hAnsi="Verdana"/>
              </w:rPr>
              <w:t>(</w:t>
            </w:r>
            <w:r>
              <w:rPr>
                <w:rFonts w:eastAsia="Verdana" w:cs="Verdana" w:ascii="Verdana" w:hAnsi="Verdana"/>
                <w:sz w:val="18"/>
              </w:rPr>
              <w:t>18480</w:t>
            </w:r>
            <w:r>
              <w:rPr>
                <w:rFonts w:eastAsia="Verdana" w:cs="Verdana" w:ascii="Verdana" w:hAnsi="Verdana"/>
              </w:rPr>
              <w:t>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(UK)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21/01/2016)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</w:tr>
      <w:tr>
        <w:trPr>
          <w:trHeight w:val="218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</w:tr>
      <w:tr>
        <w:trPr>
          <w:trHeight w:val="286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Mitotane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Sex hormone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Dolores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Supplementary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  <w:highlight w:val="blue"/>
              </w:rPr>
            </w:pPr>
            <w:r>
              <w:rPr>
                <w:rFonts w:eastAsia="Verdana" w:cs="Verdana" w:ascii="Verdana" w:hAnsi="Verdana"/>
                <w:sz w:val="18"/>
                <w:shd w:fill="E1E3F2" w:val="clear"/>
              </w:rPr>
              <w:t>Laboratoire HRA</w:t>
            </w:r>
          </w:p>
        </w:tc>
      </w:tr>
      <w:tr>
        <w:trPr>
          <w:trHeight w:val="299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  <w:highlight w:val="blue"/>
              </w:rPr>
            </w:pPr>
            <w:r>
              <w:rPr>
                <w:rFonts w:eastAsia="Times New Roman" w:cs="Times New Roman" w:ascii="Times New Roman" w:hAnsi="Times New Roman"/>
                <w:sz w:val="24"/>
                <w:shd w:fill="E1E3F2" w:val="clear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disturbances and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Montero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information requested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Pharma, SA</w:t>
            </w:r>
          </w:p>
        </w:tc>
      </w:tr>
      <w:tr>
        <w:trPr>
          <w:trHeight w:val="278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development of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Corominas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(submission by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63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ovarian macrocysts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(ES)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09/12/2015)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</w:tr>
      <w:tr>
        <w:trPr>
          <w:trHeight w:val="299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(18301)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130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</w:tr>
      <w:tr>
        <w:trPr>
          <w:trHeight w:val="287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Peginterferon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Acquired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Qun-Ying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Supplementary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Roche</w:t>
            </w:r>
          </w:p>
        </w:tc>
      </w:tr>
      <w:tr>
        <w:trPr>
          <w:trHeight w:val="281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alfa-2a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haemophilia (18476)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Yue (SE)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information requested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Registration</w:t>
            </w:r>
          </w:p>
        </w:tc>
      </w:tr>
      <w:tr>
        <w:trPr>
          <w:trHeight w:val="281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(submission by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Limited</w:t>
            </w:r>
          </w:p>
        </w:tc>
      </w:tr>
      <w:tr>
        <w:trPr>
          <w:trHeight w:val="299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09/12/2015)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128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</w:tr>
      <w:tr>
        <w:trPr>
          <w:trHeight w:val="288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Ustekinumab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Pemphigoid (18469)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Julie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Supplementary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Janssen-Cilag</w:t>
            </w:r>
          </w:p>
        </w:tc>
      </w:tr>
      <w:tr>
        <w:trPr>
          <w:trHeight w:val="299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Williams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information requested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International N.V.</w:t>
            </w:r>
          </w:p>
        </w:tc>
      </w:tr>
      <w:tr>
        <w:trPr>
          <w:trHeight w:val="260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(UK)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(submission by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</w:tr>
      <w:tr>
        <w:trPr>
          <w:trHeight w:val="299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09/12/2015)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121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0"/>
              </w:rPr>
            </w:pPr>
            <w:r>
              <w:rPr>
                <w:rFonts w:eastAsia="Times New Roman" w:cs="Times New Roman" w:ascii="Times New Roman" w:hAnsi="Times New Roman"/>
                <w:sz w:val="10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0"/>
              </w:rPr>
            </w:pPr>
            <w:r>
              <w:rPr>
                <w:rFonts w:eastAsia="Times New Roman" w:cs="Times New Roman" w:ascii="Times New Roman" w:hAnsi="Times New Roman"/>
                <w:sz w:val="10"/>
              </w:rPr>
            </w:r>
          </w:p>
        </w:tc>
        <w:tc>
          <w:tcPr>
            <w:tcW w:w="20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0"/>
              </w:rPr>
            </w:pPr>
            <w:r>
              <w:rPr>
                <w:rFonts w:eastAsia="Times New Roman" w:cs="Times New Roman" w:ascii="Times New Roman" w:hAnsi="Times New Roman"/>
                <w:sz w:val="10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0"/>
              </w:rPr>
            </w:pPr>
            <w:r>
              <w:rPr>
                <w:rFonts w:eastAsia="Times New Roman" w:cs="Times New Roman" w:ascii="Times New Roman" w:hAnsi="Times New Roman"/>
                <w:sz w:val="10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0"/>
              </w:rPr>
            </w:pPr>
            <w:r>
              <w:rPr>
                <w:rFonts w:eastAsia="Times New Roman" w:cs="Times New Roman" w:ascii="Times New Roman" w:hAnsi="Times New Roman"/>
                <w:sz w:val="10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0"/>
              </w:rPr>
            </w:pPr>
            <w:r>
              <w:rPr>
                <w:rFonts w:eastAsia="Times New Roman" w:cs="Times New Roman" w:ascii="Times New Roman" w:hAnsi="Times New Roman"/>
                <w:sz w:val="10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0"/>
              </w:rPr>
            </w:pPr>
            <w:r>
              <w:rPr>
                <w:rFonts w:eastAsia="Times New Roman" w:cs="Times New Roman" w:ascii="Times New Roman" w:hAnsi="Times New Roman"/>
                <w:sz w:val="10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0"/>
              </w:rPr>
            </w:pPr>
            <w:r>
              <w:rPr>
                <w:rFonts w:eastAsia="Times New Roman" w:cs="Times New Roman" w:ascii="Times New Roman" w:hAnsi="Times New Roman"/>
                <w:sz w:val="10"/>
              </w:rPr>
            </w:r>
          </w:p>
        </w:tc>
      </w:tr>
    </w:tbl>
    <w:p>
      <w:pPr>
        <w:pStyle w:val="Normal"/>
        <w:spacing w:lineRule="exact" w:line="20"/>
        <w:rPr>
          <w:rFonts w:ascii="Times New Roman" w:hAnsi="Times New Roman" w:eastAsia="Times New Roman" w:cs="Times New Roman"/>
          <w:sz w:val="10"/>
        </w:rPr>
      </w:pPr>
      <w:r>
        <w:rPr>
          <w:rFonts w:eastAsia="Times New Roman" w:cs="Times New Roman" w:ascii="Times New Roman" w:hAnsi="Times New Roman"/>
          <w:sz w:val="10"/>
        </w:rP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1148715</wp:posOffset>
                </wp:positionH>
                <wp:positionV relativeFrom="paragraph">
                  <wp:posOffset>-6057900</wp:posOffset>
                </wp:positionV>
                <wp:extent cx="635" cy="60585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05808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45pt,-477pt" to="90.45pt,-0.05pt" stroked="t" style="position:absolute">
                <v:stroke color="white" weight="90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4930140</wp:posOffset>
                </wp:positionH>
                <wp:positionV relativeFrom="paragraph">
                  <wp:posOffset>-6057900</wp:posOffset>
                </wp:positionV>
                <wp:extent cx="635" cy="60585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05808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2pt,-477pt" to="388.2pt,-0.05pt" stroked="t" style="position:absolute">
                <v:stroke color="white" weight="9000" joinstyle="miter" endcap="flat"/>
                <v:fill o:detectmouseclick="t" on="false"/>
              </v:line>
            </w:pict>
          </mc:Fallback>
        </mc:AlternateContent>
      </w:r>
    </w:p>
    <w:p>
      <w:pPr>
        <w:sectPr>
          <w:type w:val="nextPage"/>
          <w:pgSz w:w="11906" w:h="16838"/>
          <w:pgMar w:left="1240" w:right="1266" w:header="0" w:top="1440" w:footer="0" w:bottom="29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89"/>
        <w:rPr>
          <w:rFonts w:ascii="Verdana" w:hAnsi="Verdana" w:eastAsia="Verdana" w:cs="Verdana"/>
          <w:sz w:val="14"/>
        </w:rPr>
      </w:pPr>
      <w:r>
        <w:rPr>
          <w:rFonts w:eastAsia="Verdana" w:cs="Verdana" w:ascii="Verdana" w:hAnsi="Verdana"/>
          <w:sz w:val="14"/>
        </w:rPr>
      </w:r>
    </w:p>
    <w:p>
      <w:pPr>
        <w:sectPr>
          <w:type w:val="continuous"/>
          <w:pgSz w:w="11906" w:h="16838"/>
          <w:pgMar w:left="1240" w:right="1266" w:header="0" w:top="1440" w:footer="0" w:bottom="291" w:gutter="0"/>
          <w:cols w:num="2" w:equalWidth="false" w:sep="false">
            <w:col w:w="7965" w:space="720"/>
            <w:col w:w="714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sz w:val="14"/>
        </w:rPr>
      </w:r>
      <w:bookmarkStart w:id="1" w:name="page5"/>
      <w:bookmarkStart w:id="2" w:name="page5"/>
      <w:bookmarkEnd w:id="2"/>
    </w:p>
    <w:p>
      <w:pPr>
        <w:pStyle w:val="Normal"/>
        <w:spacing w:lineRule="exact" w:line="3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ind w:left="100" w:hanging="0"/>
        <w:rPr>
          <w:rFonts w:ascii="Verdana" w:hAnsi="Verdana" w:eastAsia="Verdana" w:cs="Verdana"/>
          <w:b/>
          <w:b/>
          <w:sz w:val="27"/>
        </w:rPr>
      </w:pPr>
      <w:r>
        <w:rPr>
          <w:rFonts w:eastAsia="Verdana" w:cs="Verdana" w:ascii="Verdana" w:hAnsi="Verdana"/>
          <w:b/>
          <w:sz w:val="27"/>
        </w:rPr>
        <w:t>3. Other recommendations</w:t>
      </w:r>
    </w:p>
    <w:p>
      <w:pPr>
        <w:pStyle w:val="Normal"/>
        <w:spacing w:lineRule="exact" w:line="243"/>
        <w:rPr>
          <w:rFonts w:ascii="Times New Roman" w:hAnsi="Times New Roman" w:eastAsia="Times New Roman" w:cs="Times New Roman"/>
          <w:b/>
          <w:b/>
          <w:sz w:val="27"/>
        </w:rPr>
      </w:pPr>
      <w:r>
        <w:rPr>
          <w:rFonts w:eastAsia="Times New Roman" w:cs="Times New Roman" w:ascii="Times New Roman" w:hAnsi="Times New Roman"/>
          <w:b/>
          <w:sz w:val="27"/>
        </w:rPr>
      </w:r>
    </w:p>
    <w:tbl>
      <w:tblPr>
        <w:tblW w:w="962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23"/>
        <w:gridCol w:w="2237"/>
        <w:gridCol w:w="23"/>
        <w:gridCol w:w="1397"/>
        <w:gridCol w:w="23"/>
        <w:gridCol w:w="2307"/>
        <w:gridCol w:w="1810"/>
      </w:tblGrid>
      <w:tr>
        <w:trPr>
          <w:trHeight w:val="299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b/>
                <w:b/>
                <w:color w:val="FFFFFF"/>
                <w:sz w:val="18"/>
              </w:rPr>
            </w:pPr>
            <w:r>
              <w:rPr>
                <w:rFonts w:eastAsia="Verdana" w:cs="Verdana" w:ascii="Verdana" w:hAnsi="Verdana"/>
                <w:b/>
                <w:color w:val="FFFFFF"/>
                <w:sz w:val="18"/>
              </w:rPr>
              <w:t>INN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b/>
                <w:b/>
                <w:color w:val="FFFFFF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b/>
                <w:b/>
                <w:color w:val="FFFFFF"/>
                <w:sz w:val="18"/>
              </w:rPr>
            </w:pPr>
            <w:r>
              <w:rPr>
                <w:rFonts w:eastAsia="Verdana" w:cs="Verdana" w:ascii="Verdana" w:hAnsi="Verdana"/>
                <w:b/>
                <w:color w:val="FFFFFF"/>
                <w:sz w:val="18"/>
              </w:rPr>
              <w:t>Signal (EPITT No)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b/>
                <w:b/>
                <w:color w:val="FFFFFF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b/>
                <w:b/>
                <w:color w:val="FFFFFF"/>
                <w:sz w:val="18"/>
              </w:rPr>
            </w:pPr>
            <w:r>
              <w:rPr>
                <w:rFonts w:eastAsia="Verdana" w:cs="Verdana" w:ascii="Verdana" w:hAnsi="Verdana"/>
                <w:b/>
                <w:color w:val="FFFFFF"/>
                <w:sz w:val="18"/>
              </w:rPr>
              <w:t>PRAC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b/>
                <w:b/>
                <w:color w:val="FFFFFF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b/>
                <w:b/>
                <w:color w:val="FFFFFF"/>
                <w:sz w:val="18"/>
              </w:rPr>
            </w:pPr>
            <w:r>
              <w:rPr>
                <w:rFonts w:eastAsia="Verdana" w:cs="Verdana" w:ascii="Verdana" w:hAnsi="Verdana"/>
                <w:b/>
                <w:color w:val="FFFFFF"/>
                <w:sz w:val="18"/>
              </w:rPr>
              <w:t>Action for MAH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b/>
                <w:b/>
                <w:color w:val="FFFFFF"/>
                <w:sz w:val="18"/>
              </w:rPr>
            </w:pPr>
            <w:r>
              <w:rPr>
                <w:rFonts w:eastAsia="Verdana" w:cs="Verdana" w:ascii="Verdana" w:hAnsi="Verdana"/>
                <w:b/>
                <w:color w:val="FFFFFF"/>
                <w:sz w:val="18"/>
              </w:rPr>
              <w:t>MAH</w:t>
            </w:r>
          </w:p>
        </w:tc>
      </w:tr>
      <w:tr>
        <w:trPr>
          <w:trHeight w:val="277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b/>
                <w:b/>
                <w:color w:val="FFFFFF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b/>
                <w:b/>
                <w:color w:val="FFFFFF"/>
                <w:sz w:val="16"/>
              </w:rPr>
            </w:pPr>
            <w:r>
              <w:rPr>
                <w:rFonts w:eastAsia="Verdana" w:cs="Verdana" w:ascii="Verdana" w:hAnsi="Verdana"/>
                <w:b/>
                <w:color w:val="FFFFFF"/>
                <w:sz w:val="16"/>
              </w:rPr>
              <w:t>Rapporteur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b/>
                <w:b/>
                <w:color w:val="FFFFFF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196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</w:tr>
      <w:tr>
        <w:trPr>
          <w:trHeight w:val="307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Adalimumab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Convulsion (18211)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Ulla Wändel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No action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AbbVie Ltd</w:t>
            </w:r>
          </w:p>
        </w:tc>
      </w:tr>
      <w:tr>
        <w:trPr>
          <w:trHeight w:val="257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Liminga (SE)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</w:tr>
      <w:tr>
        <w:trPr>
          <w:trHeight w:val="504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84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Boceprevir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Hyponatraemia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Isabelle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Monitor in PSUR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Merck Sharp &amp;</w:t>
            </w:r>
          </w:p>
        </w:tc>
      </w:tr>
      <w:tr>
        <w:trPr>
          <w:trHeight w:val="281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(18350)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Robine (FR)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Dohme Limited</w:t>
            </w:r>
          </w:p>
        </w:tc>
      </w:tr>
      <w:tr>
        <w:trPr>
          <w:trHeight w:val="500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302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7"/>
              </w:rPr>
            </w:pPr>
            <w:r>
              <w:rPr>
                <w:rFonts w:eastAsia="Verdana" w:cs="Verdana" w:ascii="Verdana" w:hAnsi="Verdana"/>
                <w:sz w:val="17"/>
              </w:rPr>
              <w:t>Fluoroquinolones: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Retinal detachment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Valerie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No action at this stage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Not applicable</w:t>
            </w:r>
          </w:p>
        </w:tc>
      </w:tr>
      <w:tr>
        <w:trPr>
          <w:trHeight w:val="281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ciprofloxacin;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(15914)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Strassmann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60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enoxacin;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(DE)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</w:tr>
      <w:tr>
        <w:trPr>
          <w:trHeight w:val="296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flumequine;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81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levofloxacin;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78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lomefloxacin;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81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moxifloxacin;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81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norfloxacin;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78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ofloxacin;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81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pefloxacin;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81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prulifloxacin;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81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rufloxacin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130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1"/>
              </w:rPr>
            </w:pPr>
            <w:r>
              <w:rPr>
                <w:rFonts w:eastAsia="Times New Roman" w:cs="Times New Roman" w:ascii="Times New Roman" w:hAnsi="Times New Roman"/>
                <w:sz w:val="11"/>
              </w:rPr>
            </w:r>
          </w:p>
        </w:tc>
      </w:tr>
      <w:tr>
        <w:trPr>
          <w:trHeight w:val="287" w:hRule="atLeast"/>
        </w:trPr>
        <w:tc>
          <w:tcPr>
            <w:tcW w:w="1800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Sitagliptin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Intestinal obstruction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Menno van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Monitor in PSUR</w:t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Merck Sharp &amp;</w:t>
            </w:r>
          </w:p>
        </w:tc>
      </w:tr>
      <w:tr>
        <w:trPr>
          <w:trHeight w:val="281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(18251)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pacing w:lineRule="auto"/>
              <w:ind w:left="10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der Elst (NL)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pacing w:lineRule="auto"/>
              <w:ind w:left="50" w:hanging="0"/>
              <w:rPr>
                <w:rFonts w:ascii="Verdana" w:hAnsi="Verdana" w:eastAsia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>Dohme Limited</w:t>
            </w:r>
          </w:p>
        </w:tc>
      </w:tr>
      <w:tr>
        <w:trPr>
          <w:trHeight w:val="490" w:hRule="atLeast"/>
        </w:trPr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23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9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307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2540</wp:posOffset>
                </wp:positionH>
                <wp:positionV relativeFrom="paragraph">
                  <wp:posOffset>-3579495</wp:posOffset>
                </wp:positionV>
                <wp:extent cx="1151255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pt,-281.85pt" to="90.75pt,-281.85pt" stroked="t" style="position:absolute">
                <v:stroke color="white" weight="90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3484880</wp:posOffset>
                </wp:positionH>
                <wp:positionV relativeFrom="paragraph">
                  <wp:posOffset>-3579495</wp:posOffset>
                </wp:positionV>
                <wp:extent cx="1450340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4pt,-281.85pt" to="388.5pt,-281.85pt" stroked="t" style="position:absolute">
                <v:stroke color="white" weight="90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column">
                  <wp:posOffset>3484880</wp:posOffset>
                </wp:positionH>
                <wp:positionV relativeFrom="paragraph">
                  <wp:posOffset>-2902585</wp:posOffset>
                </wp:positionV>
                <wp:extent cx="2626995" cy="6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0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4pt,-228.55pt" to="481.15pt,-228.55pt" stroked="t" style="position:absolute">
                <v:stroke color="white" weight="90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column">
                  <wp:posOffset>1148715</wp:posOffset>
                </wp:positionH>
                <wp:positionV relativeFrom="paragraph">
                  <wp:posOffset>-4251960</wp:posOffset>
                </wp:positionV>
                <wp:extent cx="635" cy="425831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25772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45pt,-334.8pt" to="90.45pt,0.4pt" stroked="t" style="position:absolute">
                <v:stroke color="white" weight="90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">
                <wp:simplePos x="0" y="0"/>
                <wp:positionH relativeFrom="column">
                  <wp:posOffset>2588895</wp:posOffset>
                </wp:positionH>
                <wp:positionV relativeFrom="paragraph">
                  <wp:posOffset>-4251960</wp:posOffset>
                </wp:positionV>
                <wp:extent cx="635" cy="425831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25772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85pt,-334.8pt" to="203.85pt,0.4pt" stroked="t" style="position:absolute">
                <v:stroke color="white" weight="90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">
                <wp:simplePos x="0" y="0"/>
                <wp:positionH relativeFrom="column">
                  <wp:posOffset>3489960</wp:posOffset>
                </wp:positionH>
                <wp:positionV relativeFrom="paragraph">
                  <wp:posOffset>-4251960</wp:posOffset>
                </wp:positionV>
                <wp:extent cx="635" cy="425831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25772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8pt,-334.8pt" to="274.8pt,0.4pt" stroked="t" style="position:absolute">
                <v:stroke color="white" weight="90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">
                <wp:simplePos x="0" y="0"/>
                <wp:positionH relativeFrom="column">
                  <wp:posOffset>4930140</wp:posOffset>
                </wp:positionH>
                <wp:positionV relativeFrom="paragraph">
                  <wp:posOffset>-4251960</wp:posOffset>
                </wp:positionV>
                <wp:extent cx="635" cy="425831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25772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2pt,-334.8pt" to="388.2pt,0.4pt" stroked="t" style="position:absolute">
                <v:stroke color="white" weight="90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">
                <wp:simplePos x="0" y="0"/>
                <wp:positionH relativeFrom="column">
                  <wp:posOffset>2540</wp:posOffset>
                </wp:positionH>
                <wp:positionV relativeFrom="paragraph">
                  <wp:posOffset>2540</wp:posOffset>
                </wp:positionV>
                <wp:extent cx="6115050" cy="63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pt,0.2pt" to="481.6pt,0.2pt" stroked="t" style="position:absolute">
                <v:stroke color="white" weight="6480" joinstyle="miter" endcap="flat"/>
                <v:fill o:detectmouseclick="t" on="false"/>
              </v:line>
            </w:pict>
          </mc:Fallback>
        </mc:AlternateContent>
      </w:r>
    </w:p>
    <w:p>
      <w:pPr>
        <w:sectPr>
          <w:type w:val="nextPage"/>
          <w:pgSz w:w="11906" w:h="16838"/>
          <w:pgMar w:left="1140" w:right="1146" w:header="0" w:top="1440" w:footer="0" w:bottom="50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23"/>
        <w:rPr>
          <w:rFonts w:ascii="Verdana" w:hAnsi="Verdana" w:eastAsia="Verdana" w:cs="Verdana"/>
          <w:sz w:val="14"/>
        </w:rPr>
      </w:pPr>
      <w:r>
        <w:rPr>
          <w:rFonts w:eastAsia="Verdana" w:cs="Verdana" w:ascii="Verdana" w:hAnsi="Verdana"/>
          <w:sz w:val="14"/>
        </w:rPr>
      </w:r>
    </w:p>
    <w:sectPr>
      <w:type w:val="continuous"/>
      <w:pgSz w:w="11906" w:h="16838"/>
      <w:pgMar w:left="1140" w:right="1146" w:header="0" w:top="1440" w:footer="0" w:bottom="504" w:gutter="0"/>
      <w:cols w:num="2" w:equalWidth="false" w:sep="false">
        <w:col w:w="8160" w:space="720"/>
        <w:col w:w="740"/>
      </w:cols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Calibri">
    <w:charset w:val="00"/>
    <w:family w:val="swiss"/>
    <w:pitch w:val="variable"/>
  </w:font>
  <w:font w:name="Verdana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Arial"/>
      <w:color w:val="auto"/>
      <w:sz w:val="20"/>
      <w:szCs w:val="20"/>
      <w:lang w:val="en-US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229</Words>
  <Characters>1661</Characters>
  <CharactersWithSpaces>1745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2021-06-29T10:30:20Z</dcterms:modified>
  <cp:revision>1</cp:revision>
  <dc:subject/>
  <dc:title/>
</cp:coreProperties>
</file>