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80"/>
        <w:ind w:firstLine="0"/>
        <w:jc w:val="center"/>
      </w:pPr>
      <w:r>
        <w:rPr>
          <w:rFonts w:ascii="Times New Roman" w:hAnsi="Times New Roman" w:eastAsia="Times New Roman"/>
          <w:b/>
          <w:i w:val="0"/>
          <w:color w:val="000000"/>
          <w:sz w:val="32"/>
          <w:u w:val="single"/>
        </w:rPr>
        <w:t>Задание 3. Изучение стандартов, определяющих термины, используемые для характеристики цифровых рисков и видового состава рисков цифровой экономики</w:t>
      </w:r>
    </w:p>
    <w:p>
      <w:pPr>
        <w:spacing w:line="360" w:lineRule="auto" w:before="0" w:after="240"/>
        <w:ind w:firstLine="0"/>
        <w:jc w:val="center"/>
      </w:pPr>
      <w:r>
        <w:rPr>
          <w:rFonts w:ascii="Times New Roman" w:hAnsi="Times New Roman" w:eastAsia="Times New Roman"/>
          <w:b/>
          <w:i w:val="0"/>
          <w:color w:val="000000"/>
          <w:sz w:val="28"/>
          <w:u w:val="none"/>
        </w:rPr>
        <w:t>Вариант 5</w:t>
      </w:r>
    </w:p>
    <w:p>
      <w:pPr>
        <w:spacing w:line="360" w:lineRule="auto" w:before="240" w:after="160"/>
        <w:ind w:firstLine="0"/>
        <w:jc w:val="center"/>
      </w:pPr>
      <w:r>
        <w:rPr>
          <w:rFonts w:ascii="Times New Roman" w:hAnsi="Times New Roman" w:eastAsia="Times New Roman"/>
          <w:b/>
          <w:i w:val="0"/>
          <w:color w:val="000000"/>
          <w:sz w:val="32"/>
          <w:u w:val="single"/>
        </w:rPr>
        <w:t>Часть первая</w:t>
      </w:r>
    </w:p>
    <w:p>
      <w:pPr>
        <w:spacing w:line="360" w:lineRule="auto" w:before="0" w:after="200"/>
        <w:ind w:firstLine="709"/>
        <w:jc w:val="both"/>
      </w:pPr>
      <w:r>
        <w:rPr>
          <w:rFonts w:ascii="Times New Roman" w:hAnsi="Times New Roman" w:eastAsia="Times New Roman"/>
          <w:b/>
          <w:i w:val="0"/>
          <w:color w:val="000000"/>
          <w:sz w:val="28"/>
          <w:u w:val="none"/>
        </w:rPr>
        <w:t xml:space="preserve">Стандарт варианта 5: </w:t>
      </w:r>
      <w:r>
        <w:rPr>
          <w:rFonts w:ascii="Times New Roman" w:hAnsi="Times New Roman" w:eastAsia="Times New Roman"/>
          <w:b w:val="0"/>
          <w:i w:val="0"/>
          <w:color w:val="000000"/>
          <w:sz w:val="28"/>
          <w:u w:val="none"/>
        </w:rPr>
        <w:t>ГОСТ Р ИСО/МЭК 15408-1-2008 «Информационная технология. Методы и средства обеспечения безопасности. Критерии оценки безопасности информационных технологий. Часть 1. Введение и общая модель».</w:t>
      </w:r>
    </w:p>
    <w:p>
      <w:pPr>
        <w:spacing w:line="360" w:lineRule="auto" w:before="160" w:after="120"/>
        <w:ind w:firstLine="0"/>
        <w:jc w:val="left"/>
      </w:pPr>
      <w:r>
        <w:rPr>
          <w:rFonts w:ascii="Times New Roman" w:hAnsi="Times New Roman" w:eastAsia="Times New Roman"/>
          <w:b/>
          <w:i w:val="0"/>
          <w:color w:val="000000"/>
          <w:sz w:val="28"/>
          <w:u w:val="single"/>
        </w:rPr>
        <w:t>1. Когда и кем был утвержден этот стандарт?</w:t>
      </w:r>
    </w:p>
    <w:p>
      <w:pPr>
        <w:spacing w:line="360" w:lineRule="auto" w:before="0" w:after="120"/>
        <w:ind w:firstLine="709"/>
        <w:jc w:val="both"/>
      </w:pPr>
      <w:r>
        <w:rPr>
          <w:rFonts w:ascii="Times New Roman" w:hAnsi="Times New Roman" w:eastAsia="Times New Roman"/>
          <w:b w:val="0"/>
          <w:i w:val="0"/>
          <w:color w:val="000000"/>
          <w:sz w:val="28"/>
          <w:u w:val="none"/>
        </w:rPr>
        <w:t>Национальный стандарт Российской Федерации ГОСТ Р ИСО/МЭК 15408-1-2008 утвержден и введен в действие Приказом Федерального агентства по техническому регулированию и метрологии (Ростехрегулирование, ныне Росстандарт) от 18 декабря 2008 г. № 519-ст. Дата введения стандарта в действие — 1 октября 2009 г.</w:t>
      </w:r>
    </w:p>
    <w:p>
      <w:pPr>
        <w:spacing w:line="360" w:lineRule="auto" w:before="0" w:after="120"/>
        <w:ind w:firstLine="709"/>
        <w:jc w:val="both"/>
      </w:pPr>
      <w:r>
        <w:rPr>
          <w:rFonts w:ascii="Times New Roman" w:hAnsi="Times New Roman" w:eastAsia="Times New Roman"/>
          <w:b w:val="0"/>
          <w:i w:val="0"/>
          <w:color w:val="000000"/>
          <w:sz w:val="28"/>
          <w:u w:val="none"/>
        </w:rPr>
        <w:t>Стандарт подготовлен ООО «Центр безопасности информации» (ООО «ЦБИ»), ФГУ «4 ЦНИИ Минобороны России», ФГУП Центр «Атомзащитаинформ» и ФГУП «ЦНИИАТОМИНФОРМ» при участии экспертов Международной рабочей группы по общим критериям. Внесен Техническим комитетом по стандартизации ТК 362 «Защита информации». Стандарт идентичен международному стандарту ISO/IEC 15408-1:2005 Information technology — Security techniques — Evaluation criteria for IT security — Part 1: Introduction and general model (известному также как «Общие критерии», Common Criteria, версия 2.3) и введен взамен ГОСТ Р ИСО/МЭК 15408-1-2002.</w:t>
      </w:r>
    </w:p>
    <w:p>
      <w:pPr>
        <w:spacing w:line="360" w:lineRule="auto" w:before="0" w:after="120"/>
        <w:ind w:firstLine="709"/>
        <w:jc w:val="both"/>
      </w:pPr>
      <w:r>
        <w:rPr>
          <w:rFonts w:ascii="Times New Roman" w:hAnsi="Times New Roman" w:eastAsia="Times New Roman"/>
          <w:b w:val="0"/>
          <w:i w:val="0"/>
          <w:color w:val="000000"/>
          <w:sz w:val="28"/>
          <w:u w:val="none"/>
        </w:rPr>
        <w:t>Впоследствии ГОСТ Р ИСО/МЭК 15408-1-2008 был заменен ГОСТ Р ИСО/МЭК 15408-1-2012 (приказ Росстандарта, дата введения — 1 декабря 2013 г.). Новая редакция сохранила ту же концептуальную модель оценки безопасности ИТ и тот же набор ключевых понятий, уточнив формулировки терминов. Для целей настоящего задания анализируется редакция 2008 года, указанная в варианте, с учетом того, что терминологический аппарат «Общих критериев» в российской практике продолжает применяться через последующие редакции стандарта и документы, основанные на нем.</w:t>
      </w:r>
    </w:p>
    <w:p>
      <w:pPr>
        <w:spacing w:line="360" w:lineRule="auto" w:before="160" w:after="120"/>
        <w:ind w:firstLine="0"/>
        <w:jc w:val="left"/>
      </w:pPr>
      <w:r>
        <w:rPr>
          <w:rFonts w:ascii="Times New Roman" w:hAnsi="Times New Roman" w:eastAsia="Times New Roman"/>
          <w:b/>
          <w:i w:val="0"/>
          <w:color w:val="000000"/>
          <w:sz w:val="28"/>
          <w:u w:val="single"/>
        </w:rPr>
        <w:t>2. Какие термины, использующиеся для характеристики цифровых рисков, определяет этот стандарт?</w:t>
      </w:r>
    </w:p>
    <w:p>
      <w:pPr>
        <w:spacing w:line="360" w:lineRule="auto" w:before="0" w:after="120"/>
        <w:ind w:firstLine="709"/>
        <w:jc w:val="both"/>
      </w:pPr>
      <w:r>
        <w:rPr>
          <w:rFonts w:ascii="Times New Roman" w:hAnsi="Times New Roman" w:eastAsia="Times New Roman"/>
          <w:b w:val="0"/>
          <w:i w:val="0"/>
          <w:color w:val="000000"/>
          <w:sz w:val="28"/>
          <w:u w:val="none"/>
        </w:rPr>
        <w:t>ГОСТ Р ИСО/МЭК 15408-1-2008 не вводит термин «цифровой риск» как таковой. Он задает систему понятий, через которые описываются угрозы, уязвимости, ценность защищаемых объектов и приемлемость остаточного риска при использовании информационных технологий. Именно эти понятия используются для характеристики цифровых рисков.</w:t>
      </w:r>
    </w:p>
    <w:p>
      <w:pPr>
        <w:spacing w:line="360" w:lineRule="auto" w:before="0" w:after="120"/>
        <w:ind w:firstLine="709"/>
        <w:jc w:val="both"/>
      </w:pPr>
      <w:r>
        <w:rPr>
          <w:rFonts w:ascii="Times New Roman" w:hAnsi="Times New Roman" w:eastAsia="Times New Roman"/>
          <w:b w:val="0"/>
          <w:i w:val="0"/>
          <w:color w:val="000000"/>
          <w:sz w:val="28"/>
          <w:u w:val="none"/>
        </w:rPr>
        <w:t>В разделе 2 стандарта закреплены, в частности, следующие термины, непосредственно связанные с описанием риска:</w:t>
      </w:r>
    </w:p>
    <w:p>
      <w:pPr>
        <w:spacing w:line="360" w:lineRule="auto" w:before="0" w:after="80"/>
        <w:ind w:firstLine="0"/>
        <w:jc w:val="both"/>
      </w:pPr>
      <w:r>
        <w:rPr>
          <w:rFonts w:ascii="Times New Roman" w:hAnsi="Times New Roman" w:eastAsia="Times New Roman"/>
          <w:b/>
          <w:i w:val="0"/>
          <w:color w:val="000000"/>
          <w:sz w:val="28"/>
          <w:u w:val="none"/>
        </w:rPr>
        <w:t xml:space="preserve">— активы (assets) — </w:t>
      </w:r>
      <w:r>
        <w:rPr>
          <w:rFonts w:ascii="Times New Roman" w:hAnsi="Times New Roman" w:eastAsia="Times New Roman"/>
          <w:b w:val="0"/>
          <w:i w:val="0"/>
          <w:color w:val="000000"/>
          <w:sz w:val="28"/>
          <w:u w:val="none"/>
        </w:rPr>
        <w:t>информация или ресурсы, подлежащие защите контрмерами объекта оценки. В цифровой экономике активами выступают данные, информационные системы, каналы передачи, вычислительные ресурсы и сервисы;</w:t>
      </w:r>
    </w:p>
    <w:p>
      <w:pPr>
        <w:spacing w:line="360" w:lineRule="auto" w:before="0" w:after="80"/>
        <w:ind w:firstLine="0"/>
        <w:jc w:val="both"/>
      </w:pPr>
      <w:r>
        <w:rPr>
          <w:rFonts w:ascii="Times New Roman" w:hAnsi="Times New Roman" w:eastAsia="Times New Roman"/>
          <w:b/>
          <w:i w:val="0"/>
          <w:color w:val="000000"/>
          <w:sz w:val="28"/>
          <w:u w:val="none"/>
        </w:rPr>
        <w:t xml:space="preserve">— потенциал нападения (attack potential) — </w:t>
      </w:r>
      <w:r>
        <w:rPr>
          <w:rFonts w:ascii="Times New Roman" w:hAnsi="Times New Roman" w:eastAsia="Times New Roman"/>
          <w:b w:val="0"/>
          <w:i w:val="0"/>
          <w:color w:val="000000"/>
          <w:sz w:val="28"/>
          <w:u w:val="none"/>
        </w:rPr>
        <w:t>прогнозируемый потенциал успешного нападения, выраженный через компетентность, ресурсы и мотивацию нарушителя. Это количественно-качественная характеристика угрозы, без которой нельзя оценить уровень цифрового риска;</w:t>
      </w:r>
    </w:p>
    <w:p>
      <w:pPr>
        <w:spacing w:line="360" w:lineRule="auto" w:before="0" w:after="80"/>
        <w:ind w:firstLine="0"/>
        <w:jc w:val="both"/>
      </w:pPr>
      <w:r>
        <w:rPr>
          <w:rFonts w:ascii="Times New Roman" w:hAnsi="Times New Roman" w:eastAsia="Times New Roman"/>
          <w:b/>
          <w:i w:val="0"/>
          <w:color w:val="000000"/>
          <w:sz w:val="28"/>
          <w:u w:val="none"/>
        </w:rPr>
        <w:t xml:space="preserve">— доверие (assurance) — </w:t>
      </w:r>
      <w:r>
        <w:rPr>
          <w:rFonts w:ascii="Times New Roman" w:hAnsi="Times New Roman" w:eastAsia="Times New Roman"/>
          <w:b w:val="0"/>
          <w:i w:val="0"/>
          <w:color w:val="000000"/>
          <w:sz w:val="28"/>
          <w:u w:val="none"/>
        </w:rPr>
        <w:t>основание для уверенности в том, что сущность отвечает своим целям безопасности. Доверие снижает неопределенность и тем самым влияет на оценку риска;</w:t>
      </w:r>
    </w:p>
    <w:p>
      <w:pPr>
        <w:spacing w:line="360" w:lineRule="auto" w:before="0" w:after="80"/>
        <w:ind w:firstLine="0"/>
        <w:jc w:val="both"/>
      </w:pPr>
      <w:r>
        <w:rPr>
          <w:rFonts w:ascii="Times New Roman" w:hAnsi="Times New Roman" w:eastAsia="Times New Roman"/>
          <w:b/>
          <w:i w:val="0"/>
          <w:color w:val="000000"/>
          <w:sz w:val="28"/>
          <w:u w:val="none"/>
        </w:rPr>
        <w:t xml:space="preserve">— цель безопасности (security objective) — </w:t>
      </w:r>
      <w:r>
        <w:rPr>
          <w:rFonts w:ascii="Times New Roman" w:hAnsi="Times New Roman" w:eastAsia="Times New Roman"/>
          <w:b w:val="0"/>
          <w:i w:val="0"/>
          <w:color w:val="000000"/>
          <w:sz w:val="28"/>
          <w:u w:val="none"/>
        </w:rPr>
        <w:t>изложенное намерение противостоять установленным угрозам и (или) удовлетворять политике безопасности организации и предположениям;</w:t>
      </w:r>
    </w:p>
    <w:p>
      <w:pPr>
        <w:spacing w:line="360" w:lineRule="auto" w:before="0" w:after="80"/>
        <w:ind w:firstLine="0"/>
        <w:jc w:val="both"/>
      </w:pPr>
      <w:r>
        <w:rPr>
          <w:rFonts w:ascii="Times New Roman" w:hAnsi="Times New Roman" w:eastAsia="Times New Roman"/>
          <w:b/>
          <w:i w:val="0"/>
          <w:color w:val="000000"/>
          <w:sz w:val="28"/>
          <w:u w:val="none"/>
        </w:rPr>
        <w:t xml:space="preserve">— политика безопасности организации (organisational security policies) — </w:t>
      </w:r>
      <w:r>
        <w:rPr>
          <w:rFonts w:ascii="Times New Roman" w:hAnsi="Times New Roman" w:eastAsia="Times New Roman"/>
          <w:b w:val="0"/>
          <w:i w:val="0"/>
          <w:color w:val="000000"/>
          <w:sz w:val="28"/>
          <w:u w:val="none"/>
        </w:rPr>
        <w:t>правила, процедуры и руководящие принципы в области безопасности, которыми руководствуется организация;</w:t>
      </w:r>
    </w:p>
    <w:p>
      <w:pPr>
        <w:spacing w:line="360" w:lineRule="auto" w:before="0" w:after="80"/>
        <w:ind w:firstLine="0"/>
        <w:jc w:val="both"/>
      </w:pPr>
      <w:r>
        <w:rPr>
          <w:rFonts w:ascii="Times New Roman" w:hAnsi="Times New Roman" w:eastAsia="Times New Roman"/>
          <w:b/>
          <w:i w:val="0"/>
          <w:color w:val="000000"/>
          <w:sz w:val="28"/>
          <w:u w:val="none"/>
        </w:rPr>
        <w:t xml:space="preserve">— политика безопасности объекта оценки (TOE security policy) — </w:t>
      </w:r>
      <w:r>
        <w:rPr>
          <w:rFonts w:ascii="Times New Roman" w:hAnsi="Times New Roman" w:eastAsia="Times New Roman"/>
          <w:b w:val="0"/>
          <w:i w:val="0"/>
          <w:color w:val="000000"/>
          <w:sz w:val="28"/>
          <w:u w:val="none"/>
        </w:rPr>
        <w:t>совокупность правил, регулирующих управление активами, их защиту и распределение в пределах объекта оценки;</w:t>
      </w:r>
    </w:p>
    <w:p>
      <w:pPr>
        <w:spacing w:line="360" w:lineRule="auto" w:before="0" w:after="80"/>
        <w:ind w:firstLine="0"/>
        <w:jc w:val="both"/>
      </w:pPr>
      <w:r>
        <w:rPr>
          <w:rFonts w:ascii="Times New Roman" w:hAnsi="Times New Roman" w:eastAsia="Times New Roman"/>
          <w:b/>
          <w:i w:val="0"/>
          <w:color w:val="000000"/>
          <w:sz w:val="28"/>
          <w:u w:val="none"/>
        </w:rPr>
        <w:t xml:space="preserve">— оценочный уровень доверия, ОУД (evaluation assurance level) — </w:t>
      </w:r>
      <w:r>
        <w:rPr>
          <w:rFonts w:ascii="Times New Roman" w:hAnsi="Times New Roman" w:eastAsia="Times New Roman"/>
          <w:b w:val="0"/>
          <w:i w:val="0"/>
          <w:color w:val="000000"/>
          <w:sz w:val="28"/>
          <w:u w:val="none"/>
        </w:rPr>
        <w:t>пакет компонентов доверия, задающий положение объекта на шкале доверия. Выбор ОУД отражает допустимый уровень риска;</w:t>
      </w:r>
    </w:p>
    <w:p>
      <w:pPr>
        <w:spacing w:line="360" w:lineRule="auto" w:before="0" w:after="80"/>
        <w:ind w:firstLine="0"/>
        <w:jc w:val="both"/>
      </w:pPr>
      <w:r>
        <w:rPr>
          <w:rFonts w:ascii="Times New Roman" w:hAnsi="Times New Roman" w:eastAsia="Times New Roman"/>
          <w:b/>
          <w:i w:val="0"/>
          <w:color w:val="000000"/>
          <w:sz w:val="28"/>
          <w:u w:val="none"/>
        </w:rPr>
        <w:t xml:space="preserve">— стойкость функции безопасности (strength of function) — </w:t>
      </w:r>
      <w:r>
        <w:rPr>
          <w:rFonts w:ascii="Times New Roman" w:hAnsi="Times New Roman" w:eastAsia="Times New Roman"/>
          <w:b w:val="0"/>
          <w:i w:val="0"/>
          <w:color w:val="000000"/>
          <w:sz w:val="28"/>
          <w:u w:val="none"/>
        </w:rPr>
        <w:t>характеристика минимальных усилий, необходимых для нарушения ожидаемого безопасного поведения функции при прямой атаке. Выделяются базовая, средняя и высокая стойкость (SOF-basic, SOF-medium, SOF-high) в зависимости от потенциала нарушителя;</w:t>
      </w:r>
    </w:p>
    <w:p>
      <w:pPr>
        <w:spacing w:line="360" w:lineRule="auto" w:before="0" w:after="80"/>
        <w:ind w:firstLine="0"/>
        <w:jc w:val="both"/>
      </w:pPr>
      <w:r>
        <w:rPr>
          <w:rFonts w:ascii="Times New Roman" w:hAnsi="Times New Roman" w:eastAsia="Times New Roman"/>
          <w:b/>
          <w:i w:val="0"/>
          <w:color w:val="000000"/>
          <w:sz w:val="28"/>
          <w:u w:val="none"/>
        </w:rPr>
        <w:t xml:space="preserve">— аутентификационные данные (authentication data) — </w:t>
      </w:r>
      <w:r>
        <w:rPr>
          <w:rFonts w:ascii="Times New Roman" w:hAnsi="Times New Roman" w:eastAsia="Times New Roman"/>
          <w:b w:val="0"/>
          <w:i w:val="0"/>
          <w:color w:val="000000"/>
          <w:sz w:val="28"/>
          <w:u w:val="none"/>
        </w:rPr>
        <w:t>информация, используемая для проверки предъявленного идентификатора пользователя (пароли, криптографические ключи, биометрические шаблоны и т. п.) — типичный критичный актив, с которым связаны цифровые риски;</w:t>
      </w:r>
    </w:p>
    <w:p>
      <w:pPr>
        <w:spacing w:line="360" w:lineRule="auto" w:before="0" w:after="80"/>
        <w:ind w:firstLine="0"/>
        <w:jc w:val="both"/>
      </w:pPr>
      <w:r>
        <w:rPr>
          <w:rFonts w:ascii="Times New Roman" w:hAnsi="Times New Roman" w:eastAsia="Times New Roman"/>
          <w:b/>
          <w:i w:val="0"/>
          <w:color w:val="000000"/>
          <w:sz w:val="28"/>
          <w:u w:val="none"/>
        </w:rPr>
        <w:t xml:space="preserve">— секрет (secret) — </w:t>
      </w:r>
      <w:r>
        <w:rPr>
          <w:rFonts w:ascii="Times New Roman" w:hAnsi="Times New Roman" w:eastAsia="Times New Roman"/>
          <w:b w:val="0"/>
          <w:i w:val="0"/>
          <w:color w:val="000000"/>
          <w:sz w:val="28"/>
          <w:u w:val="none"/>
        </w:rPr>
        <w:t>информация, которая должна быть известна только уполномоченным пользователям и (или) функциям безопасности объекта оценки;</w:t>
      </w:r>
    </w:p>
    <w:p>
      <w:pPr>
        <w:spacing w:line="360" w:lineRule="auto" w:before="0" w:after="80"/>
        <w:ind w:firstLine="0"/>
        <w:jc w:val="both"/>
      </w:pPr>
      <w:r>
        <w:rPr>
          <w:rFonts w:ascii="Times New Roman" w:hAnsi="Times New Roman" w:eastAsia="Times New Roman"/>
          <w:b/>
          <w:i w:val="0"/>
          <w:color w:val="000000"/>
          <w:sz w:val="28"/>
          <w:u w:val="none"/>
        </w:rPr>
        <w:t xml:space="preserve">— данные пользователя / данные функций безопасности — </w:t>
      </w:r>
      <w:r>
        <w:rPr>
          <w:rFonts w:ascii="Times New Roman" w:hAnsi="Times New Roman" w:eastAsia="Times New Roman"/>
          <w:b w:val="0"/>
          <w:i w:val="0"/>
          <w:color w:val="000000"/>
          <w:sz w:val="28"/>
          <w:u w:val="none"/>
        </w:rPr>
        <w:t>разграничение пользовательских данных и служебных данных защиты, необходимое для анализа рисков утечки, подмены и отказа в обслуживании;</w:t>
      </w:r>
    </w:p>
    <w:p>
      <w:pPr>
        <w:spacing w:line="360" w:lineRule="auto" w:before="0" w:after="80"/>
        <w:ind w:firstLine="0"/>
        <w:jc w:val="both"/>
      </w:pPr>
      <w:r>
        <w:rPr>
          <w:rFonts w:ascii="Times New Roman" w:hAnsi="Times New Roman" w:eastAsia="Times New Roman"/>
          <w:b/>
          <w:i w:val="0"/>
          <w:color w:val="000000"/>
          <w:sz w:val="28"/>
          <w:u w:val="none"/>
        </w:rPr>
        <w:t xml:space="preserve">— объект оценки (target of evaluation) — </w:t>
      </w:r>
      <w:r>
        <w:rPr>
          <w:rFonts w:ascii="Times New Roman" w:hAnsi="Times New Roman" w:eastAsia="Times New Roman"/>
          <w:b w:val="0"/>
          <w:i w:val="0"/>
          <w:color w:val="000000"/>
          <w:sz w:val="28"/>
          <w:u w:val="none"/>
        </w:rPr>
        <w:t>продукт или система ИТ и связанная документация, в отношении которых проводится оценка безопасности;</w:t>
      </w:r>
    </w:p>
    <w:p>
      <w:pPr>
        <w:spacing w:line="360" w:lineRule="auto" w:before="0" w:after="80"/>
        <w:ind w:firstLine="0"/>
        <w:jc w:val="both"/>
      </w:pPr>
      <w:r>
        <w:rPr>
          <w:rFonts w:ascii="Times New Roman" w:hAnsi="Times New Roman" w:eastAsia="Times New Roman"/>
          <w:b/>
          <w:i w:val="0"/>
          <w:color w:val="000000"/>
          <w:sz w:val="28"/>
          <w:u w:val="none"/>
        </w:rPr>
        <w:t xml:space="preserve">— профиль защиты и задание по безопасности — </w:t>
      </w:r>
      <w:r>
        <w:rPr>
          <w:rFonts w:ascii="Times New Roman" w:hAnsi="Times New Roman" w:eastAsia="Times New Roman"/>
          <w:b w:val="0"/>
          <w:i w:val="0"/>
          <w:color w:val="000000"/>
          <w:sz w:val="28"/>
          <w:u w:val="none"/>
        </w:rPr>
        <w:t>конструкции, в которых фиксируются угрозы, политика безопасности, цели и требования — то есть формализованное описание рисковой модели конкретного продукта или класса продуктов.</w:t>
      </w:r>
    </w:p>
    <w:p>
      <w:pPr>
        <w:spacing w:line="360" w:lineRule="auto" w:before="120" w:after="120"/>
        <w:ind w:firstLine="709"/>
        <w:jc w:val="both"/>
      </w:pPr>
      <w:r>
        <w:rPr>
          <w:rFonts w:ascii="Times New Roman" w:hAnsi="Times New Roman" w:eastAsia="Times New Roman"/>
          <w:b w:val="0"/>
          <w:i w:val="0"/>
          <w:color w:val="000000"/>
          <w:sz w:val="28"/>
          <w:u w:val="none"/>
        </w:rPr>
        <w:t>Помимо словарных определений раздела 2, раздел 5 «Общая модель» вводит рабочую логику оценки риска. Безопасность связывается с защитой активов от угроз. Владельцы активов анализируют угрозы и определяют связанные с ними риски; контрмеры уменьшают уязвимости; после применения контрмер сохраняется остаточный риск. Типичные нарушения безопасности описаны как потеря конфиденциальности (несанкционированное раскрытие), целостности (несанкционированная модификация) и доступности (лишение доступа к активу). Именно эта триада — актив, угроза (с учетом потенциала нападения), уязвимость, контрмера, остаточный риск — составляет терминологическую основу характеристики цифровых рисков в логике «Общих критериев».</w:t>
      </w:r>
    </w:p>
    <w:p>
      <w:pPr>
        <w:spacing w:line="360" w:lineRule="auto" w:before="160" w:after="120"/>
        <w:ind w:firstLine="0"/>
        <w:jc w:val="left"/>
      </w:pPr>
      <w:r>
        <w:rPr>
          <w:rFonts w:ascii="Times New Roman" w:hAnsi="Times New Roman" w:eastAsia="Times New Roman"/>
          <w:b/>
          <w:i w:val="0"/>
          <w:color w:val="000000"/>
          <w:sz w:val="28"/>
          <w:u w:val="single"/>
        </w:rPr>
        <w:t>3. Есть ли аналог этого термина (или этих терминов) в российском законодательстве?</w:t>
      </w:r>
    </w:p>
    <w:p>
      <w:pPr>
        <w:spacing w:line="360" w:lineRule="auto" w:before="0" w:after="120"/>
        <w:ind w:firstLine="709"/>
        <w:jc w:val="both"/>
      </w:pPr>
      <w:r>
        <w:rPr>
          <w:rFonts w:ascii="Times New Roman" w:hAnsi="Times New Roman" w:eastAsia="Times New Roman"/>
          <w:b w:val="0"/>
          <w:i w:val="0"/>
          <w:color w:val="000000"/>
          <w:sz w:val="28"/>
          <w:u w:val="none"/>
        </w:rPr>
        <w:t>Прямого законодательного аналога всей системы понятий ГОСТ Р ИСО/МЭК 15408-1-2008 в федеральных законах нет: закон не воспроизводит термины «потенциал нападения», «оценочный уровень доверия», «профиль защиты», «задание по безопасности», «стойкость функции безопасности». Вместе с тем отдельные понятия стандарта имеют близкие (но не тождественные) аналоги в нормативных правовых актах и в национальных стандартах, применяемых наряду с законодательством.</w:t>
      </w:r>
    </w:p>
    <w:p>
      <w:pPr>
        <w:spacing w:line="360" w:lineRule="auto" w:before="0" w:after="120"/>
        <w:ind w:firstLine="709"/>
        <w:jc w:val="both"/>
      </w:pPr>
      <w:r>
        <w:rPr>
          <w:rFonts w:ascii="Times New Roman" w:hAnsi="Times New Roman" w:eastAsia="Times New Roman"/>
          <w:b w:val="0"/>
          <w:i w:val="0"/>
          <w:color w:val="000000"/>
          <w:sz w:val="28"/>
          <w:u w:val="none"/>
        </w:rPr>
        <w:t>Федеральный закон от 27.07.2006 № 149-ФЗ «Об информации, информационных технологиях и о защите информации» закрепляет понятия информации, информационных технологий, информационной системы, обладателя информации, конфиденциальности информации и защиты информации. Статья 16 этого закона определяет защиту информации как принятие правовых, организационных и технических мер, направленных на обеспечение защиты информации от неправомерного доступа, уничтожения, модифицирования, блокирования, копирования, предоставления, распространения. Это соответствует триаде конфиденциальность — целостность — доступность, заложенной в модель ГОСТ Р ИСО/МЭК 15408-1.</w:t>
      </w:r>
    </w:p>
    <w:p>
      <w:pPr>
        <w:spacing w:line="360" w:lineRule="auto" w:before="0" w:after="120"/>
        <w:ind w:firstLine="709"/>
        <w:jc w:val="both"/>
      </w:pPr>
      <w:r>
        <w:rPr>
          <w:rFonts w:ascii="Times New Roman" w:hAnsi="Times New Roman" w:eastAsia="Times New Roman"/>
          <w:b w:val="0"/>
          <w:i w:val="0"/>
          <w:color w:val="000000"/>
          <w:sz w:val="28"/>
          <w:u w:val="none"/>
        </w:rPr>
        <w:t>Федеральный закон от 27.07.2006 № 152-ФЗ «О персональных данных» вводит термины «персональные данные», «оператор», «обработка персональных данных», «информационная система персональных данных», «безопасность персональных данных». Обработка данных здесь — юридический аналог работы с активами вида «данные пользователя»; безопасность персональных данных — аналог целей безопасности в отношении этого актива.</w:t>
      </w:r>
    </w:p>
    <w:p>
      <w:pPr>
        <w:spacing w:line="360" w:lineRule="auto" w:before="0" w:after="120"/>
        <w:ind w:firstLine="709"/>
        <w:jc w:val="both"/>
      </w:pPr>
      <w:r>
        <w:rPr>
          <w:rFonts w:ascii="Times New Roman" w:hAnsi="Times New Roman" w:eastAsia="Times New Roman"/>
          <w:b w:val="0"/>
          <w:i w:val="0"/>
          <w:color w:val="000000"/>
          <w:sz w:val="28"/>
          <w:u w:val="none"/>
        </w:rPr>
        <w:t>Федеральный закон от 26.07.2017 № 187-ФЗ «О безопасности критической информационной инфраструктуры Российской Федерации» определяет критическую информационную инфраструктуру, компьютерную атаку и компьютерный инцидент. Эти конструкции близки к понятиям угрозы и нарушения безопасности объекта оценки, но сформулированы для специального объекта — КИИ.</w:t>
      </w:r>
    </w:p>
    <w:p>
      <w:pPr>
        <w:spacing w:line="360" w:lineRule="auto" w:before="0" w:after="120"/>
        <w:ind w:firstLine="709"/>
        <w:jc w:val="both"/>
      </w:pPr>
      <w:r>
        <w:rPr>
          <w:rFonts w:ascii="Times New Roman" w:hAnsi="Times New Roman" w:eastAsia="Times New Roman"/>
          <w:b w:val="0"/>
          <w:i w:val="0"/>
          <w:color w:val="000000"/>
          <w:sz w:val="28"/>
          <w:u w:val="none"/>
        </w:rPr>
        <w:t>Более точные терминологические аналоги содержатся не в законах, а в национальных стандартах и методических документах регуляторов. ГОСТ Р 50922-2006 «Защита информации. Основные термины и определения» определяет угрозу безопасности информации как совокупность условий и факторов, создающих опасность нарушения безопасности информации, а уязвимость — как свойство информационной системы, обусловливающее возможность реализации угроз. ГОСТ Р ИСО/МЭК 27000 (серия стандартов менеджмента информационной безопасности) использует термины «актив», «риск», «остаточный риск», «угроза», «уязвимость». Методический документ ФСТЭК России «Методика оценки угроз безопасности информации» (утвержден 05.02.2021) оперирует понятиями угрозы, нарушителя, объекта воздействия и негативных последствий.</w:t>
      </w:r>
    </w:p>
    <w:p>
      <w:pPr>
        <w:spacing w:line="360" w:lineRule="auto" w:before="0" w:after="120"/>
        <w:ind w:firstLine="709"/>
        <w:jc w:val="both"/>
      </w:pPr>
      <w:r>
        <w:rPr>
          <w:rFonts w:ascii="Times New Roman" w:hAnsi="Times New Roman" w:eastAsia="Times New Roman"/>
          <w:b w:val="0"/>
          <w:i w:val="0"/>
          <w:color w:val="000000"/>
          <w:sz w:val="28"/>
          <w:u w:val="none"/>
        </w:rPr>
        <w:t>Вывод: аналоги есть, но они распределены по разным актам и не совпадают дословно. Закон описывает объекты защиты и виды нарушений (доступ, уничтожение, модификация, блокирование), а ГОСТ Р ИСО/МЭК 15408-1 дает инженерную модель оценки: актив — угроза — потенциал нападения — контрмера — доверие — остаточный риск. Для характеристики цифровых рисков на практике эти слои используются совместно.</w:t>
      </w:r>
    </w:p>
    <w:p>
      <w:pPr>
        <w:spacing w:line="360" w:lineRule="auto" w:before="160" w:after="120"/>
        <w:ind w:firstLine="0"/>
        <w:jc w:val="left"/>
      </w:pPr>
      <w:r>
        <w:rPr>
          <w:rFonts w:ascii="Times New Roman" w:hAnsi="Times New Roman" w:eastAsia="Times New Roman"/>
          <w:b/>
          <w:i w:val="0"/>
          <w:color w:val="000000"/>
          <w:sz w:val="28"/>
          <w:u w:val="single"/>
        </w:rPr>
        <w:t>4. Как применяется этот стандарт в практике управления цифровыми рисками в России (напрямую, на основании национальных правовых актов, основанных на нем, или локальных корпоративных актов)?</w:t>
      </w:r>
    </w:p>
    <w:p>
      <w:pPr>
        <w:spacing w:line="360" w:lineRule="auto" w:before="0" w:after="120"/>
        <w:ind w:firstLine="709"/>
        <w:jc w:val="both"/>
      </w:pPr>
      <w:r>
        <w:rPr>
          <w:rFonts w:ascii="Times New Roman" w:hAnsi="Times New Roman" w:eastAsia="Times New Roman"/>
          <w:b w:val="0"/>
          <w:i w:val="0"/>
          <w:color w:val="000000"/>
          <w:sz w:val="28"/>
          <w:u w:val="none"/>
        </w:rPr>
        <w:t>Стандарт применяется не как самостоятельный «закон о цифровых рисках», а как методическая основа оценки безопасности ИТ-продуктов и как ссылочный документ в обязательных требованиях регуляторов. На практике сочетаются все три указанных в задании способа.</w:t>
      </w:r>
    </w:p>
    <w:p>
      <w:pPr>
        <w:spacing w:line="360" w:lineRule="auto" w:before="0" w:after="120"/>
        <w:ind w:firstLine="709"/>
        <w:jc w:val="both"/>
      </w:pPr>
      <w:r>
        <w:rPr>
          <w:rFonts w:ascii="Times New Roman" w:hAnsi="Times New Roman" w:eastAsia="Times New Roman"/>
          <w:b/>
          <w:i w:val="0"/>
          <w:color w:val="000000"/>
          <w:sz w:val="28"/>
          <w:u w:val="none"/>
        </w:rPr>
        <w:t xml:space="preserve">1) Напрямую как национальный стандарт. </w:t>
      </w:r>
      <w:r>
        <w:rPr>
          <w:rFonts w:ascii="Times New Roman" w:hAnsi="Times New Roman" w:eastAsia="Times New Roman"/>
          <w:b w:val="0"/>
          <w:i w:val="0"/>
          <w:color w:val="000000"/>
          <w:sz w:val="28"/>
          <w:u w:val="none"/>
        </w:rPr>
        <w:t>По Федеральному закону от 27.12.2002 № 184-ФЗ «О техническом регулировании» национальные стандарты применяются на добровольной основе, кроме случаев, когда их применение сделано обязательным нормативным правовым актом, договором или решением организации. Организации вправе прямо включать ГОСТ Р ИСО/МЭК 15408 в технические задания, политики информационной безопасности, процедуры закупки и оценки соответствия средств защиты. Разработчики ИТ-продуктов используют стандарт при составлении профилей защиты и заданий по безопасности.</w:t>
      </w:r>
    </w:p>
    <w:p>
      <w:pPr>
        <w:spacing w:line="360" w:lineRule="auto" w:before="0" w:after="120"/>
        <w:ind w:firstLine="709"/>
        <w:jc w:val="both"/>
      </w:pPr>
      <w:r>
        <w:rPr>
          <w:rFonts w:ascii="Times New Roman" w:hAnsi="Times New Roman" w:eastAsia="Times New Roman"/>
          <w:b/>
          <w:i w:val="0"/>
          <w:color w:val="000000"/>
          <w:sz w:val="28"/>
          <w:u w:val="none"/>
        </w:rPr>
        <w:t xml:space="preserve">2) Через национальные правовые и методические акты, основанные на стандарте. </w:t>
      </w:r>
      <w:r>
        <w:rPr>
          <w:rFonts w:ascii="Times New Roman" w:hAnsi="Times New Roman" w:eastAsia="Times New Roman"/>
          <w:b w:val="0"/>
          <w:i w:val="0"/>
          <w:color w:val="000000"/>
          <w:sz w:val="28"/>
          <w:u w:val="none"/>
        </w:rPr>
        <w:t>Это основной канал применения в России. ФСТЭК России использует ГОСТ Р ИСО/МЭК 15408 как основу системы сертификации средств защиты информации. На базе стандарта разработаны профили защиты для межсетевых экранов, средств антивирусной защиты, систем обнаружения вторжений, средств доверенной загрузки, средств контроля съемных носителей, операционных систем и других типов СЗИ. Такие профили утверждаются как методические документы ФСТЭК и содержат формализованные угрозы, цели безопасности, функциональные требования и требования доверия (ОУД). Приказы ФСТЭК России о требованиях к видам СЗИ и требования к защите информации в государственных информационных системах, ИСПДн и на значимых объектах КИИ фактически «переводят» модель 15408 в обязательные требования.</w:t>
      </w:r>
    </w:p>
    <w:p>
      <w:pPr>
        <w:spacing w:line="360" w:lineRule="auto" w:before="0" w:after="120"/>
        <w:ind w:firstLine="709"/>
        <w:jc w:val="both"/>
      </w:pPr>
      <w:r>
        <w:rPr>
          <w:rFonts w:ascii="Times New Roman" w:hAnsi="Times New Roman" w:eastAsia="Times New Roman"/>
          <w:b w:val="0"/>
          <w:i w:val="0"/>
          <w:color w:val="000000"/>
          <w:sz w:val="28"/>
          <w:u w:val="none"/>
        </w:rPr>
        <w:t>В финансовом секторе положения Банка России № 683-П, № 757-П и № 821-П требуют оценки соответствия программного обеспечения, предоставляемого клиентам и обрабатывающего защищаемую информацию, четвертому оценочному уровню доверия (ОУД4) по ГОСТ Р ИСО/МЭК 15408. Тем самым термин «оценочный уровень доверия» из стандарта становится элементом отраслевого управления цифровым (кибер-) риском кредитных организаций и некредитных финансовых организаций.</w:t>
      </w:r>
    </w:p>
    <w:p>
      <w:pPr>
        <w:spacing w:line="360" w:lineRule="auto" w:before="0" w:after="120"/>
        <w:ind w:firstLine="709"/>
        <w:jc w:val="both"/>
      </w:pPr>
      <w:r>
        <w:rPr>
          <w:rFonts w:ascii="Times New Roman" w:hAnsi="Times New Roman" w:eastAsia="Times New Roman"/>
          <w:b w:val="0"/>
          <w:i w:val="0"/>
          <w:color w:val="000000"/>
          <w:sz w:val="28"/>
          <w:u w:val="none"/>
        </w:rPr>
        <w:t>Для единой цифровой платформы «ГосТех» установлено требование независимого анализа уязвимостей по компоненту доверия AVA_VAN.2 (семейство анализа уязвимостей из части 3 «Общих критериев»). В здравоохранении ГОСТ Р 59921-2021 предусматривает использование ГОСТ 15408 при пострегистрационном мониторинге безопасности систем искусственного интеллекта, применяемых в клинической медицине.</w:t>
      </w:r>
    </w:p>
    <w:p>
      <w:pPr>
        <w:spacing w:line="360" w:lineRule="auto" w:before="0" w:after="120"/>
        <w:ind w:firstLine="709"/>
        <w:jc w:val="both"/>
      </w:pPr>
      <w:r>
        <w:rPr>
          <w:rFonts w:ascii="Times New Roman" w:hAnsi="Times New Roman" w:eastAsia="Times New Roman"/>
          <w:b/>
          <w:i w:val="0"/>
          <w:color w:val="000000"/>
          <w:sz w:val="28"/>
          <w:u w:val="none"/>
        </w:rPr>
        <w:t xml:space="preserve">3) Через локальные корпоративные акты. </w:t>
      </w:r>
      <w:r>
        <w:rPr>
          <w:rFonts w:ascii="Times New Roman" w:hAnsi="Times New Roman" w:eastAsia="Times New Roman"/>
          <w:b w:val="0"/>
          <w:i w:val="0"/>
          <w:color w:val="000000"/>
          <w:sz w:val="28"/>
          <w:u w:val="none"/>
        </w:rPr>
        <w:t>Банки, операторы связи, ИТ-компании и органы власти включают требования ГОСТ Р ИСО/МЭК 15408 в политики информационной безопасности, модели угроз, регламенты закупки СЗИ, программы оценки соответствия и внутренние стандарты безопасной разработки. Типичная формулировка: «применяемые средства защиты должны иметь сертификат ФСТЭК России, выданный на соответствие профилю защиты, разработанному по ГОСТ Р ИСО/МЭК 15408» либо «критичное клиентское ПО должно соответствовать ОУД4». Таким образом стандарт входит в корпоративное управление цифровыми рисками не сам по себе, а как критерий приемлемости продукта и как язык описания угроз и целей безопасности.</w:t>
      </w:r>
    </w:p>
    <w:p>
      <w:pPr>
        <w:spacing w:line="360" w:lineRule="auto" w:before="0" w:after="120"/>
        <w:ind w:firstLine="709"/>
        <w:jc w:val="both"/>
      </w:pPr>
      <w:r>
        <w:rPr>
          <w:rFonts w:ascii="Times New Roman" w:hAnsi="Times New Roman" w:eastAsia="Times New Roman"/>
          <w:b w:val="0"/>
          <w:i w:val="0"/>
          <w:color w:val="000000"/>
          <w:sz w:val="28"/>
          <w:u w:val="none"/>
        </w:rPr>
        <w:t>Итог: в российской практике ГОСТ Р ИСО/МЭК 15408-1 применяется преимущественно опосредованно — через акты ФСТЭК России, требования Банка России и корпоративные политики, которые ссылаются на профили защиты, задания по безопасности и оценочные уровни доверия. Прямое добровольное применение стандарта сохраняется в разработке и закупке ИТ-продуктов.</w:t>
      </w:r>
    </w:p>
    <w:p>
      <w:pPr>
        <w:spacing w:line="360" w:lineRule="auto" w:before="160" w:after="120"/>
        <w:ind w:firstLine="0"/>
        <w:jc w:val="left"/>
      </w:pPr>
      <w:r>
        <w:rPr>
          <w:rFonts w:ascii="Times New Roman" w:hAnsi="Times New Roman" w:eastAsia="Times New Roman"/>
          <w:b/>
          <w:i w:val="0"/>
          <w:color w:val="000000"/>
          <w:sz w:val="28"/>
          <w:u w:val="single"/>
        </w:rPr>
        <w:t>5. Пример применения стандарта при определении термина, используемого для характеристики цифрового риска</w:t>
      </w:r>
    </w:p>
    <w:p>
      <w:pPr>
        <w:spacing w:line="360" w:lineRule="auto" w:before="0" w:after="120"/>
        <w:ind w:firstLine="709"/>
        <w:jc w:val="both"/>
      </w:pPr>
      <w:r>
        <w:rPr>
          <w:rFonts w:ascii="Times New Roman" w:hAnsi="Times New Roman" w:eastAsia="Times New Roman"/>
          <w:b w:val="0"/>
          <w:i w:val="0"/>
          <w:color w:val="000000"/>
          <w:sz w:val="28"/>
          <w:u w:val="none"/>
        </w:rPr>
        <w:t>Реальный пример. Методический документ ФСТЭК России ИТ.СДЗ.УБ4.ПЗ «Профиль защиты средства доверенной загрузки уровня базовой системы ввода-вывода четвертого класса защиты» (утвержден 30 декабря 2013 г.) прямо указывает, что профиль защиты разработан в соответствии с ГОСТ Р ИСО/МЭК 15408. В документе используются термины стандарта: объект оценки (ОО), профиль защиты (ПЗ), задание по безопасности (ЗБ), функции безопасности объекта оценки (ФБО), оценочный уровень доверия (здесь — ОУД3 с усилением).</w:t>
      </w:r>
    </w:p>
    <w:p>
      <w:pPr>
        <w:spacing w:line="360" w:lineRule="auto" w:before="0" w:after="120"/>
        <w:ind w:firstLine="709"/>
        <w:jc w:val="both"/>
      </w:pPr>
      <w:r>
        <w:rPr>
          <w:rFonts w:ascii="Times New Roman" w:hAnsi="Times New Roman" w:eastAsia="Times New Roman"/>
          <w:b w:val="0"/>
          <w:i w:val="0"/>
          <w:color w:val="000000"/>
          <w:sz w:val="28"/>
          <w:u w:val="none"/>
        </w:rPr>
        <w:t>Раздел «Среда безопасности объекта оценки» построен по модели ГОСТ Р ИСО/МЭК 15408-1: описываются угрозы, политика безопасности организации и предположения. Угроза формулируется не бытовым языком, а как элемент рисковой модели. Например, угроза несанкционированного доступа к информации за счет загрузки нештатной операционной системы описывается через:</w:t>
      </w:r>
    </w:p>
    <w:p>
      <w:pPr>
        <w:spacing w:line="360" w:lineRule="auto" w:before="0" w:after="40"/>
        <w:ind w:firstLine="0"/>
        <w:jc w:val="left"/>
      </w:pPr>
      <w:r>
        <w:rPr>
          <w:rFonts w:ascii="Times New Roman" w:hAnsi="Times New Roman" w:eastAsia="Times New Roman"/>
          <w:b w:val="0"/>
          <w:i w:val="0"/>
          <w:color w:val="000000"/>
          <w:sz w:val="28"/>
          <w:u w:val="none"/>
        </w:rPr>
        <w:t>— аннотацию угрозы (суть нарушения безопасности актива);</w:t>
      </w:r>
    </w:p>
    <w:p>
      <w:pPr>
        <w:spacing w:line="360" w:lineRule="auto" w:before="0" w:after="40"/>
        <w:ind w:firstLine="0"/>
        <w:jc w:val="left"/>
      </w:pPr>
      <w:r>
        <w:rPr>
          <w:rFonts w:ascii="Times New Roman" w:hAnsi="Times New Roman" w:eastAsia="Times New Roman"/>
          <w:b w:val="0"/>
          <w:i w:val="0"/>
          <w:color w:val="000000"/>
          <w:sz w:val="28"/>
          <w:u w:val="none"/>
        </w:rPr>
        <w:t>— источники угрозы (внутренний и внешний нарушитель — аналог потенциала нападения);</w:t>
      </w:r>
    </w:p>
    <w:p>
      <w:pPr>
        <w:spacing w:line="360" w:lineRule="auto" w:before="0" w:after="40"/>
        <w:ind w:firstLine="0"/>
        <w:jc w:val="left"/>
      </w:pPr>
      <w:r>
        <w:rPr>
          <w:rFonts w:ascii="Times New Roman" w:hAnsi="Times New Roman" w:eastAsia="Times New Roman"/>
          <w:b w:val="0"/>
          <w:i w:val="0"/>
          <w:color w:val="000000"/>
          <w:sz w:val="28"/>
          <w:u w:val="none"/>
        </w:rPr>
        <w:t>— способ реализации;</w:t>
      </w:r>
    </w:p>
    <w:p>
      <w:pPr>
        <w:spacing w:line="360" w:lineRule="auto" w:before="0" w:after="40"/>
        <w:ind w:firstLine="0"/>
        <w:jc w:val="left"/>
      </w:pPr>
      <w:r>
        <w:rPr>
          <w:rFonts w:ascii="Times New Roman" w:hAnsi="Times New Roman" w:eastAsia="Times New Roman"/>
          <w:b w:val="0"/>
          <w:i w:val="0"/>
          <w:color w:val="000000"/>
          <w:sz w:val="28"/>
          <w:u w:val="none"/>
        </w:rPr>
        <w:t>— вид информационных ресурсов, потенциально подверженных угрозе (активы в терминологии стандарта: атрибуты безопасности, правила управления доступом, данные пользователей);</w:t>
      </w:r>
    </w:p>
    <w:p>
      <w:pPr>
        <w:spacing w:line="360" w:lineRule="auto" w:before="0" w:after="120"/>
        <w:ind w:firstLine="0"/>
        <w:jc w:val="left"/>
      </w:pPr>
      <w:r>
        <w:rPr>
          <w:rFonts w:ascii="Times New Roman" w:hAnsi="Times New Roman" w:eastAsia="Times New Roman"/>
          <w:b w:val="0"/>
          <w:i w:val="0"/>
          <w:color w:val="000000"/>
          <w:sz w:val="28"/>
          <w:u w:val="none"/>
        </w:rPr>
        <w:t>— возможные последствия (несанкционированный доступ к информации, нарушение режимов функционирования системы).</w:t>
      </w:r>
    </w:p>
    <w:p>
      <w:pPr>
        <w:spacing w:line="360" w:lineRule="auto" w:before="0" w:after="120"/>
        <w:ind w:firstLine="709"/>
        <w:jc w:val="both"/>
      </w:pPr>
      <w:r>
        <w:rPr>
          <w:rFonts w:ascii="Times New Roman" w:hAnsi="Times New Roman" w:eastAsia="Times New Roman"/>
          <w:b w:val="0"/>
          <w:i w:val="0"/>
          <w:color w:val="000000"/>
          <w:sz w:val="28"/>
          <w:u w:val="none"/>
        </w:rPr>
        <w:t>Далее цели безопасности объекта оценки отображаются на эти угрозы. Тем самым термин «угроза безопасности информации» (и связанный с ним цифровой риск несанкционированного доступа к данным при загрузке системы) определяется и применяется именно в конструкции ГОСТ Р ИСО/МЭК 15408-1: актив — угроза — цель безопасности — функциональные требования — уровень доверия.</w:t>
      </w:r>
    </w:p>
    <w:p>
      <w:pPr>
        <w:spacing w:line="360" w:lineRule="auto" w:before="0" w:after="120"/>
        <w:ind w:firstLine="709"/>
        <w:jc w:val="both"/>
      </w:pPr>
      <w:r>
        <w:rPr>
          <w:rFonts w:ascii="Times New Roman" w:hAnsi="Times New Roman" w:eastAsia="Times New Roman"/>
          <w:b w:val="0"/>
          <w:i w:val="0"/>
          <w:color w:val="000000"/>
          <w:sz w:val="28"/>
          <w:u w:val="none"/>
        </w:rPr>
        <w:t>Собственный иллюстративный пример (цифровой риск обработки платежных данных). Банк внедряет мобильное приложение, через которое клиенты распоряжаются счетами. В задании по безопасности, составленном по ГОСТ Р ИСО/МЭК 15408-1, активом признаются платежные и аутентификационные данные клиента. Угроза формулируется как компрометация аутентификационных данных нарушителем с умеренным потенциалом нападения (наличие специального ПО, навыки обхода типовых защит, но не уровень спецслужб). Цель безопасности: обеспечить идентификацию и аутентификацию уполномоченного пользователя и защитить секрет (аутентификационные данные) от раскрытия. Для характеристики риска банк фиксирует требуемый оценочный уровень доверия ОУД4 — в соответствии с положениями Банка России. Если оценка подтверждает соответствие ОУД4, остаточный риск компрометации аутентификационных данных признается приемлемым для эксплуатации приложения; в противном случае продукт не допускается к промышленной эксплуатации. Здесь стандарт применен именно для определения и измерения цифрового риска: не «есть угроза взлома», а «актив + потенциал нападения + цель безопасности + ОУД + решение о приемлемости остаточного риска».</w:t>
      </w:r>
    </w:p>
    <w:p>
      <w:pPr>
        <w:spacing w:line="360" w:lineRule="auto" w:before="240" w:after="160"/>
        <w:ind w:firstLine="0"/>
        <w:jc w:val="center"/>
      </w:pPr>
      <w:r>
        <w:rPr>
          <w:rFonts w:ascii="Times New Roman" w:hAnsi="Times New Roman" w:eastAsia="Times New Roman"/>
          <w:b/>
          <w:i w:val="0"/>
          <w:color w:val="000000"/>
          <w:sz w:val="32"/>
          <w:u w:val="single"/>
        </w:rPr>
        <w:t>Часть вторая</w:t>
      </w:r>
    </w:p>
    <w:p>
      <w:pPr>
        <w:spacing w:line="360" w:lineRule="auto" w:before="0" w:after="200"/>
        <w:ind w:firstLine="709"/>
        <w:jc w:val="both"/>
      </w:pPr>
      <w:r>
        <w:rPr>
          <w:rFonts w:ascii="Times New Roman" w:hAnsi="Times New Roman" w:eastAsia="Times New Roman"/>
          <w:b/>
          <w:i w:val="0"/>
          <w:color w:val="000000"/>
          <w:sz w:val="28"/>
          <w:u w:val="none"/>
        </w:rPr>
        <w:t xml:space="preserve">Тема варианта 5: </w:t>
      </w:r>
      <w:r>
        <w:rPr>
          <w:rFonts w:ascii="Times New Roman" w:hAnsi="Times New Roman" w:eastAsia="Times New Roman"/>
          <w:b w:val="0"/>
          <w:i w:val="0"/>
          <w:color w:val="000000"/>
          <w:sz w:val="28"/>
          <w:u w:val="none"/>
        </w:rPr>
        <w:t>риски, связанные с обработкой и управлением данными в цифровой экономике.</w:t>
      </w:r>
    </w:p>
    <w:p>
      <w:pPr>
        <w:spacing w:line="360" w:lineRule="auto" w:before="120" w:after="120"/>
        <w:ind w:firstLine="0"/>
        <w:jc w:val="left"/>
      </w:pPr>
      <w:r>
        <w:rPr>
          <w:rFonts w:ascii="Times New Roman" w:hAnsi="Times New Roman" w:eastAsia="Times New Roman"/>
          <w:b/>
          <w:i w:val="0"/>
          <w:color w:val="000000"/>
          <w:sz w:val="28"/>
          <w:u w:val="single"/>
        </w:rPr>
        <w:t>1. Понятие и общая характеристика данного вида рисков</w:t>
      </w:r>
    </w:p>
    <w:p>
      <w:pPr>
        <w:spacing w:line="360" w:lineRule="auto" w:before="0" w:after="120"/>
        <w:ind w:firstLine="709"/>
        <w:jc w:val="both"/>
      </w:pPr>
      <w:r>
        <w:rPr>
          <w:rFonts w:ascii="Times New Roman" w:hAnsi="Times New Roman" w:eastAsia="Times New Roman"/>
          <w:b w:val="0"/>
          <w:i w:val="0"/>
          <w:color w:val="000000"/>
          <w:sz w:val="28"/>
          <w:u w:val="none"/>
        </w:rPr>
        <w:t>Риски, связанные с обработкой и управлением данными в цифровой экономике, — это возможность наступления неблагоприятных последствий (правовых, финансовых, репутационных, операционных) вследствие событий, затрагивающих сбор, хранение, передачу, использование, актуализацию и уничтожение данных, а также организацию процессов data governance. Данные в цифровой экономике выступают одновременно производственным ресурсом, объектом гражданских прав, источником аналитических решений и активом, подлежащим защите. Поэтому этот вид рисков находится на пересечении информационной безопасности, защиты персональных данных, качества данных и корпоративного управления.</w:t>
      </w:r>
    </w:p>
    <w:p>
      <w:pPr>
        <w:spacing w:line="360" w:lineRule="auto" w:before="0" w:after="120"/>
        <w:ind w:firstLine="709"/>
        <w:jc w:val="both"/>
      </w:pPr>
      <w:r>
        <w:rPr>
          <w:rFonts w:ascii="Times New Roman" w:hAnsi="Times New Roman" w:eastAsia="Times New Roman"/>
          <w:b w:val="0"/>
          <w:i w:val="0"/>
          <w:color w:val="000000"/>
          <w:sz w:val="28"/>
          <w:u w:val="none"/>
        </w:rPr>
        <w:t>В терминах ГОСТ Р ИСО/МЭК 15408-1 данные — это активы (данные пользователя и данные функций безопасности). Риск возникает, когда угроза (внешний или внутренний нарушитель, сбой, ошибка персонала, недобросовестный обработчик) может через уязвимость процесса или системы нарушить конфиденциальность, целостность или доступность этих активов либо привести к их неправомерному или некачественному использованию. После применения правовых, организационных и технических контрмер сохраняется остаточный риск, который организация должна осознанно принять, снизить дополнительно либо передать (например, через киберстрахование и договорные условия с процессором данных).</w:t>
      </w:r>
    </w:p>
    <w:p>
      <w:pPr>
        <w:spacing w:line="360" w:lineRule="auto" w:before="0" w:after="120"/>
        <w:ind w:firstLine="709"/>
        <w:jc w:val="both"/>
      </w:pPr>
      <w:r>
        <w:rPr>
          <w:rFonts w:ascii="Times New Roman" w:hAnsi="Times New Roman" w:eastAsia="Times New Roman"/>
          <w:b w:val="0"/>
          <w:i w:val="0"/>
          <w:color w:val="000000"/>
          <w:sz w:val="28"/>
          <w:u w:val="none"/>
        </w:rPr>
        <w:t>Особенность цифровой экономики состоит в том, что объемы, скорость и разнообразие данных (так называемые «три V» больших данных: volume, velocity, variety) многократно увеличивают поверхность риска. Данные циркулируют между организациями, облачными платформами, мобильными приложениями, государственными информационными системами и устройствами Интернета вещей. Управление данными перестает быть исключительно ИТ-задачей и становится элементом экономической деятельности: от качества и защищенности данных зависят кредитные решения, тарифы, логистика, персонализированные сервисы и государственное управление.</w:t>
      </w:r>
    </w:p>
    <w:p>
      <w:pPr>
        <w:spacing w:line="360" w:lineRule="auto" w:before="160" w:after="120"/>
        <w:ind w:firstLine="0"/>
        <w:jc w:val="left"/>
      </w:pPr>
      <w:r>
        <w:rPr>
          <w:rFonts w:ascii="Times New Roman" w:hAnsi="Times New Roman" w:eastAsia="Times New Roman"/>
          <w:b/>
          <w:i w:val="0"/>
          <w:color w:val="000000"/>
          <w:sz w:val="28"/>
          <w:u w:val="single"/>
        </w:rPr>
        <w:t>2. Видовой состав рисков обработки и управления данными</w:t>
      </w:r>
    </w:p>
    <w:p>
      <w:pPr>
        <w:spacing w:line="360" w:lineRule="auto" w:before="0" w:after="120"/>
        <w:ind w:firstLine="709"/>
        <w:jc w:val="both"/>
      </w:pPr>
      <w:r>
        <w:rPr>
          <w:rFonts w:ascii="Times New Roman" w:hAnsi="Times New Roman" w:eastAsia="Times New Roman"/>
          <w:b w:val="0"/>
          <w:i w:val="0"/>
          <w:color w:val="000000"/>
          <w:sz w:val="28"/>
          <w:u w:val="none"/>
        </w:rPr>
        <w:t>Видовой состав данной группы целесообразно раскрывать по нескольким пересекающимся основаниям: по свойству безопасности актива, по стадии жизненного цикла данных, по источнику угрозы и по правовому режиму данных.</w:t>
      </w:r>
    </w:p>
    <w:p>
      <w:pPr>
        <w:spacing w:line="360" w:lineRule="auto" w:before="0" w:after="80"/>
        <w:ind w:firstLine="0"/>
        <w:jc w:val="left"/>
      </w:pPr>
      <w:r>
        <w:rPr>
          <w:rFonts w:ascii="Times New Roman" w:hAnsi="Times New Roman" w:eastAsia="Times New Roman"/>
          <w:b/>
          <w:i w:val="0"/>
          <w:color w:val="000000"/>
          <w:sz w:val="28"/>
          <w:u w:val="none"/>
        </w:rPr>
        <w:t>2.1. По свойству безопасности актива (модель ГОСТ Р ИСО/МЭК 15408-1 и ст. 16 Федерального закона № 149-ФЗ):</w:t>
      </w:r>
    </w:p>
    <w:p>
      <w:pPr>
        <w:spacing w:line="360" w:lineRule="auto" w:before="0" w:after="60"/>
        <w:ind w:firstLine="0"/>
        <w:jc w:val="left"/>
      </w:pPr>
      <w:r>
        <w:rPr>
          <w:rFonts w:ascii="Times New Roman" w:hAnsi="Times New Roman" w:eastAsia="Times New Roman"/>
          <w:b w:val="0"/>
          <w:i w:val="0"/>
          <w:color w:val="000000"/>
          <w:sz w:val="28"/>
          <w:u w:val="none"/>
        </w:rPr>
        <w:t>— риски нарушения конфиденциальности: утечка, неправомерный доступ, копирование, предоставление и распространение данных, в том числе персональных, коммерческой тайны, банковской тайны, профессиональной тайны;</w:t>
      </w:r>
    </w:p>
    <w:p>
      <w:pPr>
        <w:spacing w:line="360" w:lineRule="auto" w:before="0" w:after="60"/>
        <w:ind w:firstLine="0"/>
        <w:jc w:val="left"/>
      </w:pPr>
      <w:r>
        <w:rPr>
          <w:rFonts w:ascii="Times New Roman" w:hAnsi="Times New Roman" w:eastAsia="Times New Roman"/>
          <w:b w:val="0"/>
          <w:i w:val="0"/>
          <w:color w:val="000000"/>
          <w:sz w:val="28"/>
          <w:u w:val="none"/>
        </w:rPr>
        <w:t>— риски нарушения целостности: искажение, несанкционированная модификация, подмена записей, «отравление» данных, используемых моделями машинного обучения;</w:t>
      </w:r>
    </w:p>
    <w:p>
      <w:pPr>
        <w:spacing w:line="360" w:lineRule="auto" w:before="0" w:after="120"/>
        <w:ind w:firstLine="0"/>
        <w:jc w:val="left"/>
      </w:pPr>
      <w:r>
        <w:rPr>
          <w:rFonts w:ascii="Times New Roman" w:hAnsi="Times New Roman" w:eastAsia="Times New Roman"/>
          <w:b w:val="0"/>
          <w:i w:val="0"/>
          <w:color w:val="000000"/>
          <w:sz w:val="28"/>
          <w:u w:val="none"/>
        </w:rPr>
        <w:t>— риски нарушения доступности: утрата данных, недоступность хранилищ и витрин, блокирование доступа, последствия программ-вымогателей, отказ систем резервного копирования и восстановления.</w:t>
      </w:r>
    </w:p>
    <w:p>
      <w:pPr>
        <w:spacing w:line="360" w:lineRule="auto" w:before="0" w:after="80"/>
        <w:ind w:firstLine="0"/>
        <w:jc w:val="left"/>
      </w:pPr>
      <w:r>
        <w:rPr>
          <w:rFonts w:ascii="Times New Roman" w:hAnsi="Times New Roman" w:eastAsia="Times New Roman"/>
          <w:b/>
          <w:i w:val="0"/>
          <w:color w:val="000000"/>
          <w:sz w:val="28"/>
          <w:u w:val="none"/>
        </w:rPr>
        <w:t>2.2. По стадиям жизненного цикла данных:</w:t>
      </w:r>
    </w:p>
    <w:p>
      <w:pPr>
        <w:spacing w:line="360" w:lineRule="auto" w:before="0" w:after="60"/>
        <w:ind w:firstLine="0"/>
        <w:jc w:val="left"/>
      </w:pPr>
      <w:r>
        <w:rPr>
          <w:rFonts w:ascii="Times New Roman" w:hAnsi="Times New Roman" w:eastAsia="Times New Roman"/>
          <w:b w:val="0"/>
          <w:i w:val="0"/>
          <w:color w:val="000000"/>
          <w:sz w:val="28"/>
          <w:u w:val="none"/>
        </w:rPr>
        <w:t>— риски сбора: избыточный сбор, сбор без правового основания и согласия, использование скрытых трекеров, некорректная идентификация субъекта;</w:t>
      </w:r>
    </w:p>
    <w:p>
      <w:pPr>
        <w:spacing w:line="360" w:lineRule="auto" w:before="0" w:after="60"/>
        <w:ind w:firstLine="0"/>
        <w:jc w:val="left"/>
      </w:pPr>
      <w:r>
        <w:rPr>
          <w:rFonts w:ascii="Times New Roman" w:hAnsi="Times New Roman" w:eastAsia="Times New Roman"/>
          <w:b w:val="0"/>
          <w:i w:val="0"/>
          <w:color w:val="000000"/>
          <w:sz w:val="28"/>
          <w:u w:val="none"/>
        </w:rPr>
        <w:t>— риски хранения: небезопасные хранилища, хранение сверх срока, отсутствие классификации, хранение в иностранных юрисдикциях в нарушение требований локализации;</w:t>
      </w:r>
    </w:p>
    <w:p>
      <w:pPr>
        <w:spacing w:line="360" w:lineRule="auto" w:before="0" w:after="60"/>
        <w:ind w:firstLine="0"/>
        <w:jc w:val="left"/>
      </w:pPr>
      <w:r>
        <w:rPr>
          <w:rFonts w:ascii="Times New Roman" w:hAnsi="Times New Roman" w:eastAsia="Times New Roman"/>
          <w:b w:val="0"/>
          <w:i w:val="0"/>
          <w:color w:val="000000"/>
          <w:sz w:val="28"/>
          <w:u w:val="none"/>
        </w:rPr>
        <w:t>— риски обработки и использования: обработка несовместимая с первоначальной целью, ошибочные алгоритмические решения на некачественных данных, неправомерный профайлинг;</w:t>
      </w:r>
    </w:p>
    <w:p>
      <w:pPr>
        <w:spacing w:line="360" w:lineRule="auto" w:before="0" w:after="60"/>
        <w:ind w:firstLine="0"/>
        <w:jc w:val="left"/>
      </w:pPr>
      <w:r>
        <w:rPr>
          <w:rFonts w:ascii="Times New Roman" w:hAnsi="Times New Roman" w:eastAsia="Times New Roman"/>
          <w:b w:val="0"/>
          <w:i w:val="0"/>
          <w:color w:val="000000"/>
          <w:sz w:val="28"/>
          <w:u w:val="none"/>
        </w:rPr>
        <w:t>— риски передачи и обмена: утечка при интеграции информационных систем, неконтролируемая передача подрядчикам и в облако, трансграничная передача;</w:t>
      </w:r>
    </w:p>
    <w:p>
      <w:pPr>
        <w:spacing w:line="360" w:lineRule="auto" w:before="0" w:after="120"/>
        <w:ind w:firstLine="0"/>
        <w:jc w:val="left"/>
      </w:pPr>
      <w:r>
        <w:rPr>
          <w:rFonts w:ascii="Times New Roman" w:hAnsi="Times New Roman" w:eastAsia="Times New Roman"/>
          <w:b w:val="0"/>
          <w:i w:val="0"/>
          <w:color w:val="000000"/>
          <w:sz w:val="28"/>
          <w:u w:val="none"/>
        </w:rPr>
        <w:t>— риски уничтожения: неполное уничтожение, остаточная информация на носителях и в резервных копиях, невозможность реализовать право субъекта на удаление.</w:t>
      </w:r>
    </w:p>
    <w:p>
      <w:pPr>
        <w:spacing w:line="360" w:lineRule="auto" w:before="0" w:after="80"/>
        <w:ind w:firstLine="0"/>
        <w:jc w:val="left"/>
      </w:pPr>
      <w:r>
        <w:rPr>
          <w:rFonts w:ascii="Times New Roman" w:hAnsi="Times New Roman" w:eastAsia="Times New Roman"/>
          <w:b/>
          <w:i w:val="0"/>
          <w:color w:val="000000"/>
          <w:sz w:val="28"/>
          <w:u w:val="none"/>
        </w:rPr>
        <w:t>2.3. По содержанию управленческого (не только защитного) контура:</w:t>
      </w:r>
    </w:p>
    <w:p>
      <w:pPr>
        <w:spacing w:line="360" w:lineRule="auto" w:before="0" w:after="60"/>
        <w:ind w:firstLine="0"/>
        <w:jc w:val="left"/>
      </w:pPr>
      <w:r>
        <w:rPr>
          <w:rFonts w:ascii="Times New Roman" w:hAnsi="Times New Roman" w:eastAsia="Times New Roman"/>
          <w:b w:val="0"/>
          <w:i w:val="0"/>
          <w:color w:val="000000"/>
          <w:sz w:val="28"/>
          <w:u w:val="none"/>
        </w:rPr>
        <w:t>— риски качества данных (неполнота, неактуальность, дубли, противоречивость, смещение выборки);</w:t>
      </w:r>
    </w:p>
    <w:p>
      <w:pPr>
        <w:spacing w:line="360" w:lineRule="auto" w:before="0" w:after="60"/>
        <w:ind w:firstLine="0"/>
        <w:jc w:val="left"/>
      </w:pPr>
      <w:r>
        <w:rPr>
          <w:rFonts w:ascii="Times New Roman" w:hAnsi="Times New Roman" w:eastAsia="Times New Roman"/>
          <w:b w:val="0"/>
          <w:i w:val="0"/>
          <w:color w:val="000000"/>
          <w:sz w:val="28"/>
          <w:u w:val="none"/>
        </w:rPr>
        <w:t>— риски «теневых» данных и неконтролируемых копий (shadow IT, выгрузки в личные облака, несанкционированные витрины);</w:t>
      </w:r>
    </w:p>
    <w:p>
      <w:pPr>
        <w:spacing w:line="360" w:lineRule="auto" w:before="0" w:after="60"/>
        <w:ind w:firstLine="0"/>
        <w:jc w:val="left"/>
      </w:pPr>
      <w:r>
        <w:rPr>
          <w:rFonts w:ascii="Times New Roman" w:hAnsi="Times New Roman" w:eastAsia="Times New Roman"/>
          <w:b w:val="0"/>
          <w:i w:val="0"/>
          <w:color w:val="000000"/>
          <w:sz w:val="28"/>
          <w:u w:val="none"/>
        </w:rPr>
        <w:t>— риски третьих лиц (облачный провайдер, процессор персональных данных, партнер по обмену данными, open source-библиотеки);</w:t>
      </w:r>
    </w:p>
    <w:p>
      <w:pPr>
        <w:spacing w:line="360" w:lineRule="auto" w:before="0" w:after="60"/>
        <w:ind w:firstLine="0"/>
        <w:jc w:val="left"/>
      </w:pPr>
      <w:r>
        <w:rPr>
          <w:rFonts w:ascii="Times New Roman" w:hAnsi="Times New Roman" w:eastAsia="Times New Roman"/>
          <w:b w:val="0"/>
          <w:i w:val="0"/>
          <w:color w:val="000000"/>
          <w:sz w:val="28"/>
          <w:u w:val="none"/>
        </w:rPr>
        <w:t>— комплаенс-риски (нарушение Федерального закона № 152-ФЗ, требований Роскомнадзора, отраслевых стандартов, режима КИИ);</w:t>
      </w:r>
    </w:p>
    <w:p>
      <w:pPr>
        <w:spacing w:line="360" w:lineRule="auto" w:before="0" w:after="60"/>
        <w:ind w:firstLine="0"/>
        <w:jc w:val="left"/>
      </w:pPr>
      <w:r>
        <w:rPr>
          <w:rFonts w:ascii="Times New Roman" w:hAnsi="Times New Roman" w:eastAsia="Times New Roman"/>
          <w:b w:val="0"/>
          <w:i w:val="0"/>
          <w:color w:val="000000"/>
          <w:sz w:val="28"/>
          <w:u w:val="none"/>
        </w:rPr>
        <w:t>— риски больших данных и искусственного интеллекта: вывод чувствительных сведений из совокупности «обезличенных» признаков, дискриминационные решения, зависимость от непрозрачных моделей;</w:t>
      </w:r>
    </w:p>
    <w:p>
      <w:pPr>
        <w:spacing w:line="360" w:lineRule="auto" w:before="0" w:after="160"/>
        <w:ind w:firstLine="0"/>
        <w:jc w:val="left"/>
      </w:pPr>
      <w:r>
        <w:rPr>
          <w:rFonts w:ascii="Times New Roman" w:hAnsi="Times New Roman" w:eastAsia="Times New Roman"/>
          <w:b w:val="0"/>
          <w:i w:val="0"/>
          <w:color w:val="000000"/>
          <w:sz w:val="28"/>
          <w:u w:val="none"/>
        </w:rPr>
        <w:t>— инфраструктурные риски центров обработки данных и каналов связи, без которых управление данными невозможно.</w:t>
      </w:r>
    </w:p>
    <w:p>
      <w:pPr>
        <w:spacing w:line="360" w:lineRule="auto" w:before="0" w:after="160"/>
        <w:ind w:firstLine="709"/>
        <w:jc w:val="both"/>
      </w:pPr>
      <w:r>
        <w:rPr>
          <w:rFonts w:ascii="Times New Roman" w:hAnsi="Times New Roman" w:eastAsia="Times New Roman"/>
          <w:b w:val="0"/>
          <w:i w:val="0"/>
          <w:color w:val="000000"/>
          <w:sz w:val="28"/>
          <w:u w:val="none"/>
        </w:rPr>
        <w:t>Сводная характеристика видового состава приведена в таблице.</w:t>
      </w:r>
    </w:p>
    <w:p>
      <w:pPr>
        <w:spacing w:line="360" w:lineRule="auto" w:before="0" w:after="120"/>
        <w:ind w:firstLine="0"/>
        <w:jc w:val="center"/>
      </w:pPr>
      <w:r>
        <w:rPr>
          <w:rFonts w:ascii="Times New Roman" w:hAnsi="Times New Roman" w:eastAsia="Times New Roman"/>
          <w:b w:val="0"/>
          <w:i/>
          <w:color w:val="000000"/>
          <w:sz w:val="26"/>
          <w:u w:val="none"/>
        </w:rPr>
        <w:t>Таблица — Видовой состав рисков обработки и управления данными</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9E2F3" w:val="clear"/>
          </w:tcPr>
          <w:p>
            <w:pPr>
              <w:spacing w:line="276" w:lineRule="auto" w:after="40" w:before="40"/>
              <w:ind w:firstLine="0"/>
              <w:jc w:val="center"/>
            </w:pPr>
            <w:r/>
            <w:r>
              <w:rPr>
                <w:rFonts w:ascii="Times New Roman" w:hAnsi="Times New Roman" w:eastAsia="Times New Roman"/>
                <w:b/>
                <w:i w:val="0"/>
                <w:color w:val="000000"/>
                <w:sz w:val="22"/>
                <w:u w:val="none"/>
              </w:rPr>
              <w:t>Группа риска</w:t>
            </w:r>
          </w:p>
        </w:tc>
        <w:tc>
          <w:tcPr>
            <w:tcW w:type="dxa" w:w="3118"/>
            <w:shd w:fill="D9E2F3" w:val="clear"/>
          </w:tcPr>
          <w:p>
            <w:pPr>
              <w:spacing w:line="276" w:lineRule="auto" w:after="40" w:before="40"/>
              <w:ind w:firstLine="0"/>
              <w:jc w:val="center"/>
            </w:pPr>
            <w:r/>
            <w:r>
              <w:rPr>
                <w:rFonts w:ascii="Times New Roman" w:hAnsi="Times New Roman" w:eastAsia="Times New Roman"/>
                <w:b/>
                <w:i w:val="0"/>
                <w:color w:val="000000"/>
                <w:sz w:val="22"/>
                <w:u w:val="none"/>
              </w:rPr>
              <w:t>Содержание</w:t>
            </w:r>
          </w:p>
        </w:tc>
        <w:tc>
          <w:tcPr>
            <w:tcW w:type="dxa" w:w="3118"/>
            <w:shd w:fill="D9E2F3" w:val="clear"/>
          </w:tcPr>
          <w:p>
            <w:pPr>
              <w:spacing w:line="276" w:lineRule="auto" w:after="40" w:before="40"/>
              <w:ind w:firstLine="0"/>
              <w:jc w:val="center"/>
            </w:pPr>
            <w:r/>
            <w:r>
              <w:rPr>
                <w:rFonts w:ascii="Times New Roman" w:hAnsi="Times New Roman" w:eastAsia="Times New Roman"/>
                <w:b/>
                <w:i w:val="0"/>
                <w:color w:val="000000"/>
                <w:sz w:val="22"/>
                <w:u w:val="none"/>
              </w:rPr>
              <w:t>Типичные последствия</w:t>
            </w:r>
          </w:p>
        </w:tc>
      </w:tr>
      <w:tr>
        <w:tc>
          <w:tcPr>
            <w:tcW w:type="dxa" w:w="3118"/>
          </w:tcPr>
          <w:p>
            <w:pPr>
              <w:spacing w:line="276" w:lineRule="auto" w:after="40" w:before="40"/>
              <w:ind w:firstLine="0"/>
              <w:jc w:val="both"/>
            </w:pPr>
            <w:r/>
            <w:r>
              <w:rPr>
                <w:rFonts w:ascii="Times New Roman" w:hAnsi="Times New Roman" w:eastAsia="Times New Roman"/>
                <w:b/>
                <w:i w:val="0"/>
                <w:color w:val="000000"/>
                <w:sz w:val="22"/>
                <w:u w:val="none"/>
              </w:rPr>
              <w:t>Утечка и неправомерный доступ</w:t>
            </w:r>
          </w:p>
        </w:tc>
        <w:tc>
          <w:tcPr>
            <w:tcW w:type="dxa" w:w="3118"/>
          </w:tcPr>
          <w:p>
            <w:pPr>
              <w:spacing w:line="276" w:lineRule="auto" w:after="40" w:before="40"/>
              <w:ind w:firstLine="0"/>
              <w:jc w:val="both"/>
            </w:pPr>
            <w:r/>
            <w:r>
              <w:rPr>
                <w:rFonts w:ascii="Times New Roman" w:hAnsi="Times New Roman" w:eastAsia="Times New Roman"/>
                <w:b w:val="0"/>
                <w:i w:val="0"/>
                <w:color w:val="000000"/>
                <w:sz w:val="22"/>
                <w:u w:val="none"/>
              </w:rPr>
              <w:t>Компрометация персональных, платежных, коммерческих данных; публикация баз в теневом сегменте сети</w:t>
            </w:r>
          </w:p>
        </w:tc>
        <w:tc>
          <w:tcPr>
            <w:tcW w:type="dxa" w:w="3118"/>
          </w:tcPr>
          <w:p>
            <w:pPr>
              <w:spacing w:line="276" w:lineRule="auto" w:after="40" w:before="40"/>
              <w:ind w:firstLine="0"/>
              <w:jc w:val="both"/>
            </w:pPr>
            <w:r/>
            <w:r>
              <w:rPr>
                <w:rFonts w:ascii="Times New Roman" w:hAnsi="Times New Roman" w:eastAsia="Times New Roman"/>
                <w:b w:val="0"/>
                <w:i w:val="0"/>
                <w:color w:val="000000"/>
                <w:sz w:val="22"/>
                <w:u w:val="none"/>
              </w:rPr>
              <w:t>Штрафы, иски, утрата доверия, мошенничество в отношении субъектов данных</w:t>
            </w:r>
          </w:p>
        </w:tc>
      </w:tr>
      <w:tr>
        <w:tc>
          <w:tcPr>
            <w:tcW w:type="dxa" w:w="3118"/>
          </w:tcPr>
          <w:p>
            <w:pPr>
              <w:spacing w:line="276" w:lineRule="auto" w:after="40" w:before="40"/>
              <w:ind w:firstLine="0"/>
              <w:jc w:val="both"/>
            </w:pPr>
            <w:r/>
            <w:r>
              <w:rPr>
                <w:rFonts w:ascii="Times New Roman" w:hAnsi="Times New Roman" w:eastAsia="Times New Roman"/>
                <w:b/>
                <w:i w:val="0"/>
                <w:color w:val="000000"/>
                <w:sz w:val="22"/>
                <w:u w:val="none"/>
              </w:rPr>
              <w:t>Искажение и подмена</w:t>
            </w:r>
          </w:p>
        </w:tc>
        <w:tc>
          <w:tcPr>
            <w:tcW w:type="dxa" w:w="3118"/>
          </w:tcPr>
          <w:p>
            <w:pPr>
              <w:spacing w:line="276" w:lineRule="auto" w:after="40" w:before="40"/>
              <w:ind w:firstLine="0"/>
              <w:jc w:val="both"/>
            </w:pPr>
            <w:r/>
            <w:r>
              <w:rPr>
                <w:rFonts w:ascii="Times New Roman" w:hAnsi="Times New Roman" w:eastAsia="Times New Roman"/>
                <w:b w:val="0"/>
                <w:i w:val="0"/>
                <w:color w:val="000000"/>
                <w:sz w:val="22"/>
                <w:u w:val="none"/>
              </w:rPr>
              <w:t>Несанкционированная модификация учетных, финансовых, медицинских, логистических данных</w:t>
            </w:r>
          </w:p>
        </w:tc>
        <w:tc>
          <w:tcPr>
            <w:tcW w:type="dxa" w:w="3118"/>
          </w:tcPr>
          <w:p>
            <w:pPr>
              <w:spacing w:line="276" w:lineRule="auto" w:after="40" w:before="40"/>
              <w:ind w:firstLine="0"/>
              <w:jc w:val="both"/>
            </w:pPr>
            <w:r/>
            <w:r>
              <w:rPr>
                <w:rFonts w:ascii="Times New Roman" w:hAnsi="Times New Roman" w:eastAsia="Times New Roman"/>
                <w:b w:val="0"/>
                <w:i w:val="0"/>
                <w:color w:val="000000"/>
                <w:sz w:val="22"/>
                <w:u w:val="none"/>
              </w:rPr>
              <w:t>Ошибочные решения, прямые убытки, сбои процессов</w:t>
            </w:r>
          </w:p>
        </w:tc>
      </w:tr>
      <w:tr>
        <w:tc>
          <w:tcPr>
            <w:tcW w:type="dxa" w:w="3118"/>
          </w:tcPr>
          <w:p>
            <w:pPr>
              <w:spacing w:line="276" w:lineRule="auto" w:after="40" w:before="40"/>
              <w:ind w:firstLine="0"/>
              <w:jc w:val="both"/>
            </w:pPr>
            <w:r/>
            <w:r>
              <w:rPr>
                <w:rFonts w:ascii="Times New Roman" w:hAnsi="Times New Roman" w:eastAsia="Times New Roman"/>
                <w:b/>
                <w:i w:val="0"/>
                <w:color w:val="000000"/>
                <w:sz w:val="22"/>
                <w:u w:val="none"/>
              </w:rPr>
              <w:t>Утрата и недоступность</w:t>
            </w:r>
          </w:p>
        </w:tc>
        <w:tc>
          <w:tcPr>
            <w:tcW w:type="dxa" w:w="3118"/>
          </w:tcPr>
          <w:p>
            <w:pPr>
              <w:spacing w:line="276" w:lineRule="auto" w:after="40" w:before="40"/>
              <w:ind w:firstLine="0"/>
              <w:jc w:val="both"/>
            </w:pPr>
            <w:r/>
            <w:r>
              <w:rPr>
                <w:rFonts w:ascii="Times New Roman" w:hAnsi="Times New Roman" w:eastAsia="Times New Roman"/>
                <w:b w:val="0"/>
                <w:i w:val="0"/>
                <w:color w:val="000000"/>
                <w:sz w:val="22"/>
                <w:u w:val="none"/>
              </w:rPr>
              <w:t>Отказ хранилищ, шифрование вымогателем, разрушение резервных копий</w:t>
            </w:r>
          </w:p>
        </w:tc>
        <w:tc>
          <w:tcPr>
            <w:tcW w:type="dxa" w:w="3118"/>
          </w:tcPr>
          <w:p>
            <w:pPr>
              <w:spacing w:line="276" w:lineRule="auto" w:after="40" w:before="40"/>
              <w:ind w:firstLine="0"/>
              <w:jc w:val="both"/>
            </w:pPr>
            <w:r/>
            <w:r>
              <w:rPr>
                <w:rFonts w:ascii="Times New Roman" w:hAnsi="Times New Roman" w:eastAsia="Times New Roman"/>
                <w:b w:val="0"/>
                <w:i w:val="0"/>
                <w:color w:val="000000"/>
                <w:sz w:val="22"/>
                <w:u w:val="none"/>
              </w:rPr>
              <w:t>Остановка цифровых сервисов, потеря выручки</w:t>
            </w:r>
          </w:p>
        </w:tc>
      </w:tr>
      <w:tr>
        <w:tc>
          <w:tcPr>
            <w:tcW w:type="dxa" w:w="3118"/>
          </w:tcPr>
          <w:p>
            <w:pPr>
              <w:spacing w:line="276" w:lineRule="auto" w:after="40" w:before="40"/>
              <w:ind w:firstLine="0"/>
              <w:jc w:val="both"/>
            </w:pPr>
            <w:r/>
            <w:r>
              <w:rPr>
                <w:rFonts w:ascii="Times New Roman" w:hAnsi="Times New Roman" w:eastAsia="Times New Roman"/>
                <w:b/>
                <w:i w:val="0"/>
                <w:color w:val="000000"/>
                <w:sz w:val="22"/>
                <w:u w:val="none"/>
              </w:rPr>
              <w:t>Качество данных</w:t>
            </w:r>
          </w:p>
        </w:tc>
        <w:tc>
          <w:tcPr>
            <w:tcW w:type="dxa" w:w="3118"/>
          </w:tcPr>
          <w:p>
            <w:pPr>
              <w:spacing w:line="276" w:lineRule="auto" w:after="40" w:before="40"/>
              <w:ind w:firstLine="0"/>
              <w:jc w:val="both"/>
            </w:pPr>
            <w:r/>
            <w:r>
              <w:rPr>
                <w:rFonts w:ascii="Times New Roman" w:hAnsi="Times New Roman" w:eastAsia="Times New Roman"/>
                <w:b w:val="0"/>
                <w:i w:val="0"/>
                <w:color w:val="000000"/>
                <w:sz w:val="22"/>
                <w:u w:val="none"/>
              </w:rPr>
              <w:t>Неполные, устаревшие, смещенные данные в аналитике и моделях</w:t>
            </w:r>
          </w:p>
        </w:tc>
        <w:tc>
          <w:tcPr>
            <w:tcW w:type="dxa" w:w="3118"/>
          </w:tcPr>
          <w:p>
            <w:pPr>
              <w:spacing w:line="276" w:lineRule="auto" w:after="40" w:before="40"/>
              <w:ind w:firstLine="0"/>
              <w:jc w:val="both"/>
            </w:pPr>
            <w:r/>
            <w:r>
              <w:rPr>
                <w:rFonts w:ascii="Times New Roman" w:hAnsi="Times New Roman" w:eastAsia="Times New Roman"/>
                <w:b w:val="0"/>
                <w:i w:val="0"/>
                <w:color w:val="000000"/>
                <w:sz w:val="22"/>
                <w:u w:val="none"/>
              </w:rPr>
              <w:t>Неверные управленческие и кредитные решения</w:t>
            </w:r>
          </w:p>
        </w:tc>
      </w:tr>
      <w:tr>
        <w:tc>
          <w:tcPr>
            <w:tcW w:type="dxa" w:w="3118"/>
          </w:tcPr>
          <w:p>
            <w:pPr>
              <w:spacing w:line="276" w:lineRule="auto" w:after="40" w:before="40"/>
              <w:ind w:firstLine="0"/>
              <w:jc w:val="both"/>
            </w:pPr>
            <w:r/>
            <w:r>
              <w:rPr>
                <w:rFonts w:ascii="Times New Roman" w:hAnsi="Times New Roman" w:eastAsia="Times New Roman"/>
                <w:b/>
                <w:i w:val="0"/>
                <w:color w:val="000000"/>
                <w:sz w:val="22"/>
                <w:u w:val="none"/>
              </w:rPr>
              <w:t>Правовой (комплаенс)</w:t>
            </w:r>
          </w:p>
        </w:tc>
        <w:tc>
          <w:tcPr>
            <w:tcW w:type="dxa" w:w="3118"/>
          </w:tcPr>
          <w:p>
            <w:pPr>
              <w:spacing w:line="276" w:lineRule="auto" w:after="40" w:before="40"/>
              <w:ind w:firstLine="0"/>
              <w:jc w:val="both"/>
            </w:pPr>
            <w:r/>
            <w:r>
              <w:rPr>
                <w:rFonts w:ascii="Times New Roman" w:hAnsi="Times New Roman" w:eastAsia="Times New Roman"/>
                <w:b w:val="0"/>
                <w:i w:val="0"/>
                <w:color w:val="000000"/>
                <w:sz w:val="22"/>
                <w:u w:val="none"/>
              </w:rPr>
              <w:t>Обработка без основания, нарушение локализации и трансграничной передачи, срыв сроков уведомления об инциденте</w:t>
            </w:r>
          </w:p>
        </w:tc>
        <w:tc>
          <w:tcPr>
            <w:tcW w:type="dxa" w:w="3118"/>
          </w:tcPr>
          <w:p>
            <w:pPr>
              <w:spacing w:line="276" w:lineRule="auto" w:after="40" w:before="40"/>
              <w:ind w:firstLine="0"/>
              <w:jc w:val="both"/>
            </w:pPr>
            <w:r/>
            <w:r>
              <w:rPr>
                <w:rFonts w:ascii="Times New Roman" w:hAnsi="Times New Roman" w:eastAsia="Times New Roman"/>
                <w:b w:val="0"/>
                <w:i w:val="0"/>
                <w:color w:val="000000"/>
                <w:sz w:val="22"/>
                <w:u w:val="none"/>
              </w:rPr>
              <w:t>Предписания Роскомнадзора, оборочные штрафы, ограничение деятельности</w:t>
            </w:r>
          </w:p>
        </w:tc>
      </w:tr>
      <w:tr>
        <w:tc>
          <w:tcPr>
            <w:tcW w:type="dxa" w:w="3118"/>
          </w:tcPr>
          <w:p>
            <w:pPr>
              <w:spacing w:line="276" w:lineRule="auto" w:after="40" w:before="40"/>
              <w:ind w:firstLine="0"/>
              <w:jc w:val="both"/>
            </w:pPr>
            <w:r/>
            <w:r>
              <w:rPr>
                <w:rFonts w:ascii="Times New Roman" w:hAnsi="Times New Roman" w:eastAsia="Times New Roman"/>
                <w:b/>
                <w:i w:val="0"/>
                <w:color w:val="000000"/>
                <w:sz w:val="22"/>
                <w:u w:val="none"/>
              </w:rPr>
              <w:t>Третьи лица и облако</w:t>
            </w:r>
          </w:p>
        </w:tc>
        <w:tc>
          <w:tcPr>
            <w:tcW w:type="dxa" w:w="3118"/>
          </w:tcPr>
          <w:p>
            <w:pPr>
              <w:spacing w:line="276" w:lineRule="auto" w:after="40" w:before="40"/>
              <w:ind w:firstLine="0"/>
              <w:jc w:val="both"/>
            </w:pPr>
            <w:r/>
            <w:r>
              <w:rPr>
                <w:rFonts w:ascii="Times New Roman" w:hAnsi="Times New Roman" w:eastAsia="Times New Roman"/>
                <w:b w:val="0"/>
                <w:i w:val="0"/>
                <w:color w:val="000000"/>
                <w:sz w:val="22"/>
                <w:u w:val="none"/>
              </w:rPr>
              <w:t>Действия процессора, уязвимости облачной платформы, «цепочка поставки» данных</w:t>
            </w:r>
          </w:p>
        </w:tc>
        <w:tc>
          <w:tcPr>
            <w:tcW w:type="dxa" w:w="3118"/>
          </w:tcPr>
          <w:p>
            <w:pPr>
              <w:spacing w:line="276" w:lineRule="auto" w:after="40" w:before="40"/>
              <w:ind w:firstLine="0"/>
              <w:jc w:val="both"/>
            </w:pPr>
            <w:r/>
            <w:r>
              <w:rPr>
                <w:rFonts w:ascii="Times New Roman" w:hAnsi="Times New Roman" w:eastAsia="Times New Roman"/>
                <w:b w:val="0"/>
                <w:i w:val="0"/>
                <w:color w:val="000000"/>
                <w:sz w:val="22"/>
                <w:u w:val="none"/>
              </w:rPr>
              <w:t>Инцидент вне прямого контроля оператора, договорная ответственность</w:t>
            </w:r>
          </w:p>
        </w:tc>
      </w:tr>
      <w:tr>
        <w:tc>
          <w:tcPr>
            <w:tcW w:type="dxa" w:w="3118"/>
          </w:tcPr>
          <w:p>
            <w:pPr>
              <w:spacing w:line="276" w:lineRule="auto" w:after="40" w:before="40"/>
              <w:ind w:firstLine="0"/>
              <w:jc w:val="both"/>
            </w:pPr>
            <w:r/>
            <w:r>
              <w:rPr>
                <w:rFonts w:ascii="Times New Roman" w:hAnsi="Times New Roman" w:eastAsia="Times New Roman"/>
                <w:b/>
                <w:i w:val="0"/>
                <w:color w:val="000000"/>
                <w:sz w:val="22"/>
                <w:u w:val="none"/>
              </w:rPr>
              <w:t>Жизненный цикл и уничтожение</w:t>
            </w:r>
          </w:p>
        </w:tc>
        <w:tc>
          <w:tcPr>
            <w:tcW w:type="dxa" w:w="3118"/>
          </w:tcPr>
          <w:p>
            <w:pPr>
              <w:spacing w:line="276" w:lineRule="auto" w:after="40" w:before="40"/>
              <w:ind w:firstLine="0"/>
              <w:jc w:val="both"/>
            </w:pPr>
            <w:r/>
            <w:r>
              <w:rPr>
                <w:rFonts w:ascii="Times New Roman" w:hAnsi="Times New Roman" w:eastAsia="Times New Roman"/>
                <w:b w:val="0"/>
                <w:i w:val="0"/>
                <w:color w:val="000000"/>
                <w:sz w:val="22"/>
                <w:u w:val="none"/>
              </w:rPr>
              <w:t>Хранение сверх срока, остаточная информация, неконтролируемые копии</w:t>
            </w:r>
          </w:p>
        </w:tc>
        <w:tc>
          <w:tcPr>
            <w:tcW w:type="dxa" w:w="3118"/>
          </w:tcPr>
          <w:p>
            <w:pPr>
              <w:spacing w:line="276" w:lineRule="auto" w:after="40" w:before="40"/>
              <w:ind w:firstLine="0"/>
              <w:jc w:val="both"/>
            </w:pPr>
            <w:r/>
            <w:r>
              <w:rPr>
                <w:rFonts w:ascii="Times New Roman" w:hAnsi="Times New Roman" w:eastAsia="Times New Roman"/>
                <w:b w:val="0"/>
                <w:i w:val="0"/>
                <w:color w:val="000000"/>
                <w:sz w:val="22"/>
                <w:u w:val="none"/>
              </w:rPr>
              <w:t>Повторные утечки, невозможность исполнить права субъекта</w:t>
            </w:r>
          </w:p>
        </w:tc>
      </w:tr>
      <w:tr>
        <w:tc>
          <w:tcPr>
            <w:tcW w:type="dxa" w:w="3118"/>
          </w:tcPr>
          <w:p>
            <w:pPr>
              <w:spacing w:line="276" w:lineRule="auto" w:after="40" w:before="40"/>
              <w:ind w:firstLine="0"/>
              <w:jc w:val="both"/>
            </w:pPr>
            <w:r/>
            <w:r>
              <w:rPr>
                <w:rFonts w:ascii="Times New Roman" w:hAnsi="Times New Roman" w:eastAsia="Times New Roman"/>
                <w:b/>
                <w:i w:val="0"/>
                <w:color w:val="000000"/>
                <w:sz w:val="22"/>
                <w:u w:val="none"/>
              </w:rPr>
              <w:t>Большие данные и ИИ</w:t>
            </w:r>
          </w:p>
        </w:tc>
        <w:tc>
          <w:tcPr>
            <w:tcW w:type="dxa" w:w="3118"/>
          </w:tcPr>
          <w:p>
            <w:pPr>
              <w:spacing w:line="276" w:lineRule="auto" w:after="40" w:before="40"/>
              <w:ind w:firstLine="0"/>
              <w:jc w:val="both"/>
            </w:pPr>
            <w:r/>
            <w:r>
              <w:rPr>
                <w:rFonts w:ascii="Times New Roman" w:hAnsi="Times New Roman" w:eastAsia="Times New Roman"/>
                <w:b w:val="0"/>
                <w:i w:val="0"/>
                <w:color w:val="000000"/>
                <w:sz w:val="22"/>
                <w:u w:val="none"/>
              </w:rPr>
              <w:t>Повторная идентификация, смещение модели, непрозрачные решения</w:t>
            </w:r>
          </w:p>
        </w:tc>
        <w:tc>
          <w:tcPr>
            <w:tcW w:type="dxa" w:w="3118"/>
          </w:tcPr>
          <w:p>
            <w:pPr>
              <w:spacing w:line="276" w:lineRule="auto" w:after="40" w:before="40"/>
              <w:ind w:firstLine="0"/>
              <w:jc w:val="both"/>
            </w:pPr>
            <w:r/>
            <w:r>
              <w:rPr>
                <w:rFonts w:ascii="Times New Roman" w:hAnsi="Times New Roman" w:eastAsia="Times New Roman"/>
                <w:b w:val="0"/>
                <w:i w:val="0"/>
                <w:color w:val="000000"/>
                <w:sz w:val="22"/>
                <w:u w:val="none"/>
              </w:rPr>
              <w:t>Дискриминация, регуляторные претензии, репутационный ущерб</w:t>
            </w:r>
          </w:p>
        </w:tc>
      </w:tr>
    </w:tbl>
    <w:p>
      <w:pPr>
        <w:spacing w:line="360" w:lineRule="auto" w:before="0" w:after="80"/>
        <w:ind w:firstLine="0"/>
        <w:jc w:val="both"/>
      </w:pPr>
      <w:r>
        <w:rPr>
          <w:rFonts w:ascii="Times New Roman" w:hAnsi="Times New Roman" w:eastAsia="Times New Roman"/>
          <w:b w:val="0"/>
          <w:i w:val="0"/>
          <w:color w:val="000000"/>
          <w:sz w:val="28"/>
          <w:u w:val="none"/>
        </w:rPr>
      </w:r>
    </w:p>
    <w:p>
      <w:pPr>
        <w:spacing w:line="360" w:lineRule="auto" w:before="200" w:after="120"/>
        <w:ind w:firstLine="0"/>
        <w:jc w:val="left"/>
      </w:pPr>
      <w:r>
        <w:rPr>
          <w:rFonts w:ascii="Times New Roman" w:hAnsi="Times New Roman" w:eastAsia="Times New Roman"/>
          <w:b/>
          <w:i w:val="0"/>
          <w:color w:val="000000"/>
          <w:sz w:val="28"/>
          <w:u w:val="single"/>
        </w:rPr>
        <w:t>3. Примеры реализации рисков в практике цифровой экономики</w:t>
      </w:r>
    </w:p>
    <w:p>
      <w:pPr>
        <w:spacing w:line="360" w:lineRule="auto" w:before="0" w:after="120"/>
        <w:ind w:firstLine="709"/>
        <w:jc w:val="both"/>
      </w:pPr>
      <w:r>
        <w:rPr>
          <w:rFonts w:ascii="Times New Roman" w:hAnsi="Times New Roman" w:eastAsia="Times New Roman"/>
          <w:b w:val="0"/>
          <w:i w:val="0"/>
          <w:color w:val="000000"/>
          <w:sz w:val="28"/>
          <w:u w:val="none"/>
        </w:rPr>
        <w:t>Пример 1. Массовая утечка персональных данных клиентов цифровой платформы (интернет-торговля, доставка, телеком). Реализуется риск конфиденциальности на стадии хранения и передачи: злоумышленник получает доступ к базе через уязвимость веб-приложения или скомпрометированную учетную запись администратора. Последствия — уведомление Роскомнадзора, проверки, штрафы, рассылки мошенников субъектам данных, падение капитализации и отток пользователей. В терминах ГОСТ Р ИСО/МЭК 15408-1: актив — данные пользователя; угроза — несанкционированное раскрытие; контрмеры (разграничение доступа, аудит, сертифицированные СЗИ) оказались недостаточны относительно потенциала нападения; остаточный риск реализовался.</w:t>
      </w:r>
    </w:p>
    <w:p>
      <w:pPr>
        <w:spacing w:line="360" w:lineRule="auto" w:before="0" w:after="120"/>
        <w:ind w:firstLine="709"/>
        <w:jc w:val="both"/>
      </w:pPr>
      <w:r>
        <w:rPr>
          <w:rFonts w:ascii="Times New Roman" w:hAnsi="Times New Roman" w:eastAsia="Times New Roman"/>
          <w:b w:val="0"/>
          <w:i w:val="0"/>
          <w:color w:val="000000"/>
          <w:sz w:val="28"/>
          <w:u w:val="none"/>
        </w:rPr>
        <w:t>Пример 2. Обработка персональных данных банком или микрофинансовой организацией в кредитном скоринге на основе больших данных. Риск качества и правовой риск: модель использует неактуальные либо избыточные сведения, субъект получает необоснованный отказ. Одновременно возникает риск целостности, если данные бюро кредитных историй искажены. Управление требует и защиты актива, и data governance: происхождение данных, правовое основание, возможность объяснить решение.</w:t>
      </w:r>
    </w:p>
    <w:p>
      <w:pPr>
        <w:spacing w:line="360" w:lineRule="auto" w:before="0" w:after="120"/>
        <w:ind w:firstLine="709"/>
        <w:jc w:val="both"/>
      </w:pPr>
      <w:r>
        <w:rPr>
          <w:rFonts w:ascii="Times New Roman" w:hAnsi="Times New Roman" w:eastAsia="Times New Roman"/>
          <w:b w:val="0"/>
          <w:i w:val="0"/>
          <w:color w:val="000000"/>
          <w:sz w:val="28"/>
          <w:u w:val="none"/>
        </w:rPr>
        <w:t>Пример 3. Размещение государственной или корпоративной информационной системы в облаке. Риск третьей стороны: провайдер имеет доступ к данным, хранилище может оказаться вне требуемой юрисдикции, инцидент на стороне облака приводит к недоступности сервиса. Для значимых объектов КИИ и государственных информационных систем такие риски дополнительно регулируются требованиями о размещении технических средств на территории Российской Федерации и об оценке соответствия средств защиты.</w:t>
      </w:r>
    </w:p>
    <w:p>
      <w:pPr>
        <w:spacing w:line="360" w:lineRule="auto" w:before="0" w:after="120"/>
        <w:ind w:firstLine="709"/>
        <w:jc w:val="both"/>
      </w:pPr>
      <w:r>
        <w:rPr>
          <w:rFonts w:ascii="Times New Roman" w:hAnsi="Times New Roman" w:eastAsia="Times New Roman"/>
          <w:b w:val="0"/>
          <w:i w:val="0"/>
          <w:color w:val="000000"/>
          <w:sz w:val="28"/>
          <w:u w:val="none"/>
        </w:rPr>
        <w:t>Пример 4. Атака программой-вымогателем на медицинскую информационную систему или ритейлера. Одновременно реализуются риски доступности (шифрование витрин данных), целостности (сомнение в неизменности записей) и конфиденциальности (угроза публикации похищенной базы). Это типичный цифровой риск управления данными, поскольку резервное копирование, сегментация хранилищ и контроль привилегированного доступа относятся именно к data management, а не только к «антивирусу».</w:t>
      </w:r>
    </w:p>
    <w:p>
      <w:pPr>
        <w:spacing w:line="360" w:lineRule="auto" w:before="0" w:after="120"/>
        <w:ind w:firstLine="709"/>
        <w:jc w:val="both"/>
      </w:pPr>
      <w:r>
        <w:rPr>
          <w:rFonts w:ascii="Times New Roman" w:hAnsi="Times New Roman" w:eastAsia="Times New Roman"/>
          <w:b w:val="0"/>
          <w:i w:val="0"/>
          <w:color w:val="000000"/>
          <w:sz w:val="28"/>
          <w:u w:val="none"/>
        </w:rPr>
        <w:t>Пример 5 (учебный, на стыке со стандартом варианта). Оператор персональных данных закупает систему управления базами данных и модуль разграничения доступа. В задании по безопасности по ГОСТ Р ИСО/МЭК 15408 активами указаны персональные данные и аутентификационные данные администраторов. Угроза — утечка за счет обхода идентификации при низком качестве секрета (пароля). Цель безопасности — обеспечить аутентификацию уполномоченных пользователей и защиту остаточной информации. Если выбран недостаточный ОУД, цифровой риск утечки при администрировании базы остается неприемлемым.</w:t>
      </w:r>
    </w:p>
    <w:p>
      <w:pPr>
        <w:spacing w:line="360" w:lineRule="auto" w:before="160" w:after="120"/>
        <w:ind w:firstLine="0"/>
        <w:jc w:val="left"/>
      </w:pPr>
      <w:r>
        <w:rPr>
          <w:rFonts w:ascii="Times New Roman" w:hAnsi="Times New Roman" w:eastAsia="Times New Roman"/>
          <w:b/>
          <w:i w:val="0"/>
          <w:color w:val="000000"/>
          <w:sz w:val="28"/>
          <w:u w:val="single"/>
        </w:rPr>
        <w:t>4. Нормативное и методическое регулирование в Российской Федерации</w:t>
      </w:r>
    </w:p>
    <w:p>
      <w:pPr>
        <w:spacing w:line="360" w:lineRule="auto" w:before="0" w:after="120"/>
        <w:ind w:firstLine="709"/>
        <w:jc w:val="both"/>
      </w:pPr>
      <w:r>
        <w:rPr>
          <w:rFonts w:ascii="Times New Roman" w:hAnsi="Times New Roman" w:eastAsia="Times New Roman"/>
          <w:b w:val="0"/>
          <w:i w:val="0"/>
          <w:color w:val="000000"/>
          <w:sz w:val="28"/>
          <w:u w:val="none"/>
        </w:rPr>
        <w:t>Основу правового режима составляют Федеральный закон № 149-ФЗ (информация и защита информации), Федеральный закон № 152-ФЗ (персональные данные, обязанности оператора, требования к безопасности при обработке), Федеральный закон № 187-ФЗ (безопасность КИИ, если данные обрабатываются на значимых объектах), Федеральный закон от 29.07.2004 № 98-ФЗ «О коммерческой тайне». Трансграничная передача, локализация отдельных категорий персональных данных, уведомление об инцидентах и взаимодействие с ГосСОПКА формируют отдельный слой комплаенс-риска.</w:t>
      </w:r>
    </w:p>
    <w:p>
      <w:pPr>
        <w:spacing w:line="360" w:lineRule="auto" w:before="0" w:after="120"/>
        <w:ind w:firstLine="709"/>
        <w:jc w:val="both"/>
      </w:pPr>
      <w:r>
        <w:rPr>
          <w:rFonts w:ascii="Times New Roman" w:hAnsi="Times New Roman" w:eastAsia="Times New Roman"/>
          <w:b w:val="0"/>
          <w:i w:val="0"/>
          <w:color w:val="000000"/>
          <w:sz w:val="28"/>
          <w:u w:val="none"/>
        </w:rPr>
        <w:t>На уровне подзаконных актов ключевыми являются постановления Правительства Российской Федерации и приказы ФСТЭК России / ФСБ России, определяющие уровни защищенности ИСПДн, состав мер защиты, порядок оценки угроз. Методический документ ФСТЭК России «Методика оценки угроз безопасности информации» (05.02.2021) задает единый подход к моделированию угроз для систем, в которых обрабатываются данные. Приказ ФСТЭК России от 18.02.2013 № 21 устанавливает состав и содержание организационных и технических мер по обеспечению безопасности персональных данных.</w:t>
      </w:r>
    </w:p>
    <w:p>
      <w:pPr>
        <w:spacing w:line="360" w:lineRule="auto" w:before="0" w:after="120"/>
        <w:ind w:firstLine="709"/>
        <w:jc w:val="both"/>
      </w:pPr>
      <w:r>
        <w:rPr>
          <w:rFonts w:ascii="Times New Roman" w:hAnsi="Times New Roman" w:eastAsia="Times New Roman"/>
          <w:b w:val="0"/>
          <w:i w:val="0"/>
          <w:color w:val="000000"/>
          <w:sz w:val="28"/>
          <w:u w:val="none"/>
        </w:rPr>
        <w:t>Методическую рамку управления риском как риском информационной безопасности дают ГОСТ Р ИСО/МЭК 27001, ГОСТ Р ИСО/МЭК 27005 (менеджмент риска ИБ), ГОСТ Р 50922-2006 (термины защиты информации) и ГОСТ Р ИСО/МЭК 15408 (оценка безопасности продуктов, через которые данные обрабатываются и защищаются). Таким образом, риски обработки данных регулируются и правом (обязанности оператора), и стандартами оценки/менеджмента риска.</w:t>
      </w:r>
    </w:p>
    <w:p>
      <w:pPr>
        <w:spacing w:line="360" w:lineRule="auto" w:before="160" w:after="120"/>
        <w:ind w:firstLine="0"/>
        <w:jc w:val="left"/>
      </w:pPr>
      <w:r>
        <w:rPr>
          <w:rFonts w:ascii="Times New Roman" w:hAnsi="Times New Roman" w:eastAsia="Times New Roman"/>
          <w:b/>
          <w:i w:val="0"/>
          <w:color w:val="000000"/>
          <w:sz w:val="28"/>
          <w:u w:val="single"/>
        </w:rPr>
        <w:t>5. Меры управления данными рисками</w:t>
      </w:r>
    </w:p>
    <w:p>
      <w:pPr>
        <w:spacing w:line="360" w:lineRule="auto" w:before="0" w:after="120"/>
        <w:ind w:firstLine="709"/>
        <w:jc w:val="both"/>
      </w:pPr>
      <w:r>
        <w:rPr>
          <w:rFonts w:ascii="Times New Roman" w:hAnsi="Times New Roman" w:eastAsia="Times New Roman"/>
          <w:b w:val="0"/>
          <w:i w:val="0"/>
          <w:color w:val="000000"/>
          <w:sz w:val="28"/>
          <w:u w:val="none"/>
        </w:rPr>
        <w:t>Управление рисками обработки и управления данными строится как цикл: идентификация активов-данных → оценка угроз и уязвимостей → определение допустимого остаточного риска → выбор контрмер → мониторинг инцидентов и качества данных. Набор мер целесообразно группировать следующим образом.</w:t>
      </w:r>
    </w:p>
    <w:p>
      <w:pPr>
        <w:spacing w:line="360" w:lineRule="auto" w:before="0" w:after="120"/>
        <w:ind w:firstLine="709"/>
        <w:jc w:val="both"/>
      </w:pPr>
      <w:r>
        <w:rPr>
          <w:rFonts w:ascii="Times New Roman" w:hAnsi="Times New Roman" w:eastAsia="Times New Roman"/>
          <w:b w:val="0"/>
          <w:i w:val="0"/>
          <w:color w:val="000000"/>
          <w:sz w:val="28"/>
          <w:u w:val="none"/>
        </w:rPr>
        <w:t>Правовые и организационные меры: назначение ответственных за обработку и за защиту данных; политики классификации информации; правовые основания и согласия; договоры с процессорами, включающие требования безопасности и аудит; учет информационных систем; регламенты реагирования на утечки; обучение персонала; минимизация данных и ограничение целей обработки.</w:t>
      </w:r>
    </w:p>
    <w:p>
      <w:pPr>
        <w:spacing w:line="360" w:lineRule="auto" w:before="0" w:after="120"/>
        <w:ind w:firstLine="709"/>
        <w:jc w:val="both"/>
      </w:pPr>
      <w:r>
        <w:rPr>
          <w:rFonts w:ascii="Times New Roman" w:hAnsi="Times New Roman" w:eastAsia="Times New Roman"/>
          <w:b w:val="0"/>
          <w:i w:val="0"/>
          <w:color w:val="000000"/>
          <w:sz w:val="28"/>
          <w:u w:val="none"/>
        </w:rPr>
        <w:t>Меры data governance: каталог данных, назначение владельцев данных (data owners), контроль качества, управление жизненным циклом, регламент уничтожения, запрет неконтролируемых копий, разделение продуктивных и тестовых сред, маскирование и обезличивание тестовых наборов.</w:t>
      </w:r>
    </w:p>
    <w:p>
      <w:pPr>
        <w:spacing w:line="360" w:lineRule="auto" w:before="0" w:after="120"/>
        <w:ind w:firstLine="709"/>
        <w:jc w:val="both"/>
      </w:pPr>
      <w:r>
        <w:rPr>
          <w:rFonts w:ascii="Times New Roman" w:hAnsi="Times New Roman" w:eastAsia="Times New Roman"/>
          <w:b w:val="0"/>
          <w:i w:val="0"/>
          <w:color w:val="000000"/>
          <w:sz w:val="28"/>
          <w:u w:val="none"/>
        </w:rPr>
        <w:t>Технические меры: идентификация и аутентификация, разграничение доступа, шифрование при хранении и передаче, журналирование и мониторинг, DLP, резервное копирование и проверка восстановления, защита конечных точек и периметра, сегментация сетей, управление уязвимостями, защита остаточной информации. Для продуктов, через которые реализуются эти функции, в российской практике применяются сертификация и профили защиты по ГОСТ Р ИСО/МЭК 15408, а для клиентского финансового ПО — оценка по ОУД4.</w:t>
      </w:r>
    </w:p>
    <w:p>
      <w:pPr>
        <w:spacing w:line="360" w:lineRule="auto" w:before="0" w:after="120"/>
        <w:ind w:firstLine="709"/>
        <w:jc w:val="both"/>
      </w:pPr>
      <w:r>
        <w:rPr>
          <w:rFonts w:ascii="Times New Roman" w:hAnsi="Times New Roman" w:eastAsia="Times New Roman"/>
          <w:b w:val="0"/>
          <w:i w:val="0"/>
          <w:color w:val="000000"/>
          <w:sz w:val="28"/>
          <w:u w:val="none"/>
        </w:rPr>
        <w:t>Экономические меры: страхование киберрисков, оценка ущерба от простоя цифровых сервисов, включение стоимости защиты данных в себестоимость цифрового продукта. Критерий успеха — не «нулевой риск» (стандарт прямо исходит из существования остаточного риска), а удержание риска в границах, приемлемых для владельца актива и для регулятора.</w:t>
      </w:r>
    </w:p>
    <w:p>
      <w:pPr>
        <w:spacing w:line="360" w:lineRule="auto" w:before="160" w:after="120"/>
        <w:ind w:firstLine="0"/>
        <w:jc w:val="left"/>
      </w:pPr>
      <w:r>
        <w:rPr>
          <w:rFonts w:ascii="Times New Roman" w:hAnsi="Times New Roman" w:eastAsia="Times New Roman"/>
          <w:b/>
          <w:i w:val="0"/>
          <w:color w:val="000000"/>
          <w:sz w:val="28"/>
          <w:u w:val="single"/>
        </w:rPr>
        <w:t>Краткий вывод по части второй</w:t>
      </w:r>
    </w:p>
    <w:p>
      <w:pPr>
        <w:spacing w:line="360" w:lineRule="auto" w:before="0" w:after="120"/>
        <w:ind w:firstLine="709"/>
        <w:jc w:val="both"/>
      </w:pPr>
      <w:r>
        <w:rPr>
          <w:rFonts w:ascii="Times New Roman" w:hAnsi="Times New Roman" w:eastAsia="Times New Roman"/>
          <w:b w:val="0"/>
          <w:i w:val="0"/>
          <w:color w:val="000000"/>
          <w:sz w:val="28"/>
          <w:u w:val="none"/>
        </w:rPr>
        <w:t>Риски обработки и управления данными — центральный вид цифровых рисков, потому что данные являются основным активом цифровой экономики. Их видовой состав включает риски конфиденциальности, целостности, доступности, качества, комплаенса, третьих лиц, жизненного цикла и использования больших данных / ИИ. В российской практике они описываются языком законодательства об информации и персональных данных и одновременно языком ГОСТ Р ИСО/МЭК 15408 (актив, угроза, потенциал нападения, цель безопасности, доверие, остаточный риск). Управление этими рисками требует сочетания правового режима оператора, корпоративного data governance и технических контрмер, подтвержденных оценкой безопасности ИТ-продуктов.</w:t>
      </w:r>
    </w:p>
    <w:p>
      <w:pPr>
        <w:spacing w:line="360" w:lineRule="auto" w:before="240" w:after="160"/>
        <w:ind w:firstLine="0"/>
        <w:jc w:val="center"/>
      </w:pPr>
      <w:r>
        <w:rPr>
          <w:rFonts w:ascii="Times New Roman" w:hAnsi="Times New Roman" w:eastAsia="Times New Roman"/>
          <w:b/>
          <w:i w:val="0"/>
          <w:color w:val="000000"/>
          <w:sz w:val="32"/>
          <w:u w:val="single"/>
        </w:rPr>
        <w:t>Список источников</w:t>
      </w:r>
    </w:p>
    <w:p>
      <w:pPr>
        <w:spacing w:line="360" w:lineRule="auto" w:before="0" w:after="80"/>
        <w:ind w:firstLine="0"/>
        <w:jc w:val="left"/>
      </w:pPr>
      <w:r>
        <w:rPr>
          <w:rFonts w:ascii="Times New Roman" w:hAnsi="Times New Roman" w:eastAsia="Times New Roman"/>
          <w:b w:val="0"/>
          <w:i w:val="0"/>
          <w:color w:val="000000"/>
          <w:sz w:val="28"/>
          <w:u w:val="none"/>
        </w:rPr>
        <w:t>1. ГОСТ Р ИСО/МЭК 15408-1-2008. Информационная технология. Методы и средства обеспечения безопасности. Критерии оценки безопасности информационных технологий. Часть 1. Введение и общая модель (утв. Приказом Ростехрегулирования от 18.12.2008 № 519-ст).</w:t>
      </w:r>
    </w:p>
    <w:p>
      <w:pPr>
        <w:spacing w:line="360" w:lineRule="auto" w:before="0" w:after="80"/>
        <w:ind w:firstLine="0"/>
        <w:jc w:val="left"/>
      </w:pPr>
      <w:r>
        <w:rPr>
          <w:rFonts w:ascii="Times New Roman" w:hAnsi="Times New Roman" w:eastAsia="Times New Roman"/>
          <w:b w:val="0"/>
          <w:i w:val="0"/>
          <w:color w:val="000000"/>
          <w:sz w:val="28"/>
          <w:u w:val="none"/>
        </w:rPr>
        <w:t>2. ГОСТ Р ИСО/МЭК 15408-1-2012. Информационная технология. Методы и средства обеспечения безопасности. Критерии оценки безопасности информационных технологий. Часть 1. Введение и общая модель.</w:t>
      </w:r>
    </w:p>
    <w:p>
      <w:pPr>
        <w:spacing w:line="360" w:lineRule="auto" w:before="0" w:after="80"/>
        <w:ind w:firstLine="0"/>
        <w:jc w:val="left"/>
      </w:pPr>
      <w:r>
        <w:rPr>
          <w:rFonts w:ascii="Times New Roman" w:hAnsi="Times New Roman" w:eastAsia="Times New Roman"/>
          <w:b w:val="0"/>
          <w:i w:val="0"/>
          <w:color w:val="000000"/>
          <w:sz w:val="28"/>
          <w:u w:val="none"/>
        </w:rPr>
        <w:t>3. ГОСТ Р 50922-2006. Защита информации. Основные термины и определения.</w:t>
      </w:r>
    </w:p>
    <w:p>
      <w:pPr>
        <w:spacing w:line="360" w:lineRule="auto" w:before="0" w:after="80"/>
        <w:ind w:firstLine="0"/>
        <w:jc w:val="left"/>
      </w:pPr>
      <w:r>
        <w:rPr>
          <w:rFonts w:ascii="Times New Roman" w:hAnsi="Times New Roman" w:eastAsia="Times New Roman"/>
          <w:b w:val="0"/>
          <w:i w:val="0"/>
          <w:color w:val="000000"/>
          <w:sz w:val="28"/>
          <w:u w:val="none"/>
        </w:rPr>
        <w:t>4. Федеральный закон от 27.12.2002 № 184-ФЗ «О техническом регулировании».</w:t>
      </w:r>
    </w:p>
    <w:p>
      <w:pPr>
        <w:spacing w:line="360" w:lineRule="auto" w:before="0" w:after="80"/>
        <w:ind w:firstLine="0"/>
        <w:jc w:val="left"/>
      </w:pPr>
      <w:r>
        <w:rPr>
          <w:rFonts w:ascii="Times New Roman" w:hAnsi="Times New Roman" w:eastAsia="Times New Roman"/>
          <w:b w:val="0"/>
          <w:i w:val="0"/>
          <w:color w:val="000000"/>
          <w:sz w:val="28"/>
          <w:u w:val="none"/>
        </w:rPr>
        <w:t>5. Федеральный закон от 27.07.2006 № 149-ФЗ «Об информации, информационных технологиях и о защите информации».</w:t>
      </w:r>
    </w:p>
    <w:p>
      <w:pPr>
        <w:spacing w:line="360" w:lineRule="auto" w:before="0" w:after="80"/>
        <w:ind w:firstLine="0"/>
        <w:jc w:val="left"/>
      </w:pPr>
      <w:r>
        <w:rPr>
          <w:rFonts w:ascii="Times New Roman" w:hAnsi="Times New Roman" w:eastAsia="Times New Roman"/>
          <w:b w:val="0"/>
          <w:i w:val="0"/>
          <w:color w:val="000000"/>
          <w:sz w:val="28"/>
          <w:u w:val="none"/>
        </w:rPr>
        <w:t>6. Федеральный закон от 27.07.2006 № 152-ФЗ «О персональных данных».</w:t>
      </w:r>
    </w:p>
    <w:p>
      <w:pPr>
        <w:spacing w:line="360" w:lineRule="auto" w:before="0" w:after="80"/>
        <w:ind w:firstLine="0"/>
        <w:jc w:val="left"/>
      </w:pPr>
      <w:r>
        <w:rPr>
          <w:rFonts w:ascii="Times New Roman" w:hAnsi="Times New Roman" w:eastAsia="Times New Roman"/>
          <w:b w:val="0"/>
          <w:i w:val="0"/>
          <w:color w:val="000000"/>
          <w:sz w:val="28"/>
          <w:u w:val="none"/>
        </w:rPr>
        <w:t>7. Федеральный закон от 26.07.2017 № 187-ФЗ «О безопасности критической информационной инфраструктуры Российской Федерации».</w:t>
      </w:r>
    </w:p>
    <w:p>
      <w:pPr>
        <w:spacing w:line="360" w:lineRule="auto" w:before="0" w:after="80"/>
        <w:ind w:firstLine="0"/>
        <w:jc w:val="left"/>
      </w:pPr>
      <w:r>
        <w:rPr>
          <w:rFonts w:ascii="Times New Roman" w:hAnsi="Times New Roman" w:eastAsia="Times New Roman"/>
          <w:b w:val="0"/>
          <w:i w:val="0"/>
          <w:color w:val="000000"/>
          <w:sz w:val="28"/>
          <w:u w:val="none"/>
        </w:rPr>
        <w:t>8. Методический документ ФСТЭК России ИТ.СДЗ.УБ4.ПЗ «Профиль защиты средства доверенной загрузки уровня базовой системы ввода-вывода четвертого класса защиты» (утв. 30.12.2013).</w:t>
      </w:r>
    </w:p>
    <w:p>
      <w:pPr>
        <w:spacing w:line="360" w:lineRule="auto" w:before="0" w:after="80"/>
        <w:ind w:firstLine="0"/>
        <w:jc w:val="left"/>
      </w:pPr>
      <w:r>
        <w:rPr>
          <w:rFonts w:ascii="Times New Roman" w:hAnsi="Times New Roman" w:eastAsia="Times New Roman"/>
          <w:b w:val="0"/>
          <w:i w:val="0"/>
          <w:color w:val="000000"/>
          <w:sz w:val="28"/>
          <w:u w:val="none"/>
        </w:rPr>
        <w:t>9. Методический документ ФСТЭК России «Методика оценки угроз безопасности информации» (утв. 05.02.2021).</w:t>
      </w:r>
    </w:p>
    <w:p>
      <w:pPr>
        <w:spacing w:line="360" w:lineRule="auto" w:before="0" w:after="80"/>
        <w:ind w:firstLine="0"/>
        <w:jc w:val="left"/>
      </w:pPr>
      <w:r>
        <w:rPr>
          <w:rFonts w:ascii="Times New Roman" w:hAnsi="Times New Roman" w:eastAsia="Times New Roman"/>
          <w:b w:val="0"/>
          <w:i w:val="0"/>
          <w:color w:val="000000"/>
          <w:sz w:val="28"/>
          <w:u w:val="none"/>
        </w:rPr>
        <w:t>10. Приказ ФСТЭК России от 18.02.2013 № 21 «Об утверждении Состава и содержания организационных и технических мер по обеспечению безопасности персональных данных…».</w:t>
      </w:r>
    </w:p>
    <w:p>
      <w:pPr>
        <w:spacing w:line="360" w:lineRule="auto" w:before="0" w:after="80"/>
        <w:ind w:firstLine="0"/>
        <w:jc w:val="left"/>
      </w:pPr>
      <w:r>
        <w:rPr>
          <w:rFonts w:ascii="Times New Roman" w:hAnsi="Times New Roman" w:eastAsia="Times New Roman"/>
          <w:b w:val="0"/>
          <w:i w:val="0"/>
          <w:color w:val="000000"/>
          <w:sz w:val="28"/>
          <w:u w:val="none"/>
        </w:rPr>
        <w:t>11. Положения Банка России № 683-П, № 757-П, № 821-П (требования к обеспечению защиты информации в финансовой сфере, включая оценку соответствия по ОУД4).</w:t>
      </w:r>
    </w:p>
    <w:p>
      <w:pPr>
        <w:spacing w:line="360" w:lineRule="auto" w:before="0" w:after="80"/>
        <w:ind w:firstLine="0"/>
        <w:jc w:val="left"/>
      </w:pPr>
      <w:r>
        <w:rPr>
          <w:rFonts w:ascii="Times New Roman" w:hAnsi="Times New Roman" w:eastAsia="Times New Roman"/>
          <w:b w:val="0"/>
          <w:i w:val="0"/>
          <w:color w:val="000000"/>
          <w:sz w:val="28"/>
          <w:u w:val="none"/>
        </w:rPr>
        <w:t>12. ГОСТ Р 57628-2017. Информационная технология. Методы и средства обеспечения безопасности. Руководство по разработке профилей защиты и заданий по безопасности.</w:t>
      </w:r>
    </w:p>
    <w:p>
      <w:pPr>
        <w:spacing w:line="360" w:lineRule="auto" w:before="0" w:after="80"/>
        <w:ind w:firstLine="0"/>
        <w:jc w:val="left"/>
      </w:pPr>
      <w:r>
        <w:rPr>
          <w:rFonts w:ascii="Times New Roman" w:hAnsi="Times New Roman" w:eastAsia="Times New Roman"/>
          <w:b w:val="0"/>
          <w:i w:val="0"/>
          <w:color w:val="000000"/>
          <w:sz w:val="28"/>
          <w:u w:val="none"/>
        </w:rPr>
        <w:t>13. Янченко Е. В. Риски организации в условиях цифровизации экономики // Креативная экономика. 2022. № 6.</w:t>
      </w:r>
    </w:p>
    <w:p>
      <w:pPr>
        <w:spacing w:line="360" w:lineRule="auto" w:before="0" w:after="80"/>
        <w:ind w:firstLine="0"/>
        <w:jc w:val="left"/>
      </w:pPr>
      <w:r>
        <w:rPr>
          <w:rFonts w:ascii="Times New Roman" w:hAnsi="Times New Roman" w:eastAsia="Times New Roman"/>
          <w:b w:val="0"/>
          <w:i w:val="0"/>
          <w:color w:val="000000"/>
          <w:sz w:val="28"/>
          <w:u w:val="none"/>
        </w:rPr>
        <w:t>14. RTM Group. «Общие критерии» ГОСТ Р ИСО/МЭК 15408: структура и применение. URL: https://rtmtech.ru/articles/gost-15408/</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