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AA9A" w14:textId="77777777" w:rsidR="00EC4198" w:rsidRPr="00356A06" w:rsidRDefault="00000000">
      <w:pPr>
        <w:pBdr>
          <w:top w:val="none" w:sz="0" w:space="0" w:color="FFFFFF"/>
          <w:left w:val="none" w:sz="0" w:space="0" w:color="FFFFFF"/>
          <w:bottom w:val="single" w:sz="8" w:space="1" w:color="000000"/>
          <w:right w:val="none" w:sz="0" w:space="0" w:color="FFFFFF"/>
        </w:pBdr>
        <w:spacing w:after="30"/>
        <w:jc w:val="center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52"/>
          <w:szCs w:val="52"/>
        </w:rPr>
        <w:t>MUHAMMAD ABUBAKAR</w:t>
      </w:r>
    </w:p>
    <w:p w14:paraId="3777D998" w14:textId="77777777" w:rsidR="00EC4198" w:rsidRPr="00356A06" w:rsidRDefault="00000000">
      <w:pPr>
        <w:spacing w:before="30" w:after="50"/>
        <w:jc w:val="center"/>
        <w:rPr>
          <w:sz w:val="18"/>
          <w:szCs w:val="18"/>
        </w:rPr>
      </w:pPr>
      <w:r w:rsidRPr="00356A06">
        <w:rPr>
          <w:rFonts w:ascii="Calibri" w:eastAsia="Calibri" w:hAnsi="Calibri" w:cs="Calibri"/>
          <w:sz w:val="16"/>
          <w:szCs w:val="16"/>
        </w:rPr>
        <w:t xml:space="preserve">London, </w:t>
      </w:r>
      <w:proofErr w:type="gramStart"/>
      <w:r w:rsidRPr="00356A06">
        <w:rPr>
          <w:rFonts w:ascii="Calibri" w:eastAsia="Calibri" w:hAnsi="Calibri" w:cs="Calibri"/>
          <w:sz w:val="16"/>
          <w:szCs w:val="16"/>
        </w:rPr>
        <w:t>UK  |</w:t>
      </w:r>
      <w:proofErr w:type="gramEnd"/>
      <w:r w:rsidRPr="00356A06"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 w:rsidRPr="00356A06">
        <w:rPr>
          <w:rFonts w:ascii="Calibri" w:eastAsia="Calibri" w:hAnsi="Calibri" w:cs="Calibri"/>
          <w:sz w:val="16"/>
          <w:szCs w:val="16"/>
        </w:rPr>
        <w:t>alxmuhd@gmail.com  |</w:t>
      </w:r>
      <w:proofErr w:type="gramEnd"/>
      <w:r w:rsidRPr="00356A06">
        <w:rPr>
          <w:rFonts w:ascii="Calibri" w:eastAsia="Calibri" w:hAnsi="Calibri" w:cs="Calibri"/>
          <w:sz w:val="16"/>
          <w:szCs w:val="16"/>
        </w:rPr>
        <w:t xml:space="preserve">  +44 7955 </w:t>
      </w:r>
      <w:proofErr w:type="gramStart"/>
      <w:r w:rsidRPr="00356A06">
        <w:rPr>
          <w:rFonts w:ascii="Calibri" w:eastAsia="Calibri" w:hAnsi="Calibri" w:cs="Calibri"/>
          <w:sz w:val="16"/>
          <w:szCs w:val="16"/>
        </w:rPr>
        <w:t>064570  |</w:t>
      </w:r>
      <w:proofErr w:type="gramEnd"/>
      <w:r w:rsidRPr="00356A06">
        <w:rPr>
          <w:rFonts w:ascii="Calibri" w:eastAsia="Calibri" w:hAnsi="Calibri" w:cs="Calibri"/>
          <w:sz w:val="16"/>
          <w:szCs w:val="16"/>
        </w:rPr>
        <w:t xml:space="preserve">  linkedin.com/in/muhammad-abubakar-308497191</w:t>
      </w:r>
    </w:p>
    <w:p w14:paraId="0BE37B9B" w14:textId="77777777" w:rsidR="00EC4198" w:rsidRPr="00356A06" w:rsidRDefault="00000000" w:rsidP="00356A06">
      <w:pPr>
        <w:pBdr>
          <w:top w:val="none" w:sz="0" w:space="0" w:color="FFFFFF"/>
          <w:left w:val="none" w:sz="0" w:space="0" w:color="FFFFFF"/>
          <w:bottom w:val="single" w:sz="8" w:space="2" w:color="000000"/>
          <w:right w:val="none" w:sz="0" w:space="0" w:color="FFFFFF"/>
        </w:pBdr>
        <w:spacing w:before="100" w:after="5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PROFESSIONAL SUMMARY</w:t>
      </w:r>
    </w:p>
    <w:p w14:paraId="1120CA59" w14:textId="019E197F" w:rsidR="00356A06" w:rsidRDefault="00000000">
      <w:pPr>
        <w:spacing w:before="50" w:after="50"/>
        <w:rPr>
          <w:rFonts w:ascii="Calibri" w:eastAsia="Calibri" w:hAnsi="Calibri" w:cs="Calibri"/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An analytically rigorous and persuasively articulate Economics &amp; Public Affairs Analyst with an MSc in Economics and </w:t>
      </w:r>
      <w:proofErr w:type="gramStart"/>
      <w:r w:rsidRPr="00356A06">
        <w:rPr>
          <w:rFonts w:ascii="Calibri" w:eastAsia="Calibri" w:hAnsi="Calibri" w:cs="Calibri"/>
          <w:sz w:val="18"/>
          <w:szCs w:val="18"/>
        </w:rPr>
        <w:t>Policy  and</w:t>
      </w:r>
      <w:proofErr w:type="gramEnd"/>
      <w:r w:rsidRPr="00356A06">
        <w:rPr>
          <w:rFonts w:ascii="Calibri" w:eastAsia="Calibri" w:hAnsi="Calibri" w:cs="Calibri"/>
          <w:sz w:val="18"/>
          <w:szCs w:val="18"/>
        </w:rPr>
        <w:t xml:space="preserve"> a BSc in Economics and Management Studies. Experienced in translating complex economic and policy data into clear, compelling narratives for non-expert decision-makers, with a strong track record in quantitative research, causal inference and stakeholder-facing communication. Holds a certified Data Analysis qualification (Future Connect, 2026) and has published research in a globally distributed dataset. Comfortable operating in fast-paced, high-output environments where accuracy, analytical mastery and persuasive messaging are non-negotiable.</w:t>
      </w:r>
    </w:p>
    <w:p w14:paraId="06F81F69" w14:textId="77777777" w:rsidR="00356A06" w:rsidRPr="00356A06" w:rsidRDefault="00356A06" w:rsidP="00356A06">
      <w:pPr>
        <w:pBdr>
          <w:top w:val="none" w:sz="0" w:space="0" w:color="FFFFFF"/>
          <w:left w:val="none" w:sz="0" w:space="0" w:color="FFFFFF"/>
          <w:bottom w:val="single" w:sz="8" w:space="1" w:color="000000"/>
          <w:right w:val="none" w:sz="0" w:space="0" w:color="FFFFFF"/>
        </w:pBdr>
        <w:spacing w:before="100" w:after="5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EDUCATION</w:t>
      </w:r>
    </w:p>
    <w:p w14:paraId="77D9AD39" w14:textId="77777777" w:rsidR="00356A06" w:rsidRPr="00356A06" w:rsidRDefault="00356A06" w:rsidP="00356A06">
      <w:pPr>
        <w:tabs>
          <w:tab w:val="right" w:pos="9360"/>
        </w:tabs>
        <w:spacing w:before="70"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MSc Economics and Policy (Merit)</w:t>
      </w:r>
      <w:r w:rsidRPr="00356A06">
        <w:rPr>
          <w:rFonts w:ascii="Calibri" w:eastAsia="Calibri" w:hAnsi="Calibri" w:cs="Calibri"/>
          <w:sz w:val="18"/>
          <w:szCs w:val="18"/>
        </w:rPr>
        <w:t xml:space="preserve"> – King’s College London</w:t>
      </w:r>
      <w:r w:rsidRPr="00356A06">
        <w:rPr>
          <w:rFonts w:ascii="Calibri" w:eastAsia="Calibri" w:hAnsi="Calibri" w:cs="Calibri"/>
          <w:sz w:val="18"/>
          <w:szCs w:val="18"/>
        </w:rPr>
        <w:tab/>
        <w:t>2024–2025</w:t>
      </w:r>
    </w:p>
    <w:p w14:paraId="74D758BE" w14:textId="77777777" w:rsidR="00356A06" w:rsidRPr="00356A06" w:rsidRDefault="00356A06" w:rsidP="00356A06">
      <w:pPr>
        <w:tabs>
          <w:tab w:val="right" w:pos="9360"/>
        </w:tabs>
        <w:spacing w:before="30"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BSc Economics and Management Studies (2:1)</w:t>
      </w:r>
      <w:r w:rsidRPr="00356A06">
        <w:rPr>
          <w:rFonts w:ascii="Calibri" w:eastAsia="Calibri" w:hAnsi="Calibri" w:cs="Calibri"/>
          <w:sz w:val="18"/>
          <w:szCs w:val="18"/>
        </w:rPr>
        <w:t xml:space="preserve"> – University of Sussex</w:t>
      </w:r>
      <w:r w:rsidRPr="00356A06">
        <w:rPr>
          <w:rFonts w:ascii="Calibri" w:eastAsia="Calibri" w:hAnsi="Calibri" w:cs="Calibri"/>
          <w:sz w:val="18"/>
          <w:szCs w:val="18"/>
        </w:rPr>
        <w:tab/>
        <w:t>2021–2024</w:t>
      </w:r>
    </w:p>
    <w:p w14:paraId="1FB89350" w14:textId="77777777" w:rsidR="00356A06" w:rsidRPr="00356A06" w:rsidRDefault="00356A06">
      <w:pPr>
        <w:spacing w:before="50" w:after="50"/>
        <w:rPr>
          <w:sz w:val="18"/>
          <w:szCs w:val="18"/>
        </w:rPr>
      </w:pPr>
    </w:p>
    <w:p w14:paraId="5A20ED8F" w14:textId="77777777" w:rsidR="00EC4198" w:rsidRPr="00356A06" w:rsidRDefault="00000000">
      <w:pPr>
        <w:pBdr>
          <w:top w:val="none" w:sz="0" w:space="0" w:color="FFFFFF"/>
          <w:left w:val="none" w:sz="0" w:space="0" w:color="FFFFFF"/>
          <w:bottom w:val="single" w:sz="8" w:space="1" w:color="000000"/>
          <w:right w:val="none" w:sz="0" w:space="0" w:color="FFFFFF"/>
        </w:pBdr>
        <w:spacing w:before="100" w:after="5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SKILLS</w:t>
      </w:r>
    </w:p>
    <w:p w14:paraId="3C4670E6" w14:textId="77777777" w:rsidR="00EC4198" w:rsidRPr="00356A06" w:rsidRDefault="00000000">
      <w:pPr>
        <w:tabs>
          <w:tab w:val="left" w:pos="2400"/>
        </w:tabs>
        <w:spacing w:before="25" w:after="25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Analysis &amp; Research:</w:t>
      </w:r>
      <w:r w:rsidRPr="00356A06">
        <w:rPr>
          <w:rFonts w:ascii="Calibri" w:eastAsia="Calibri" w:hAnsi="Calibri" w:cs="Calibri"/>
          <w:sz w:val="18"/>
          <w:szCs w:val="18"/>
        </w:rPr>
        <w:tab/>
        <w:t>Quantitative &amp; Qualitative Research, Causal Inference, Econometric Modelling, Policy Analysis, Cost-Benefit Analysis</w:t>
      </w:r>
    </w:p>
    <w:p w14:paraId="7565FB3F" w14:textId="77777777" w:rsidR="00EC4198" w:rsidRPr="00356A06" w:rsidRDefault="00000000">
      <w:pPr>
        <w:tabs>
          <w:tab w:val="left" w:pos="2400"/>
        </w:tabs>
        <w:spacing w:before="25" w:after="25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Communication:</w:t>
      </w:r>
      <w:r w:rsidRPr="00356A06">
        <w:rPr>
          <w:rFonts w:ascii="Calibri" w:eastAsia="Calibri" w:hAnsi="Calibri" w:cs="Calibri"/>
          <w:sz w:val="18"/>
          <w:szCs w:val="18"/>
        </w:rPr>
        <w:tab/>
        <w:t>Long-form Policy Writing, Persuasive Messaging, Stakeholder Briefings, Report Production, Public Affairs Narrative</w:t>
      </w:r>
    </w:p>
    <w:p w14:paraId="64649BF7" w14:textId="77777777" w:rsidR="00EC4198" w:rsidRPr="00356A06" w:rsidRDefault="00000000">
      <w:pPr>
        <w:tabs>
          <w:tab w:val="left" w:pos="2400"/>
        </w:tabs>
        <w:spacing w:before="25" w:after="25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Technical:</w:t>
      </w:r>
      <w:r w:rsidRPr="00356A06">
        <w:rPr>
          <w:rFonts w:ascii="Calibri" w:eastAsia="Calibri" w:hAnsi="Calibri" w:cs="Calibri"/>
          <w:sz w:val="18"/>
          <w:szCs w:val="18"/>
        </w:rPr>
        <w:tab/>
        <w:t xml:space="preserve">Python (Pandas, NumPy, Scikit-learn), R (ggplot2, </w:t>
      </w:r>
      <w:proofErr w:type="spellStart"/>
      <w:r w:rsidRPr="00356A06">
        <w:rPr>
          <w:rFonts w:ascii="Calibri" w:eastAsia="Calibri" w:hAnsi="Calibri" w:cs="Calibri"/>
          <w:sz w:val="18"/>
          <w:szCs w:val="18"/>
        </w:rPr>
        <w:t>dplyr</w:t>
      </w:r>
      <w:proofErr w:type="spellEnd"/>
      <w:r w:rsidRPr="00356A06">
        <w:rPr>
          <w:rFonts w:ascii="Calibri" w:eastAsia="Calibri" w:hAnsi="Calibri" w:cs="Calibri"/>
          <w:sz w:val="18"/>
          <w:szCs w:val="18"/>
        </w:rPr>
        <w:t>), SQL, Excel (Advanced), Power BI, Tableau</w:t>
      </w:r>
    </w:p>
    <w:p w14:paraId="02C04B25" w14:textId="77777777" w:rsidR="00EC4198" w:rsidRPr="00356A06" w:rsidRDefault="00000000">
      <w:pPr>
        <w:tabs>
          <w:tab w:val="left" w:pos="2400"/>
        </w:tabs>
        <w:spacing w:before="25" w:after="25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Developer Tools:</w:t>
      </w:r>
      <w:r w:rsidRPr="00356A06">
        <w:rPr>
          <w:rFonts w:ascii="Calibri" w:eastAsia="Calibri" w:hAnsi="Calibri" w:cs="Calibri"/>
          <w:sz w:val="18"/>
          <w:szCs w:val="18"/>
        </w:rPr>
        <w:tab/>
        <w:t xml:space="preserve">Git, GitHub, </w:t>
      </w:r>
      <w:proofErr w:type="spellStart"/>
      <w:r w:rsidRPr="00356A06">
        <w:rPr>
          <w:rFonts w:ascii="Calibri" w:eastAsia="Calibri" w:hAnsi="Calibri" w:cs="Calibri"/>
          <w:sz w:val="18"/>
          <w:szCs w:val="18"/>
        </w:rPr>
        <w:t>Jupyter</w:t>
      </w:r>
      <w:proofErr w:type="spellEnd"/>
      <w:r w:rsidRPr="00356A06">
        <w:rPr>
          <w:rFonts w:ascii="Calibri" w:eastAsia="Calibri" w:hAnsi="Calibri" w:cs="Calibri"/>
          <w:sz w:val="18"/>
          <w:szCs w:val="18"/>
        </w:rPr>
        <w:t xml:space="preserve"> Notebook, VS Code, Talend ETL, Azure Data Factory</w:t>
      </w:r>
    </w:p>
    <w:p w14:paraId="260F79F3" w14:textId="77777777" w:rsidR="00EC4198" w:rsidRPr="00356A06" w:rsidRDefault="00000000">
      <w:pPr>
        <w:tabs>
          <w:tab w:val="left" w:pos="2400"/>
        </w:tabs>
        <w:spacing w:before="25" w:after="25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Other:</w:t>
      </w:r>
      <w:r w:rsidRPr="00356A06">
        <w:rPr>
          <w:rFonts w:ascii="Calibri" w:eastAsia="Calibri" w:hAnsi="Calibri" w:cs="Calibri"/>
          <w:sz w:val="18"/>
          <w:szCs w:val="18"/>
        </w:rPr>
        <w:tab/>
        <w:t>Data Visualisation, ETL/ELT, Statistical Modelling, Stakeholder Engagement, Documentation</w:t>
      </w:r>
    </w:p>
    <w:p w14:paraId="3AC618E6" w14:textId="77777777" w:rsidR="00EC4198" w:rsidRPr="00356A06" w:rsidRDefault="00000000">
      <w:pPr>
        <w:pBdr>
          <w:top w:val="none" w:sz="0" w:space="0" w:color="FFFFFF"/>
          <w:left w:val="none" w:sz="0" w:space="0" w:color="FFFFFF"/>
          <w:bottom w:val="single" w:sz="8" w:space="1" w:color="000000"/>
          <w:right w:val="none" w:sz="0" w:space="0" w:color="FFFFFF"/>
        </w:pBdr>
        <w:spacing w:before="100" w:after="5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WORK EXPERIENCE</w:t>
      </w:r>
    </w:p>
    <w:p w14:paraId="5CB6142F" w14:textId="77777777" w:rsidR="00EC4198" w:rsidRPr="00356A06" w:rsidRDefault="00000000">
      <w:pPr>
        <w:tabs>
          <w:tab w:val="right" w:pos="9360"/>
        </w:tabs>
        <w:spacing w:before="8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Happy City Hub</w:t>
      </w:r>
      <w:r w:rsidRPr="00356A06">
        <w:rPr>
          <w:rFonts w:ascii="Calibri" w:eastAsia="Calibri" w:hAnsi="Calibri" w:cs="Calibri"/>
          <w:sz w:val="18"/>
          <w:szCs w:val="18"/>
        </w:rPr>
        <w:tab/>
        <w:t>London, UK</w:t>
      </w:r>
    </w:p>
    <w:p w14:paraId="503126BD" w14:textId="77777777" w:rsidR="00EC4198" w:rsidRPr="00356A06" w:rsidRDefault="00000000">
      <w:pPr>
        <w:tabs>
          <w:tab w:val="right" w:pos="9360"/>
        </w:tabs>
        <w:spacing w:after="40"/>
        <w:rPr>
          <w:sz w:val="18"/>
          <w:szCs w:val="18"/>
        </w:rPr>
      </w:pPr>
      <w:r w:rsidRPr="00356A06">
        <w:rPr>
          <w:rFonts w:ascii="Calibri" w:eastAsia="Calibri" w:hAnsi="Calibri" w:cs="Calibri"/>
          <w:i/>
          <w:iCs/>
          <w:sz w:val="18"/>
          <w:szCs w:val="18"/>
        </w:rPr>
        <w:t>Public Policy Researcher (Lead)</w:t>
      </w:r>
      <w:r w:rsidRPr="00356A06">
        <w:rPr>
          <w:rFonts w:ascii="Calibri" w:eastAsia="Calibri" w:hAnsi="Calibri" w:cs="Calibri"/>
          <w:sz w:val="18"/>
          <w:szCs w:val="18"/>
        </w:rPr>
        <w:tab/>
        <w:t>Jan 2026 – Present</w:t>
      </w:r>
    </w:p>
    <w:p w14:paraId="08A80E6F" w14:textId="53297D29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Appointed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lead researcher</w:t>
      </w:r>
      <w:r w:rsidRPr="00356A06">
        <w:rPr>
          <w:rFonts w:ascii="Calibri" w:eastAsia="Calibri" w:hAnsi="Calibri" w:cs="Calibri"/>
          <w:sz w:val="18"/>
          <w:szCs w:val="18"/>
        </w:rPr>
        <w:t xml:space="preserve"> for the 2026 Happy City Index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a globally published public policy dataset released on International Day of Happiness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responsible for the full data and policy assessment of Paris across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82 indicators</w:t>
      </w:r>
      <w:r w:rsidRPr="00356A06">
        <w:rPr>
          <w:rFonts w:ascii="Calibri" w:eastAsia="Calibri" w:hAnsi="Calibri" w:cs="Calibri"/>
          <w:sz w:val="18"/>
          <w:szCs w:val="18"/>
        </w:rPr>
        <w:t xml:space="preserve"> spanning governance, economy, environment, mobility, health and citizens.</w:t>
      </w:r>
    </w:p>
    <w:p w14:paraId="323E6FC6" w14:textId="77777777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Synthesised multi-source data into a coherent, methodologically rigorous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comparative policy narrative</w:t>
      </w:r>
      <w:r w:rsidRPr="00356A06">
        <w:rPr>
          <w:rFonts w:ascii="Calibri" w:eastAsia="Calibri" w:hAnsi="Calibri" w:cs="Calibri"/>
          <w:sz w:val="18"/>
          <w:szCs w:val="18"/>
        </w:rPr>
        <w:t xml:space="preserve"> for an international audience, translating complex socioeconomic indicators into clear, structured outputs for policymakers and public affairs decision-makers worldwide.</w:t>
      </w:r>
    </w:p>
    <w:p w14:paraId="2052C24B" w14:textId="77777777" w:rsidR="00EC4198" w:rsidRPr="00356A06" w:rsidRDefault="00000000">
      <w:pPr>
        <w:tabs>
          <w:tab w:val="right" w:pos="9360"/>
        </w:tabs>
        <w:spacing w:before="8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IT Skills</w:t>
      </w:r>
      <w:r w:rsidRPr="00356A06">
        <w:rPr>
          <w:rFonts w:ascii="Calibri" w:eastAsia="Calibri" w:hAnsi="Calibri" w:cs="Calibri"/>
          <w:sz w:val="18"/>
          <w:szCs w:val="18"/>
        </w:rPr>
        <w:tab/>
        <w:t>London, UK</w:t>
      </w:r>
    </w:p>
    <w:p w14:paraId="21F4760A" w14:textId="77777777" w:rsidR="00EC4198" w:rsidRPr="00356A06" w:rsidRDefault="00000000">
      <w:pPr>
        <w:tabs>
          <w:tab w:val="right" w:pos="9360"/>
        </w:tabs>
        <w:spacing w:after="40"/>
        <w:rPr>
          <w:sz w:val="18"/>
          <w:szCs w:val="18"/>
        </w:rPr>
      </w:pPr>
      <w:r w:rsidRPr="00356A06">
        <w:rPr>
          <w:rFonts w:ascii="Calibri" w:eastAsia="Calibri" w:hAnsi="Calibri" w:cs="Calibri"/>
          <w:i/>
          <w:iCs/>
          <w:sz w:val="18"/>
          <w:szCs w:val="18"/>
        </w:rPr>
        <w:t>Data Analyst</w:t>
      </w:r>
      <w:r w:rsidRPr="00356A06">
        <w:rPr>
          <w:rFonts w:ascii="Calibri" w:eastAsia="Calibri" w:hAnsi="Calibri" w:cs="Calibri"/>
          <w:sz w:val="18"/>
          <w:szCs w:val="18"/>
        </w:rPr>
        <w:tab/>
        <w:t>Aug 2025 – Feb 2026</w:t>
      </w:r>
    </w:p>
    <w:p w14:paraId="3A61195A" w14:textId="765C9DE6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Produced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5 analytical dashboards</w:t>
      </w:r>
      <w:r w:rsidRPr="00356A06">
        <w:rPr>
          <w:rFonts w:ascii="Calibri" w:eastAsia="Calibri" w:hAnsi="Calibri" w:cs="Calibri"/>
          <w:sz w:val="18"/>
          <w:szCs w:val="18"/>
        </w:rPr>
        <w:t xml:space="preserve"> and regular stakeholder reports translating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120,000+ data points</w:t>
      </w:r>
      <w:r w:rsidRPr="00356A06">
        <w:rPr>
          <w:rFonts w:ascii="Calibri" w:eastAsia="Calibri" w:hAnsi="Calibri" w:cs="Calibri"/>
          <w:sz w:val="18"/>
          <w:szCs w:val="18"/>
        </w:rPr>
        <w:t xml:space="preserve"> into clear, decision-ready insights for senior teams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cutting reporting time by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~30%</w:t>
      </w:r>
      <w:r w:rsidRPr="00356A06">
        <w:rPr>
          <w:rFonts w:ascii="Calibri" w:eastAsia="Calibri" w:hAnsi="Calibri" w:cs="Calibri"/>
          <w:sz w:val="18"/>
          <w:szCs w:val="18"/>
        </w:rPr>
        <w:t xml:space="preserve"> and demonstrating the ability to turn complex data into accessible, persuasive narratives.</w:t>
      </w:r>
    </w:p>
    <w:p w14:paraId="3A16629E" w14:textId="79F455BC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Automated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8+ data processing workflows</w:t>
      </w:r>
      <w:r w:rsidRPr="00356A06">
        <w:rPr>
          <w:rFonts w:ascii="Calibri" w:eastAsia="Calibri" w:hAnsi="Calibri" w:cs="Calibri"/>
          <w:sz w:val="18"/>
          <w:szCs w:val="18"/>
        </w:rPr>
        <w:t xml:space="preserve">, reducing manual analytical workload by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40%</w:t>
      </w:r>
      <w:r w:rsidRPr="00356A06">
        <w:rPr>
          <w:rFonts w:ascii="Calibri" w:eastAsia="Calibri" w:hAnsi="Calibri" w:cs="Calibri"/>
          <w:sz w:val="18"/>
          <w:szCs w:val="18"/>
        </w:rPr>
        <w:t xml:space="preserve"> and improving the turnaround of high-quality data outputs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directly relevant to driving content production at pace in a fast-moving media environment.</w:t>
      </w:r>
    </w:p>
    <w:p w14:paraId="07D227D6" w14:textId="77777777" w:rsidR="00EC4198" w:rsidRPr="00356A06" w:rsidRDefault="00000000">
      <w:pPr>
        <w:tabs>
          <w:tab w:val="right" w:pos="9360"/>
        </w:tabs>
        <w:spacing w:before="8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Think Pacific</w:t>
      </w:r>
      <w:r w:rsidRPr="00356A06">
        <w:rPr>
          <w:rFonts w:ascii="Calibri" w:eastAsia="Calibri" w:hAnsi="Calibri" w:cs="Calibri"/>
          <w:sz w:val="18"/>
          <w:szCs w:val="18"/>
        </w:rPr>
        <w:tab/>
        <w:t>Fiji / Remote</w:t>
      </w:r>
    </w:p>
    <w:p w14:paraId="244EE774" w14:textId="77777777" w:rsidR="00EC4198" w:rsidRPr="00356A06" w:rsidRDefault="00000000">
      <w:pPr>
        <w:tabs>
          <w:tab w:val="right" w:pos="9360"/>
        </w:tabs>
        <w:spacing w:after="40"/>
        <w:rPr>
          <w:sz w:val="18"/>
          <w:szCs w:val="18"/>
        </w:rPr>
      </w:pPr>
      <w:r w:rsidRPr="00356A06">
        <w:rPr>
          <w:rFonts w:ascii="Calibri" w:eastAsia="Calibri" w:hAnsi="Calibri" w:cs="Calibri"/>
          <w:i/>
          <w:iCs/>
          <w:sz w:val="18"/>
          <w:szCs w:val="18"/>
        </w:rPr>
        <w:t>Business &amp; Enterprise Policy Intern</w:t>
      </w:r>
      <w:r w:rsidRPr="00356A06">
        <w:rPr>
          <w:rFonts w:ascii="Calibri" w:eastAsia="Calibri" w:hAnsi="Calibri" w:cs="Calibri"/>
          <w:sz w:val="18"/>
          <w:szCs w:val="18"/>
        </w:rPr>
        <w:tab/>
        <w:t>Jul 2024 – Sep 2024</w:t>
      </w:r>
    </w:p>
    <w:p w14:paraId="02121527" w14:textId="1F15BD80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Conducted a comprehensive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international trade policy analysis</w:t>
      </w:r>
      <w:r w:rsidRPr="00356A06">
        <w:rPr>
          <w:rFonts w:ascii="Calibri" w:eastAsia="Calibri" w:hAnsi="Calibri" w:cs="Calibri"/>
          <w:sz w:val="18"/>
          <w:szCs w:val="18"/>
        </w:rPr>
        <w:t xml:space="preserve"> of Fiji’s turmeric value chain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evaluating buyer demand, pricing structures, regulatory barriers and export logistics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and produced a structured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policy recommendations report</w:t>
      </w:r>
      <w:r w:rsidRPr="00356A06">
        <w:rPr>
          <w:rFonts w:ascii="Calibri" w:eastAsia="Calibri" w:hAnsi="Calibri" w:cs="Calibri"/>
          <w:sz w:val="18"/>
          <w:szCs w:val="18"/>
        </w:rPr>
        <w:t xml:space="preserve"> to increase farmer incomes and reduce reliance on intermediaries.</w:t>
      </w:r>
    </w:p>
    <w:p w14:paraId="0AC21BA3" w14:textId="77777777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Developed a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not-for-profit export policy model</w:t>
      </w:r>
      <w:r w:rsidRPr="00356A06">
        <w:rPr>
          <w:rFonts w:ascii="Calibri" w:eastAsia="Calibri" w:hAnsi="Calibri" w:cs="Calibri"/>
          <w:sz w:val="18"/>
          <w:szCs w:val="18"/>
        </w:rPr>
        <w:t xml:space="preserve"> informed by global benchmarking of fair trade and social enterprise intermediaries, translating complex supply chain data into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actionable public affairs recommendations</w:t>
      </w:r>
      <w:r w:rsidRPr="00356A06">
        <w:rPr>
          <w:rFonts w:ascii="Calibri" w:eastAsia="Calibri" w:hAnsi="Calibri" w:cs="Calibri"/>
          <w:sz w:val="18"/>
          <w:szCs w:val="18"/>
        </w:rPr>
        <w:t xml:space="preserve"> for an international development audience.</w:t>
      </w:r>
    </w:p>
    <w:p w14:paraId="53AB04F9" w14:textId="30DC3504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Assessed production constraints including finance, regulatory certification and institutional partnerships, and analysed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B2B and B2C pricing strategies</w:t>
      </w:r>
      <w:r w:rsidRPr="00356A06">
        <w:rPr>
          <w:rFonts w:ascii="Calibri" w:eastAsia="Calibri" w:hAnsi="Calibri" w:cs="Calibri"/>
          <w:sz w:val="18"/>
          <w:szCs w:val="18"/>
        </w:rPr>
        <w:t xml:space="preserve"> to produce evidence-based recommendations for sustainable participation in international supply chains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directly mirroring the analytical rigour and persuasive messaging required at PMA.</w:t>
      </w:r>
    </w:p>
    <w:p w14:paraId="62EA9D3C" w14:textId="77777777" w:rsidR="00EC4198" w:rsidRPr="00356A06" w:rsidRDefault="00000000">
      <w:pPr>
        <w:pBdr>
          <w:top w:val="none" w:sz="0" w:space="0" w:color="FFFFFF"/>
          <w:left w:val="none" w:sz="0" w:space="0" w:color="FFFFFF"/>
          <w:bottom w:val="single" w:sz="8" w:space="1" w:color="000000"/>
          <w:right w:val="none" w:sz="0" w:space="0" w:color="FFFFFF"/>
        </w:pBdr>
        <w:spacing w:before="100" w:after="5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RESEARCH &amp; POLICY PROJECTS</w:t>
      </w:r>
    </w:p>
    <w:p w14:paraId="5D9F0114" w14:textId="77777777" w:rsidR="00EC4198" w:rsidRPr="00356A06" w:rsidRDefault="00000000">
      <w:pPr>
        <w:tabs>
          <w:tab w:val="right" w:pos="9360"/>
        </w:tabs>
        <w:spacing w:before="70"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MSc Dissertation: Conflict Exposure &amp; Democratic Attitudes in Nigeria (75%)</w:t>
      </w:r>
      <w:r w:rsidRPr="00356A06">
        <w:rPr>
          <w:rFonts w:ascii="Calibri" w:eastAsia="Calibri" w:hAnsi="Calibri" w:cs="Calibri"/>
          <w:sz w:val="18"/>
          <w:szCs w:val="18"/>
        </w:rPr>
        <w:tab/>
        <w:t>2025</w:t>
      </w:r>
    </w:p>
    <w:p w14:paraId="37F946E4" w14:textId="64760812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Estimated causal effects of conflict exposure on democratic attitudes using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Difference-in-Differences</w:t>
      </w:r>
      <w:r w:rsidRPr="00356A06">
        <w:rPr>
          <w:rFonts w:ascii="Calibri" w:eastAsia="Calibri" w:hAnsi="Calibri" w:cs="Calibri"/>
          <w:sz w:val="18"/>
          <w:szCs w:val="18"/>
        </w:rPr>
        <w:t xml:space="preserve"> and event-study models with placebo tests and robustness checks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producing an original, evidence-based policy argument at MSc distinction level.</w:t>
      </w:r>
    </w:p>
    <w:p w14:paraId="71215E82" w14:textId="77777777" w:rsidR="00EC4198" w:rsidRPr="00356A06" w:rsidRDefault="00000000">
      <w:pPr>
        <w:tabs>
          <w:tab w:val="right" w:pos="9360"/>
        </w:tabs>
        <w:spacing w:before="70"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Cost-Benefit Analysis: Tobacco Excise Tax Policy</w:t>
      </w:r>
      <w:r w:rsidRPr="00356A06">
        <w:rPr>
          <w:rFonts w:ascii="Calibri" w:eastAsia="Calibri" w:hAnsi="Calibri" w:cs="Calibri"/>
          <w:sz w:val="18"/>
          <w:szCs w:val="18"/>
        </w:rPr>
        <w:tab/>
        <w:t>2025</w:t>
      </w:r>
    </w:p>
    <w:p w14:paraId="28339E95" w14:textId="3BE995BB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Conducted a full social CBA of a $1.00 cigarette tax increase, modelling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$2.5–3.0bn in projected government revenue</w:t>
      </w:r>
      <w:r w:rsidRPr="00356A06">
        <w:rPr>
          <w:rFonts w:ascii="Calibri" w:eastAsia="Calibri" w:hAnsi="Calibri" w:cs="Calibri"/>
          <w:sz w:val="18"/>
          <w:szCs w:val="18"/>
        </w:rPr>
        <w:t xml:space="preserve">, with NPV and BCR analysis across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4 policy alternatives</w:t>
      </w:r>
      <w:r w:rsidRPr="00356A06">
        <w:rPr>
          <w:rFonts w:ascii="Calibri" w:eastAsia="Calibri" w:hAnsi="Calibri" w:cs="Calibri"/>
          <w:sz w:val="18"/>
          <w:szCs w:val="18"/>
        </w:rPr>
        <w:t xml:space="preserve"> using the UK HMT Value for Money framework </w:t>
      </w:r>
      <w:r w:rsidR="00356A06">
        <w:rPr>
          <w:rFonts w:ascii="Calibri" w:eastAsia="Calibri" w:hAnsi="Calibri" w:cs="Calibri"/>
          <w:sz w:val="18"/>
          <w:szCs w:val="18"/>
        </w:rPr>
        <w:t>-</w:t>
      </w:r>
      <w:r w:rsidRPr="00356A06">
        <w:rPr>
          <w:rFonts w:ascii="Calibri" w:eastAsia="Calibri" w:hAnsi="Calibri" w:cs="Calibri"/>
          <w:sz w:val="18"/>
          <w:szCs w:val="18"/>
        </w:rPr>
        <w:t xml:space="preserve"> directly translating quantitative data into a clear, persuasive policy recommendation.</w:t>
      </w:r>
    </w:p>
    <w:p w14:paraId="5F578F9F" w14:textId="77777777" w:rsidR="00EC4198" w:rsidRPr="00356A06" w:rsidRDefault="00000000">
      <w:pPr>
        <w:tabs>
          <w:tab w:val="right" w:pos="9360"/>
        </w:tabs>
        <w:spacing w:before="70"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b/>
          <w:bCs/>
          <w:sz w:val="18"/>
          <w:szCs w:val="18"/>
        </w:rPr>
        <w:t>Research Project: The Cognitive Cost of Furlough (70%)</w:t>
      </w:r>
      <w:r w:rsidRPr="00356A06">
        <w:rPr>
          <w:rFonts w:ascii="Calibri" w:eastAsia="Calibri" w:hAnsi="Calibri" w:cs="Calibri"/>
          <w:sz w:val="18"/>
          <w:szCs w:val="18"/>
        </w:rPr>
        <w:tab/>
        <w:t>2025</w:t>
      </w:r>
    </w:p>
    <w:p w14:paraId="3D2DAA44" w14:textId="2944D64F" w:rsidR="00EC4198" w:rsidRPr="00356A06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356A06">
        <w:rPr>
          <w:rFonts w:ascii="Calibri" w:eastAsia="Calibri" w:hAnsi="Calibri" w:cs="Calibri"/>
          <w:sz w:val="18"/>
          <w:szCs w:val="18"/>
        </w:rPr>
        <w:t xml:space="preserve">Estimated the causal impact of furlough on cognitive health (GHQ-12) using </w:t>
      </w:r>
      <w:r w:rsidRPr="00356A06">
        <w:rPr>
          <w:rFonts w:ascii="Calibri" w:eastAsia="Calibri" w:hAnsi="Calibri" w:cs="Calibri"/>
          <w:b/>
          <w:bCs/>
          <w:sz w:val="18"/>
          <w:szCs w:val="18"/>
        </w:rPr>
        <w:t>Instrumental Variables</w:t>
      </w:r>
      <w:r w:rsidRPr="00356A06">
        <w:rPr>
          <w:rFonts w:ascii="Calibri" w:eastAsia="Calibri" w:hAnsi="Calibri" w:cs="Calibri"/>
          <w:sz w:val="18"/>
          <w:szCs w:val="18"/>
        </w:rPr>
        <w:t>, producing a rigorous policy-relevant analysis with clear public affairs implications for post-pandemic labour market strategy.</w:t>
      </w:r>
    </w:p>
    <w:sectPr w:rsidR="00EC4198" w:rsidRPr="00356A06" w:rsidSect="00356A06">
      <w:pgSz w:w="12240" w:h="15840"/>
      <w:pgMar w:top="601" w:right="794" w:bottom="601" w:left="6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05A3"/>
    <w:multiLevelType w:val="hybridMultilevel"/>
    <w:tmpl w:val="CC1AACA4"/>
    <w:lvl w:ilvl="0" w:tplc="C5DE7FB0">
      <w:start w:val="1"/>
      <w:numFmt w:val="bullet"/>
      <w:lvlText w:val="●"/>
      <w:lvlJc w:val="left"/>
      <w:pPr>
        <w:ind w:left="720" w:hanging="360"/>
      </w:pPr>
    </w:lvl>
    <w:lvl w:ilvl="1" w:tplc="2C007F4A">
      <w:start w:val="1"/>
      <w:numFmt w:val="bullet"/>
      <w:lvlText w:val="○"/>
      <w:lvlJc w:val="left"/>
      <w:pPr>
        <w:ind w:left="1440" w:hanging="360"/>
      </w:pPr>
    </w:lvl>
    <w:lvl w:ilvl="2" w:tplc="CE5E7AEC">
      <w:start w:val="1"/>
      <w:numFmt w:val="bullet"/>
      <w:lvlText w:val="■"/>
      <w:lvlJc w:val="left"/>
      <w:pPr>
        <w:ind w:left="2160" w:hanging="360"/>
      </w:pPr>
    </w:lvl>
    <w:lvl w:ilvl="3" w:tplc="32101A64">
      <w:start w:val="1"/>
      <w:numFmt w:val="bullet"/>
      <w:lvlText w:val="●"/>
      <w:lvlJc w:val="left"/>
      <w:pPr>
        <w:ind w:left="2880" w:hanging="360"/>
      </w:pPr>
    </w:lvl>
    <w:lvl w:ilvl="4" w:tplc="F510188C">
      <w:start w:val="1"/>
      <w:numFmt w:val="bullet"/>
      <w:lvlText w:val="○"/>
      <w:lvlJc w:val="left"/>
      <w:pPr>
        <w:ind w:left="3600" w:hanging="360"/>
      </w:pPr>
    </w:lvl>
    <w:lvl w:ilvl="5" w:tplc="0C2C5F6A">
      <w:start w:val="1"/>
      <w:numFmt w:val="bullet"/>
      <w:lvlText w:val="■"/>
      <w:lvlJc w:val="left"/>
      <w:pPr>
        <w:ind w:left="4320" w:hanging="360"/>
      </w:pPr>
    </w:lvl>
    <w:lvl w:ilvl="6" w:tplc="C9D0A460">
      <w:start w:val="1"/>
      <w:numFmt w:val="bullet"/>
      <w:lvlText w:val="●"/>
      <w:lvlJc w:val="left"/>
      <w:pPr>
        <w:ind w:left="5040" w:hanging="360"/>
      </w:pPr>
    </w:lvl>
    <w:lvl w:ilvl="7" w:tplc="61C88B70">
      <w:start w:val="1"/>
      <w:numFmt w:val="bullet"/>
      <w:lvlText w:val="●"/>
      <w:lvlJc w:val="left"/>
      <w:pPr>
        <w:ind w:left="5760" w:hanging="360"/>
      </w:pPr>
    </w:lvl>
    <w:lvl w:ilvl="8" w:tplc="AF7CA7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9C69EF"/>
    <w:multiLevelType w:val="hybridMultilevel"/>
    <w:tmpl w:val="8A02E4FA"/>
    <w:lvl w:ilvl="0" w:tplc="F4EEE2F6">
      <w:start w:val="1"/>
      <w:numFmt w:val="bullet"/>
      <w:lvlText w:val="•"/>
      <w:lvlJc w:val="left"/>
      <w:pPr>
        <w:ind w:left="360" w:hanging="220"/>
      </w:pPr>
    </w:lvl>
    <w:lvl w:ilvl="1" w:tplc="AEBC0BC4">
      <w:numFmt w:val="decimal"/>
      <w:lvlText w:val=""/>
      <w:lvlJc w:val="left"/>
    </w:lvl>
    <w:lvl w:ilvl="2" w:tplc="A398A716">
      <w:numFmt w:val="decimal"/>
      <w:lvlText w:val=""/>
      <w:lvlJc w:val="left"/>
    </w:lvl>
    <w:lvl w:ilvl="3" w:tplc="70DADB80">
      <w:numFmt w:val="decimal"/>
      <w:lvlText w:val=""/>
      <w:lvlJc w:val="left"/>
    </w:lvl>
    <w:lvl w:ilvl="4" w:tplc="7AB6F9F0">
      <w:numFmt w:val="decimal"/>
      <w:lvlText w:val=""/>
      <w:lvlJc w:val="left"/>
    </w:lvl>
    <w:lvl w:ilvl="5" w:tplc="0D06120A">
      <w:numFmt w:val="decimal"/>
      <w:lvlText w:val=""/>
      <w:lvlJc w:val="left"/>
    </w:lvl>
    <w:lvl w:ilvl="6" w:tplc="6BB2EC98">
      <w:numFmt w:val="decimal"/>
      <w:lvlText w:val=""/>
      <w:lvlJc w:val="left"/>
    </w:lvl>
    <w:lvl w:ilvl="7" w:tplc="0D9C7AC2">
      <w:numFmt w:val="decimal"/>
      <w:lvlText w:val=""/>
      <w:lvlJc w:val="left"/>
    </w:lvl>
    <w:lvl w:ilvl="8" w:tplc="FB080C5E">
      <w:numFmt w:val="decimal"/>
      <w:lvlText w:val=""/>
      <w:lvlJc w:val="left"/>
    </w:lvl>
  </w:abstractNum>
  <w:num w:numId="1" w16cid:durableId="676006069">
    <w:abstractNumId w:val="0"/>
    <w:lvlOverride w:ilvl="0">
      <w:startOverride w:val="1"/>
    </w:lvlOverride>
  </w:num>
  <w:num w:numId="2" w16cid:durableId="1584295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198"/>
    <w:rsid w:val="00356A06"/>
    <w:rsid w:val="00BF3D59"/>
    <w:rsid w:val="00EC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6BD37"/>
  <w15:docId w15:val="{C81D2078-A96D-B741-8185-AADD7C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608</Words>
  <Characters>4154</Characters>
  <Application>Microsoft Office Word</Application>
  <DocSecurity>0</DocSecurity>
  <Lines>62</Lines>
  <Paragraphs>47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Abubakar</cp:lastModifiedBy>
  <cp:revision>2</cp:revision>
  <dcterms:created xsi:type="dcterms:W3CDTF">2026-03-06T00:49:00Z</dcterms:created>
  <dcterms:modified xsi:type="dcterms:W3CDTF">2026-03-06T00:56:00Z</dcterms:modified>
</cp:coreProperties>
</file>