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62" w:rsidRPr="0016416C" w:rsidRDefault="00837C62" w:rsidP="0066483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16416C">
        <w:rPr>
          <w:rFonts w:ascii="Times New Roman" w:hAnsi="Times New Roman"/>
          <w:smallCaps/>
          <w:sz w:val="26"/>
          <w:szCs w:val="26"/>
        </w:rPr>
        <w:t>ФЕДЕРАЛЬНОЕ  ГОСУДАРСТВЕННОЕ</w:t>
      </w:r>
      <w:proofErr w:type="gramEnd"/>
      <w:r w:rsidRPr="0016416C">
        <w:rPr>
          <w:rFonts w:ascii="Times New Roman" w:hAnsi="Times New Roman"/>
          <w:smallCaps/>
          <w:sz w:val="26"/>
          <w:szCs w:val="26"/>
        </w:rPr>
        <w:t xml:space="preserve"> АВТОНОМНОЕ ОБРАЗОВАТЕЛЬНОЕ УЧРЕЖДЕНИЕ</w:t>
      </w:r>
    </w:p>
    <w:p w:rsidR="00837C62" w:rsidRPr="0016416C" w:rsidRDefault="00837C62" w:rsidP="0066483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837C62" w:rsidRPr="0016416C" w:rsidRDefault="00837C62" w:rsidP="0066483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837C62" w:rsidRPr="0016416C" w:rsidRDefault="00837C62" w:rsidP="00664838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837C62" w:rsidRPr="0016416C" w:rsidRDefault="00837C62" w:rsidP="00664838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spacing w:before="24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837C62" w:rsidRPr="0016416C" w:rsidRDefault="00837C62" w:rsidP="00664838">
      <w:pPr>
        <w:spacing w:before="24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  <w:t>38.03.05 Бизнес-информатика</w:t>
      </w:r>
    </w:p>
    <w:p w:rsidR="00837C62" w:rsidRPr="0016416C" w:rsidRDefault="00837C62" w:rsidP="006648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 w:rsidRPr="0016416C">
        <w:rPr>
          <w:rFonts w:ascii="Times New Roman" w:hAnsi="Times New Roman"/>
          <w:i/>
          <w:sz w:val="26"/>
          <w:szCs w:val="26"/>
        </w:rPr>
        <w:t>Тарасов Александр Вячеславович</w:t>
      </w:r>
    </w:p>
    <w:p w:rsidR="00837C62" w:rsidRPr="0016416C" w:rsidRDefault="00837C62" w:rsidP="00664838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837C62" w:rsidRPr="0016416C" w:rsidRDefault="00837C62" w:rsidP="0066483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 w:rsidRPr="0016416C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AFAFA"/>
        </w:rPr>
        <w:t>Сравнительный анализ Лондонской и Франкфуртской бирж на основе модели графа рынка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37C62" w:rsidRPr="0016416C" w:rsidTr="00FB256C">
        <w:trPr>
          <w:trHeight w:val="3480"/>
        </w:trPr>
        <w:tc>
          <w:tcPr>
            <w:tcW w:w="4785" w:type="dxa"/>
          </w:tcPr>
          <w:p w:rsidR="00837C62" w:rsidRPr="0016416C" w:rsidRDefault="00837C62" w:rsidP="00664838">
            <w:pPr>
              <w:spacing w:after="0"/>
              <w:rPr>
                <w:sz w:val="26"/>
                <w:szCs w:val="26"/>
              </w:rPr>
            </w:pPr>
          </w:p>
          <w:p w:rsidR="00837C62" w:rsidRPr="0016416C" w:rsidRDefault="00837C62" w:rsidP="00664838">
            <w:pPr>
              <w:spacing w:after="0"/>
              <w:rPr>
                <w:sz w:val="26"/>
                <w:szCs w:val="26"/>
              </w:rPr>
            </w:pPr>
          </w:p>
          <w:p w:rsidR="00837C62" w:rsidRPr="0016416C" w:rsidRDefault="00837C62" w:rsidP="00664838">
            <w:pPr>
              <w:spacing w:after="0"/>
              <w:rPr>
                <w:sz w:val="26"/>
                <w:szCs w:val="26"/>
              </w:rPr>
            </w:pPr>
          </w:p>
          <w:p w:rsidR="00837C62" w:rsidRPr="0016416C" w:rsidRDefault="00837C62" w:rsidP="00664838">
            <w:pPr>
              <w:spacing w:after="0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37C62" w:rsidRPr="0016416C" w:rsidRDefault="00837C62" w:rsidP="00664838">
            <w:pPr>
              <w:spacing w:after="0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Научный руководитель</w:t>
            </w:r>
          </w:p>
          <w:p w:rsidR="00664838" w:rsidRPr="0016416C" w:rsidRDefault="00664838" w:rsidP="00664838">
            <w:pPr>
              <w:spacing w:after="0"/>
              <w:jc w:val="right"/>
              <w:rPr>
                <w:sz w:val="26"/>
                <w:szCs w:val="26"/>
              </w:rPr>
            </w:pPr>
            <w:proofErr w:type="gramStart"/>
            <w:r w:rsidRPr="0016416C">
              <w:rPr>
                <w:sz w:val="26"/>
                <w:szCs w:val="26"/>
              </w:rPr>
              <w:t>доцент</w:t>
            </w:r>
            <w:proofErr w:type="gramEnd"/>
            <w:r w:rsidRPr="0016416C">
              <w:rPr>
                <w:sz w:val="26"/>
                <w:szCs w:val="26"/>
              </w:rPr>
              <w:t xml:space="preserve"> кафедры </w:t>
            </w:r>
            <w:proofErr w:type="spellStart"/>
            <w:r w:rsidRPr="0016416C">
              <w:rPr>
                <w:sz w:val="26"/>
                <w:szCs w:val="26"/>
              </w:rPr>
              <w:t>ИСиТ</w:t>
            </w:r>
            <w:proofErr w:type="spellEnd"/>
          </w:p>
          <w:p w:rsidR="00837C62" w:rsidRPr="0016416C" w:rsidRDefault="00837C62" w:rsidP="00664838">
            <w:pPr>
              <w:spacing w:after="0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____________________</w:t>
            </w:r>
          </w:p>
          <w:p w:rsidR="00837C62" w:rsidRPr="0016416C" w:rsidRDefault="00A019DC" w:rsidP="00664838">
            <w:pPr>
              <w:spacing w:after="0"/>
              <w:jc w:val="right"/>
              <w:rPr>
                <w:sz w:val="26"/>
                <w:szCs w:val="26"/>
              </w:rPr>
            </w:pPr>
            <w:proofErr w:type="spellStart"/>
            <w:r w:rsidRPr="0016416C">
              <w:rPr>
                <w:sz w:val="26"/>
                <w:szCs w:val="26"/>
              </w:rPr>
              <w:t>А.Н.Визгунов</w:t>
            </w:r>
            <w:proofErr w:type="spellEnd"/>
          </w:p>
          <w:p w:rsidR="00837C62" w:rsidRPr="0016416C" w:rsidRDefault="00837C62" w:rsidP="00664838">
            <w:pPr>
              <w:spacing w:after="0"/>
              <w:jc w:val="right"/>
              <w:rPr>
                <w:sz w:val="26"/>
                <w:szCs w:val="26"/>
              </w:rPr>
            </w:pPr>
          </w:p>
          <w:p w:rsidR="00837C62" w:rsidRPr="0016416C" w:rsidRDefault="00837C62" w:rsidP="00664838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</w:tbl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37C62" w:rsidRPr="0016416C" w:rsidRDefault="00837C62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7E2D45" w:rsidRPr="0016416C" w:rsidRDefault="007E2D45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7E2D45" w:rsidRPr="0016416C" w:rsidRDefault="007E2D45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7E2D45" w:rsidRPr="0016416C" w:rsidRDefault="007E2D45" w:rsidP="0066483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7E2D45" w:rsidRPr="0016416C" w:rsidRDefault="00837C62" w:rsidP="007E2D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2016</w:t>
      </w:r>
    </w:p>
    <w:p w:rsidR="00A019DC" w:rsidRPr="0016416C" w:rsidRDefault="00A019DC" w:rsidP="006648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019DC" w:rsidRPr="0016416C" w:rsidRDefault="00A019DC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>.…....................</w:t>
      </w:r>
      <w:r w:rsidR="004B4706">
        <w:rPr>
          <w:rFonts w:ascii="Times New Roman" w:hAnsi="Times New Roman" w:cs="Times New Roman"/>
          <w:sz w:val="28"/>
          <w:szCs w:val="28"/>
        </w:rPr>
        <w:t>.3</w:t>
      </w:r>
    </w:p>
    <w:p w:rsidR="00A019DC" w:rsidRPr="0016416C" w:rsidRDefault="00A019DC" w:rsidP="006648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1.</w:t>
      </w:r>
      <w:r w:rsidR="00935020" w:rsidRPr="0016416C">
        <w:rPr>
          <w:rFonts w:ascii="Times New Roman" w:hAnsi="Times New Roman" w:cs="Times New Roman"/>
          <w:sz w:val="28"/>
          <w:szCs w:val="28"/>
        </w:rPr>
        <w:t xml:space="preserve"> Введение в экономические сети………………</w:t>
      </w:r>
      <w:proofErr w:type="gramStart"/>
      <w:r w:rsidR="00935020" w:rsidRPr="0016416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35020" w:rsidRPr="0016416C">
        <w:rPr>
          <w:rFonts w:ascii="Times New Roman" w:hAnsi="Times New Roman" w:cs="Times New Roman"/>
          <w:sz w:val="28"/>
          <w:szCs w:val="28"/>
        </w:rPr>
        <w:t>.…..</w:t>
      </w:r>
      <w:r w:rsidRPr="0016416C">
        <w:rPr>
          <w:rFonts w:ascii="Times New Roman" w:hAnsi="Times New Roman" w:cs="Times New Roman"/>
          <w:sz w:val="28"/>
          <w:szCs w:val="28"/>
        </w:rPr>
        <w:t>……..........</w:t>
      </w:r>
      <w:r w:rsidR="004B4706">
        <w:rPr>
          <w:rFonts w:ascii="Times New Roman" w:hAnsi="Times New Roman" w:cs="Times New Roman"/>
          <w:sz w:val="28"/>
          <w:szCs w:val="28"/>
        </w:rPr>
        <w:t>5</w:t>
      </w:r>
    </w:p>
    <w:p w:rsidR="00A019DC" w:rsidRPr="0016416C" w:rsidRDefault="00A019DC" w:rsidP="00664838">
      <w:pPr>
        <w:pStyle w:val="a6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</w:t>
      </w:r>
      <w:r w:rsidR="00935020" w:rsidRPr="0016416C">
        <w:rPr>
          <w:rFonts w:ascii="Times New Roman" w:hAnsi="Times New Roman" w:cs="Times New Roman"/>
          <w:sz w:val="28"/>
          <w:szCs w:val="28"/>
        </w:rPr>
        <w:t>1.Понятие экономических сетей. Тенденции их развития</w:t>
      </w:r>
      <w:r w:rsidRPr="0016416C">
        <w:rPr>
          <w:rFonts w:ascii="Times New Roman" w:hAnsi="Times New Roman" w:cs="Times New Roman"/>
          <w:sz w:val="28"/>
          <w:szCs w:val="28"/>
        </w:rPr>
        <w:t>…</w:t>
      </w:r>
      <w:r w:rsidR="00935020" w:rsidRPr="0016416C"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B4706">
        <w:rPr>
          <w:rFonts w:ascii="Times New Roman" w:hAnsi="Times New Roman" w:cs="Times New Roman"/>
          <w:sz w:val="28"/>
          <w:szCs w:val="28"/>
        </w:rPr>
        <w:t>.5</w:t>
      </w:r>
    </w:p>
    <w:p w:rsidR="00A019DC" w:rsidRPr="0016416C" w:rsidRDefault="00A019DC" w:rsidP="006648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1.2 </w:t>
      </w:r>
      <w:r w:rsidR="00935020" w:rsidRPr="0016416C">
        <w:rPr>
          <w:rFonts w:ascii="Times New Roman" w:hAnsi="Times New Roman" w:cs="Times New Roman"/>
          <w:sz w:val="28"/>
          <w:szCs w:val="28"/>
        </w:rPr>
        <w:t xml:space="preserve">Пример модели экономической </w:t>
      </w:r>
      <w:proofErr w:type="gramStart"/>
      <w:r w:rsidR="00935020" w:rsidRPr="0016416C">
        <w:rPr>
          <w:rFonts w:ascii="Times New Roman" w:hAnsi="Times New Roman" w:cs="Times New Roman"/>
          <w:sz w:val="28"/>
          <w:szCs w:val="28"/>
        </w:rPr>
        <w:t>сети.</w:t>
      </w:r>
      <w:r w:rsidRPr="0016416C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>……</w:t>
      </w:r>
      <w:r w:rsidR="00935020" w:rsidRPr="0016416C">
        <w:rPr>
          <w:rFonts w:ascii="Times New Roman" w:hAnsi="Times New Roman" w:cs="Times New Roman"/>
          <w:sz w:val="28"/>
          <w:szCs w:val="28"/>
        </w:rPr>
        <w:t>……………………</w:t>
      </w:r>
      <w:r w:rsidRPr="0016416C">
        <w:rPr>
          <w:rFonts w:ascii="Times New Roman" w:hAnsi="Times New Roman" w:cs="Times New Roman"/>
          <w:sz w:val="28"/>
          <w:szCs w:val="28"/>
        </w:rPr>
        <w:t>.......</w:t>
      </w:r>
      <w:r w:rsidR="004B4706">
        <w:rPr>
          <w:rFonts w:ascii="Times New Roman" w:hAnsi="Times New Roman" w:cs="Times New Roman"/>
          <w:sz w:val="28"/>
          <w:szCs w:val="28"/>
        </w:rPr>
        <w:t>.8</w:t>
      </w:r>
    </w:p>
    <w:p w:rsidR="00935020" w:rsidRPr="0016416C" w:rsidRDefault="00935020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2. Основ</w:t>
      </w:r>
      <w:r w:rsidR="004B4706">
        <w:rPr>
          <w:rFonts w:ascii="Times New Roman" w:hAnsi="Times New Roman" w:cs="Times New Roman"/>
          <w:sz w:val="28"/>
          <w:szCs w:val="28"/>
        </w:rPr>
        <w:t>ные понятия……………………………………………………10</w:t>
      </w:r>
    </w:p>
    <w:p w:rsidR="00A019DC" w:rsidRPr="0016416C" w:rsidRDefault="00935020" w:rsidP="00664838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</w:t>
      </w:r>
      <w:r w:rsidR="00A019DC" w:rsidRPr="0016416C">
        <w:rPr>
          <w:rFonts w:ascii="Times New Roman" w:hAnsi="Times New Roman" w:cs="Times New Roman"/>
          <w:sz w:val="28"/>
          <w:szCs w:val="28"/>
        </w:rPr>
        <w:t>1</w:t>
      </w:r>
      <w:r w:rsidRPr="0016416C">
        <w:rPr>
          <w:rFonts w:ascii="Times New Roman" w:hAnsi="Times New Roman" w:cs="Times New Roman"/>
          <w:sz w:val="28"/>
          <w:szCs w:val="28"/>
        </w:rPr>
        <w:t>.Фондовый рынок, ценная</w:t>
      </w:r>
      <w:r w:rsidR="004B4706">
        <w:rPr>
          <w:rFonts w:ascii="Times New Roman" w:hAnsi="Times New Roman" w:cs="Times New Roman"/>
          <w:sz w:val="28"/>
          <w:szCs w:val="28"/>
        </w:rPr>
        <w:t xml:space="preserve"> бумага, фондовая биржа…………</w:t>
      </w:r>
      <w:proofErr w:type="gramStart"/>
      <w:r w:rsidR="004B470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B4706">
        <w:rPr>
          <w:rFonts w:ascii="Times New Roman" w:hAnsi="Times New Roman" w:cs="Times New Roman"/>
          <w:sz w:val="28"/>
          <w:szCs w:val="28"/>
        </w:rPr>
        <w:t>…10</w:t>
      </w:r>
    </w:p>
    <w:p w:rsidR="00A019DC" w:rsidRPr="0016416C" w:rsidRDefault="00935020" w:rsidP="00664838">
      <w:pPr>
        <w:pStyle w:val="a6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2.2</w:t>
      </w:r>
      <w:r w:rsidR="00A019DC" w:rsidRPr="0016416C">
        <w:rPr>
          <w:rFonts w:ascii="Times New Roman" w:hAnsi="Times New Roman" w:cs="Times New Roman"/>
          <w:sz w:val="28"/>
          <w:szCs w:val="28"/>
        </w:rPr>
        <w:t xml:space="preserve">.Лондонская фондовая биржа </w:t>
      </w:r>
      <w:r w:rsidR="004B4706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4B470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B4706">
        <w:rPr>
          <w:rFonts w:ascii="Times New Roman" w:hAnsi="Times New Roman" w:cs="Times New Roman"/>
          <w:sz w:val="28"/>
          <w:szCs w:val="28"/>
        </w:rPr>
        <w:t>.…………...14</w:t>
      </w:r>
    </w:p>
    <w:p w:rsidR="00935020" w:rsidRPr="0016416C" w:rsidRDefault="00935020" w:rsidP="00664838">
      <w:pPr>
        <w:pStyle w:val="a6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2.3.Франкфуртская фонд</w:t>
      </w:r>
      <w:r w:rsidR="004B4706">
        <w:rPr>
          <w:rFonts w:ascii="Times New Roman" w:hAnsi="Times New Roman" w:cs="Times New Roman"/>
          <w:sz w:val="28"/>
          <w:szCs w:val="28"/>
        </w:rPr>
        <w:t>овая биржа ……………………</w:t>
      </w:r>
      <w:proofErr w:type="gramStart"/>
      <w:r w:rsidR="004B4706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4B4706">
        <w:rPr>
          <w:rFonts w:ascii="Times New Roman" w:hAnsi="Times New Roman" w:cs="Times New Roman"/>
          <w:sz w:val="28"/>
          <w:szCs w:val="28"/>
        </w:rPr>
        <w:t>…………...16</w:t>
      </w:r>
    </w:p>
    <w:p w:rsidR="00935020" w:rsidRPr="0016416C" w:rsidRDefault="00922314" w:rsidP="00664838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2.4 Построение</w:t>
      </w:r>
      <w:r w:rsidR="004B4706">
        <w:rPr>
          <w:rFonts w:ascii="Times New Roman" w:hAnsi="Times New Roman" w:cs="Times New Roman"/>
          <w:sz w:val="28"/>
          <w:szCs w:val="28"/>
        </w:rPr>
        <w:t xml:space="preserve"> графа рынка…………………………………………</w:t>
      </w:r>
      <w:proofErr w:type="gramStart"/>
      <w:r w:rsidR="004B470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B4706">
        <w:rPr>
          <w:rFonts w:ascii="Times New Roman" w:hAnsi="Times New Roman" w:cs="Times New Roman"/>
          <w:sz w:val="28"/>
          <w:szCs w:val="28"/>
        </w:rPr>
        <w:t>18</w:t>
      </w:r>
    </w:p>
    <w:p w:rsidR="00922314" w:rsidRPr="0016416C" w:rsidRDefault="00922314" w:rsidP="00664838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</w:t>
      </w:r>
      <w:r w:rsidR="004B4706">
        <w:rPr>
          <w:rFonts w:ascii="Times New Roman" w:eastAsiaTheme="minorEastAsia" w:hAnsi="Times New Roman" w:cs="Times New Roman"/>
          <w:sz w:val="28"/>
          <w:szCs w:val="28"/>
        </w:rPr>
        <w:t>ие…………………………………………………………………</w:t>
      </w:r>
      <w:proofErr w:type="gramStart"/>
      <w:r w:rsidR="004B4706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="004B4706">
        <w:rPr>
          <w:rFonts w:ascii="Times New Roman" w:eastAsiaTheme="minorEastAsia" w:hAnsi="Times New Roman" w:cs="Times New Roman"/>
          <w:sz w:val="28"/>
          <w:szCs w:val="28"/>
        </w:rPr>
        <w:t>.21</w:t>
      </w:r>
    </w:p>
    <w:p w:rsidR="00A019DC" w:rsidRPr="0016416C" w:rsidRDefault="00A019DC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Заключение</w:t>
      </w:r>
      <w:r w:rsidRPr="001641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6416C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>……………………………………….………………</w:t>
      </w:r>
      <w:r w:rsidR="004B4706">
        <w:rPr>
          <w:rFonts w:ascii="Times New Roman" w:hAnsi="Times New Roman" w:cs="Times New Roman"/>
          <w:sz w:val="28"/>
          <w:szCs w:val="28"/>
        </w:rPr>
        <w:t>…………41</w:t>
      </w:r>
    </w:p>
    <w:p w:rsidR="00A019DC" w:rsidRPr="0016416C" w:rsidRDefault="00A019DC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</w:t>
      </w:r>
      <w:r w:rsidR="004B4706">
        <w:rPr>
          <w:rFonts w:ascii="Times New Roman" w:hAnsi="Times New Roman" w:cs="Times New Roman"/>
          <w:sz w:val="28"/>
          <w:szCs w:val="28"/>
        </w:rPr>
        <w:t>...................42</w:t>
      </w:r>
    </w:p>
    <w:p w:rsidR="00A019DC" w:rsidRPr="0016416C" w:rsidRDefault="00A019DC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37C62" w:rsidRPr="0016416C" w:rsidRDefault="00837C62" w:rsidP="006648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838" w:rsidRPr="0016416C" w:rsidRDefault="00664838" w:rsidP="006648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br w:type="page"/>
      </w:r>
    </w:p>
    <w:p w:rsidR="0052554E" w:rsidRPr="0016416C" w:rsidRDefault="0052554E" w:rsidP="006648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B07D3" w:rsidRPr="0016416C" w:rsidRDefault="006B07D3" w:rsidP="007E2D4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Мировой кризис 2008-го года выявил необходимость в новых фундаментальных путях понимания структуры и динамики экономических сетей. Экономические системы во все большей степени основываются на реальных торговых отношениях, путях поставок. </w:t>
      </w:r>
      <w:r w:rsidR="008523D3" w:rsidRPr="0016416C">
        <w:rPr>
          <w:rFonts w:ascii="Times New Roman" w:hAnsi="Times New Roman" w:cs="Times New Roman"/>
          <w:sz w:val="28"/>
          <w:szCs w:val="28"/>
        </w:rPr>
        <w:t>Актуальность данной темы обусловлена тем</w:t>
      </w:r>
      <w:r w:rsidRPr="0016416C">
        <w:rPr>
          <w:rFonts w:ascii="Times New Roman" w:hAnsi="Times New Roman" w:cs="Times New Roman"/>
          <w:sz w:val="28"/>
          <w:szCs w:val="28"/>
        </w:rPr>
        <w:t>,</w:t>
      </w:r>
      <w:r w:rsidR="008523D3" w:rsidRPr="0016416C">
        <w:rPr>
          <w:rFonts w:ascii="Times New Roman" w:hAnsi="Times New Roman" w:cs="Times New Roman"/>
          <w:sz w:val="28"/>
          <w:szCs w:val="28"/>
        </w:rPr>
        <w:t xml:space="preserve"> что</w:t>
      </w:r>
      <w:r w:rsidRPr="0016416C">
        <w:rPr>
          <w:rFonts w:ascii="Times New Roman" w:hAnsi="Times New Roman" w:cs="Times New Roman"/>
          <w:sz w:val="28"/>
          <w:szCs w:val="28"/>
        </w:rPr>
        <w:t xml:space="preserve"> требуется новый подход, который будет брать во внимание системную сложность экономических сетей, что позволит перестроить и расширить установленные парадигмы экономической теории. Это снизит риски глобального экономического сбоя, ведь сделает экономические сети более надежными.</w:t>
      </w:r>
    </w:p>
    <w:p w:rsidR="006B07D3" w:rsidRPr="0016416C" w:rsidRDefault="006B07D3" w:rsidP="007E2D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Модель графа рынка является одной из таких относительно новых моделей.</w:t>
      </w:r>
      <w:r w:rsidR="008523D3" w:rsidRPr="0016416C">
        <w:rPr>
          <w:rFonts w:ascii="Times New Roman" w:hAnsi="Times New Roman" w:cs="Times New Roman"/>
          <w:sz w:val="28"/>
          <w:szCs w:val="28"/>
        </w:rPr>
        <w:t xml:space="preserve"> В</w:t>
      </w:r>
      <w:r w:rsidRPr="0016416C">
        <w:rPr>
          <w:rFonts w:ascii="Times New Roman" w:hAnsi="Times New Roman" w:cs="Times New Roman"/>
          <w:sz w:val="28"/>
          <w:szCs w:val="28"/>
        </w:rPr>
        <w:t xml:space="preserve"> данной работе она будет применена для анализа двух крупнейших европейских фондовых бирж</w:t>
      </w:r>
      <w:r w:rsidR="008523D3" w:rsidRPr="0016416C">
        <w:rPr>
          <w:rFonts w:ascii="Times New Roman" w:hAnsi="Times New Roman" w:cs="Times New Roman"/>
          <w:sz w:val="28"/>
          <w:szCs w:val="28"/>
        </w:rPr>
        <w:t xml:space="preserve"> Лондонской и Франкфуртской</w:t>
      </w:r>
      <w:r w:rsidRPr="0016416C">
        <w:rPr>
          <w:rFonts w:ascii="Times New Roman" w:hAnsi="Times New Roman" w:cs="Times New Roman"/>
          <w:sz w:val="28"/>
          <w:szCs w:val="28"/>
        </w:rPr>
        <w:t>, их сравнения.</w:t>
      </w:r>
      <w:r w:rsidR="006C044E" w:rsidRPr="0016416C">
        <w:rPr>
          <w:rFonts w:ascii="Times New Roman" w:hAnsi="Times New Roman" w:cs="Times New Roman"/>
          <w:sz w:val="28"/>
          <w:szCs w:val="28"/>
        </w:rPr>
        <w:t xml:space="preserve"> Это позволит лучше понять структурные различия бирж, динамику изменения цен акций, торгуемых на них, зависимость этих изменений от глобальных процессов.</w:t>
      </w:r>
      <w:r w:rsidR="008523D3" w:rsidRPr="0016416C">
        <w:rPr>
          <w:rFonts w:ascii="Times New Roman" w:hAnsi="Times New Roman" w:cs="Times New Roman"/>
          <w:sz w:val="28"/>
          <w:szCs w:val="28"/>
        </w:rPr>
        <w:t xml:space="preserve"> Подобное сравнение ранее не проводилось в научных статьях, что подтверждает новизну темы.</w:t>
      </w:r>
    </w:p>
    <w:p w:rsidR="008523D3" w:rsidRPr="0016416C" w:rsidRDefault="0052554E" w:rsidP="007E2D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 исследовать понятия ценных бумаг и фондового рынка, </w:t>
      </w:r>
      <w:r w:rsidR="008523D3" w:rsidRPr="0016416C">
        <w:rPr>
          <w:rFonts w:ascii="Times New Roman" w:hAnsi="Times New Roman" w:cs="Times New Roman"/>
          <w:sz w:val="28"/>
          <w:szCs w:val="28"/>
        </w:rPr>
        <w:t>получить информацию о торгах, производимых на выбранных биржах, применить</w:t>
      </w:r>
      <w:r w:rsidRPr="0016416C">
        <w:rPr>
          <w:rFonts w:ascii="Times New Roman" w:hAnsi="Times New Roman" w:cs="Times New Roman"/>
          <w:sz w:val="28"/>
          <w:szCs w:val="28"/>
        </w:rPr>
        <w:t xml:space="preserve"> полученные знания для анализа Франкфуртской </w:t>
      </w:r>
      <w:r w:rsidR="008523D3" w:rsidRPr="0016416C">
        <w:rPr>
          <w:rFonts w:ascii="Times New Roman" w:hAnsi="Times New Roman" w:cs="Times New Roman"/>
          <w:sz w:val="28"/>
          <w:szCs w:val="28"/>
        </w:rPr>
        <w:t>и Лондонской фондовых бирж</w:t>
      </w:r>
      <w:r w:rsidR="006C044E" w:rsidRPr="0016416C">
        <w:rPr>
          <w:rFonts w:ascii="Times New Roman" w:hAnsi="Times New Roman" w:cs="Times New Roman"/>
          <w:sz w:val="28"/>
          <w:szCs w:val="28"/>
        </w:rPr>
        <w:t>, сравнить полученные результаты.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FD2" w:rsidRPr="0016416C" w:rsidRDefault="0052554E" w:rsidP="007E2D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2D1FD2" w:rsidRPr="0016416C" w:rsidRDefault="002D1FD2" w:rsidP="007E2D45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понятие экономических сетей</w:t>
      </w:r>
    </w:p>
    <w:p w:rsidR="0052554E" w:rsidRPr="0016416C" w:rsidRDefault="0052554E" w:rsidP="007E2D45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сущность, содержание и классификацию ценных бумаг, особенности и характер взаимодействия между ними</w:t>
      </w:r>
      <w:r w:rsidR="006C044E" w:rsidRPr="0016416C">
        <w:rPr>
          <w:rFonts w:ascii="Times New Roman" w:hAnsi="Times New Roman" w:cs="Times New Roman"/>
          <w:sz w:val="28"/>
          <w:szCs w:val="28"/>
        </w:rPr>
        <w:t>, а также понятие фондового рынка</w:t>
      </w:r>
      <w:r w:rsidRPr="0016416C">
        <w:rPr>
          <w:rFonts w:ascii="Times New Roman" w:hAnsi="Times New Roman" w:cs="Times New Roman"/>
          <w:sz w:val="28"/>
          <w:szCs w:val="28"/>
        </w:rPr>
        <w:t>;</w:t>
      </w:r>
    </w:p>
    <w:p w:rsidR="0052554E" w:rsidRPr="0016416C" w:rsidRDefault="006C044E" w:rsidP="007E2D45">
      <w:pPr>
        <w:pStyle w:val="a6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структуру анализируемых бирж, выбрать фирмы для построения модели графа рынка</w:t>
      </w:r>
      <w:r w:rsidR="0052554E" w:rsidRPr="0016416C">
        <w:rPr>
          <w:rFonts w:ascii="Times New Roman" w:hAnsi="Times New Roman" w:cs="Times New Roman"/>
          <w:sz w:val="28"/>
          <w:szCs w:val="28"/>
        </w:rPr>
        <w:t>;</w:t>
      </w:r>
    </w:p>
    <w:p w:rsidR="0052554E" w:rsidRPr="0016416C" w:rsidRDefault="0052554E" w:rsidP="007E2D45">
      <w:pPr>
        <w:pStyle w:val="a6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применяя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математические методы анализа, найти основны</w:t>
      </w:r>
      <w:r w:rsidR="006C044E" w:rsidRPr="0016416C">
        <w:rPr>
          <w:rFonts w:ascii="Times New Roman" w:hAnsi="Times New Roman" w:cs="Times New Roman"/>
          <w:sz w:val="28"/>
          <w:szCs w:val="28"/>
        </w:rPr>
        <w:t>е характеристики рыночного графа</w:t>
      </w:r>
      <w:r w:rsidRPr="0016416C">
        <w:rPr>
          <w:rFonts w:ascii="Times New Roman" w:hAnsi="Times New Roman" w:cs="Times New Roman"/>
          <w:sz w:val="28"/>
          <w:szCs w:val="28"/>
        </w:rPr>
        <w:t>;</w:t>
      </w:r>
    </w:p>
    <w:p w:rsidR="0052554E" w:rsidRPr="0016416C" w:rsidRDefault="006C044E" w:rsidP="007E2D45">
      <w:pPr>
        <w:pStyle w:val="a6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провести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схожий анализ бирж по более коротким периодам времени</w:t>
      </w:r>
      <w:r w:rsidR="0052554E" w:rsidRPr="0016416C">
        <w:rPr>
          <w:rFonts w:ascii="Times New Roman" w:hAnsi="Times New Roman" w:cs="Times New Roman"/>
          <w:sz w:val="28"/>
          <w:szCs w:val="28"/>
        </w:rPr>
        <w:t>.</w:t>
      </w:r>
    </w:p>
    <w:p w:rsidR="0052554E" w:rsidRPr="0016416C" w:rsidRDefault="0052554E" w:rsidP="007E2D45">
      <w:pPr>
        <w:pStyle w:val="a6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hAnsi="Times New Roman" w:cs="Times New Roman"/>
          <w:sz w:val="28"/>
          <w:szCs w:val="28"/>
        </w:rPr>
        <w:t>сравнить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полученные данные</w:t>
      </w:r>
      <w:r w:rsidR="006C044E" w:rsidRPr="0016416C">
        <w:rPr>
          <w:rFonts w:ascii="Times New Roman" w:hAnsi="Times New Roman" w:cs="Times New Roman"/>
          <w:sz w:val="28"/>
          <w:szCs w:val="28"/>
        </w:rPr>
        <w:t xml:space="preserve"> об обеих биржах</w:t>
      </w:r>
      <w:r w:rsidRPr="0016416C">
        <w:rPr>
          <w:rFonts w:ascii="Times New Roman" w:hAnsi="Times New Roman" w:cs="Times New Roman"/>
          <w:sz w:val="28"/>
          <w:szCs w:val="28"/>
        </w:rPr>
        <w:t>.</w:t>
      </w:r>
    </w:p>
    <w:p w:rsidR="0052554E" w:rsidRPr="0016416C" w:rsidRDefault="0052554E" w:rsidP="007E2D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Объектами исследования</w:t>
      </w:r>
      <w:r w:rsidR="006C044E" w:rsidRPr="0016416C"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16416C">
        <w:rPr>
          <w:rFonts w:ascii="Times New Roman" w:hAnsi="Times New Roman" w:cs="Times New Roman"/>
          <w:sz w:val="28"/>
          <w:szCs w:val="28"/>
        </w:rPr>
        <w:t xml:space="preserve">тся </w:t>
      </w:r>
      <w:r w:rsidR="006C044E" w:rsidRPr="0016416C">
        <w:rPr>
          <w:rFonts w:ascii="Times New Roman" w:hAnsi="Times New Roman" w:cs="Times New Roman"/>
          <w:sz w:val="28"/>
          <w:szCs w:val="28"/>
        </w:rPr>
        <w:t>модели рыночного графа Лондонской и Франкфуртской фондовых бирж.</w:t>
      </w:r>
    </w:p>
    <w:p w:rsidR="0052554E" w:rsidRPr="0016416C" w:rsidRDefault="0052554E" w:rsidP="007E2D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 основные показатели рыночного графа: распределение корреляции ценных бумаг, плотность ребер, размеры и составы максимальных клик и независимых множеств.</w:t>
      </w:r>
    </w:p>
    <w:p w:rsidR="0052554E" w:rsidRPr="0016416C" w:rsidRDefault="0052554E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16416C" w:rsidRDefault="00922314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22314" w:rsidRPr="004B4706" w:rsidRDefault="00664838" w:rsidP="006648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00F1" w:rsidRPr="0016416C" w:rsidRDefault="003D00F1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935020" w:rsidRPr="0016416C"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:rsidR="003D00F1" w:rsidRPr="0016416C" w:rsidRDefault="003D00F1" w:rsidP="006648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1.1</w:t>
      </w:r>
      <w:r w:rsidR="002D1FD2" w:rsidRPr="0016416C"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r w:rsidRPr="0016416C">
        <w:rPr>
          <w:rFonts w:ascii="Times New Roman" w:hAnsi="Times New Roman" w:cs="Times New Roman"/>
          <w:b/>
          <w:sz w:val="28"/>
          <w:szCs w:val="28"/>
        </w:rPr>
        <w:t>э</w:t>
      </w:r>
      <w:r w:rsidR="003E16C2" w:rsidRPr="0016416C">
        <w:rPr>
          <w:rFonts w:ascii="Times New Roman" w:hAnsi="Times New Roman" w:cs="Times New Roman"/>
          <w:b/>
          <w:sz w:val="28"/>
          <w:szCs w:val="28"/>
        </w:rPr>
        <w:t>коном</w:t>
      </w:r>
      <w:r w:rsidR="002D1FD2" w:rsidRPr="0016416C">
        <w:rPr>
          <w:rFonts w:ascii="Times New Roman" w:hAnsi="Times New Roman" w:cs="Times New Roman"/>
          <w:b/>
          <w:sz w:val="28"/>
          <w:szCs w:val="28"/>
        </w:rPr>
        <w:t>ических сетей</w:t>
      </w:r>
      <w:r w:rsidRPr="0016416C">
        <w:rPr>
          <w:rFonts w:ascii="Times New Roman" w:hAnsi="Times New Roman" w:cs="Times New Roman"/>
          <w:b/>
          <w:sz w:val="28"/>
          <w:szCs w:val="28"/>
        </w:rPr>
        <w:t>. Тенденции их развития</w:t>
      </w:r>
    </w:p>
    <w:p w:rsidR="003D00F1" w:rsidRPr="0016416C" w:rsidRDefault="003E16C2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Economic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6416C">
        <w:rPr>
          <w:rFonts w:ascii="Times New Roman" w:hAnsi="Times New Roman" w:cs="Times New Roman"/>
          <w:sz w:val="28"/>
          <w:szCs w:val="28"/>
        </w:rPr>
        <w:t xml:space="preserve">: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Challenges</w:t>
      </w:r>
      <w:r w:rsidRPr="0016416C">
        <w:rPr>
          <w:rFonts w:ascii="Times New Roman" w:hAnsi="Times New Roman" w:cs="Times New Roman"/>
          <w:sz w:val="28"/>
          <w:szCs w:val="28"/>
        </w:rPr>
        <w:t xml:space="preserve"> (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Frank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Schweitzer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(2009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>))</w:t>
      </w:r>
      <w:r w:rsidR="009C770C" w:rsidRPr="0016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C770C" w:rsidRPr="0016416C">
        <w:rPr>
          <w:rFonts w:ascii="Times New Roman" w:hAnsi="Times New Roman" w:cs="Times New Roman"/>
          <w:sz w:val="28"/>
          <w:szCs w:val="28"/>
        </w:rPr>
        <w:t>8]</w:t>
      </w:r>
      <w:r w:rsidRPr="00164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 xml:space="preserve">рассматриваются современные тенденции анализа экономических сетей, дается прогноз о векторе развития данного направления в будущем. </w:t>
      </w:r>
    </w:p>
    <w:p w:rsidR="003D00F1" w:rsidRPr="0016416C" w:rsidRDefault="003D00F1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Экономическая сеть - сочетание отдельных лиц, групп или стран, взаимодействующих, чтобы принести пользу всему сообществу.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Мировой кризис 2008-го года выявил необходимость в новых фундаментальных путях понимания структуры и динамики экономических сетей. </w:t>
      </w:r>
      <w:r w:rsidR="003D00F1" w:rsidRPr="0016416C">
        <w:rPr>
          <w:rFonts w:ascii="Times New Roman" w:hAnsi="Times New Roman" w:cs="Times New Roman"/>
          <w:sz w:val="28"/>
          <w:szCs w:val="28"/>
        </w:rPr>
        <w:t>Модели экономических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системы во все большей степени основываются на реальных торговых отношениях, путях поставок, поведение которых оказалось трудно предсказывать и контролировать. Таким образом, требуется новый подход, который будет брать во внимание системную сложность экономических сетей, что позволит перестроить и расширить установленные парадигмы экономической теории. Это снизит риски глобального экономического сбоя, ведь сделает экономические сети более надежными.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Экономика, как и любая другая сложная система, отражает динамическое взаимодействие большого числа разных агентов, а не нескольких ключевых игроков. Требуется более фундаментальный подход оценки системной динамики, который можно будет перенести и на структурные свойства, лежащие в основе сети взаимодействия.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Исследования экономических сетей про</w:t>
      </w:r>
      <w:r w:rsidR="00682EC6" w:rsidRPr="0016416C">
        <w:rPr>
          <w:rFonts w:ascii="Times New Roman" w:hAnsi="Times New Roman" w:cs="Times New Roman"/>
          <w:sz w:val="28"/>
          <w:szCs w:val="28"/>
        </w:rPr>
        <w:t>водятся, как правило,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 двух сторон. Одна из точек зрения исходит со стороны экономики и социологии, другая возникла при исследовании сложных систем в физике и информатике. В обоих узлы представляют из себя разных индивидуальных агентов, которые могут представлять фирм, банки, даже страны, а связи между узлами показывают их взаимодействие (торговлю, кредитные отношения и т.д.) Разные агенты могут иметь разное поведение в одних и тех же условиях. Развитие этих отношений представляются рассмотрением сети в динамике (ее состояние меняется со </w:t>
      </w:r>
      <w:r w:rsidRPr="0016416C">
        <w:rPr>
          <w:rFonts w:ascii="Times New Roman" w:hAnsi="Times New Roman" w:cs="Times New Roman"/>
          <w:sz w:val="28"/>
          <w:szCs w:val="28"/>
        </w:rPr>
        <w:lastRenderedPageBreak/>
        <w:t>временем в зависимости от окружающей среды). Формируются такие сети путем добавления или удаления самих агентов или связей между ними.</w:t>
      </w:r>
    </w:p>
    <w:p w:rsidR="009F2E7A" w:rsidRPr="0016416C" w:rsidRDefault="009F2E7A" w:rsidP="00F129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Социально-экономический взгляд сосредоточен на понимании выбора стратегического поведения взаимодействующих агентов в условиях относительно простой архитектуры. Самый стандартный пример это сеть в форме звезды, где один главный агент отвечает за обеспечение коммуникации между остальными. В этом случае мы можем сфокусироваться на каждом отдельном элементе, проследить его конкретные отношения. Для анализа крупных систем используется макро подход, который сосредотачивается на поведении всей системы в целом. Оба метода имеют достоинства и</w:t>
      </w:r>
      <w:r w:rsidR="00682EC6" w:rsidRPr="0016416C">
        <w:rPr>
          <w:rFonts w:ascii="Times New Roman" w:hAnsi="Times New Roman" w:cs="Times New Roman"/>
          <w:sz w:val="28"/>
          <w:szCs w:val="28"/>
        </w:rPr>
        <w:t xml:space="preserve"> недостатки. Микро метод часто позволяе</w:t>
      </w:r>
      <w:r w:rsidRPr="0016416C">
        <w:rPr>
          <w:rFonts w:ascii="Times New Roman" w:hAnsi="Times New Roman" w:cs="Times New Roman"/>
          <w:sz w:val="28"/>
          <w:szCs w:val="28"/>
        </w:rPr>
        <w:t>т правильно рас</w:t>
      </w:r>
      <w:r w:rsidR="00682EC6" w:rsidRPr="0016416C">
        <w:rPr>
          <w:rFonts w:ascii="Times New Roman" w:hAnsi="Times New Roman" w:cs="Times New Roman"/>
          <w:sz w:val="28"/>
          <w:szCs w:val="28"/>
        </w:rPr>
        <w:t>познать стимулы, которые двигают</w:t>
      </w:r>
      <w:r w:rsidRPr="0016416C">
        <w:rPr>
          <w:rFonts w:ascii="Times New Roman" w:hAnsi="Times New Roman" w:cs="Times New Roman"/>
          <w:sz w:val="28"/>
          <w:szCs w:val="28"/>
        </w:rPr>
        <w:t xml:space="preserve"> каждой фирмой, но общее поведение системы скорее всего предскажет неверно. Тогда как макро метод лучше справится с предсказанием, но не даст понимания реальной мотивации экономических агентов.</w:t>
      </w:r>
    </w:p>
    <w:p w:rsidR="009F2E7A" w:rsidRPr="0016416C" w:rsidRDefault="009F2E7A" w:rsidP="00F129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Очевидно, что в развитии микро методов огромную роль сыграло такое направление как теория игр.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Макро подход не концентрируется на глубоком понимании поведения отдельных агентов, вместо этого он изучает постепенное влияние правил сетевого образования на формирование структуры связей внутри экономической сети, что и позволяет в дальнейшем предугадывать ее последующую динамику.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sz w:val="28"/>
          <w:szCs w:val="28"/>
        </w:rPr>
        <w:t>В контексте сложных сетей</w:t>
      </w:r>
      <w:r w:rsidR="00FB256C" w:rsidRPr="0016416C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связи между агентами не просто бинарные (существуют или не существуют), а имеют вес, который может представлять объемы торговли, инвестированный капитал и т.д. Эти веса </w:t>
      </w:r>
      <w:r w:rsidR="00682EC6" w:rsidRPr="0016416C">
        <w:rPr>
          <w:rFonts w:ascii="Times New Roman" w:hAnsi="Times New Roman" w:cs="Times New Roman"/>
          <w:sz w:val="28"/>
          <w:szCs w:val="28"/>
        </w:rPr>
        <w:t>со</w:t>
      </w:r>
      <w:r w:rsidR="006F5EB2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="00682EC6" w:rsidRPr="0016416C">
        <w:rPr>
          <w:rFonts w:ascii="Times New Roman" w:hAnsi="Times New Roman" w:cs="Times New Roman"/>
          <w:sz w:val="28"/>
          <w:szCs w:val="28"/>
        </w:rPr>
        <w:lastRenderedPageBreak/>
        <w:t>временем могут меняться, как и состав агентов.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2AF77" wp14:editId="21724931">
            <wp:extent cx="4640138" cy="3371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043" cy="33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82" w:rsidRPr="0016416C" w:rsidRDefault="002F7B82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</w:t>
      </w:r>
      <w:r w:rsidR="006F5EB2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 w:rsidR="006F5EB2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сложной сети.</w:t>
      </w:r>
    </w:p>
    <w:p w:rsidR="009F2E7A" w:rsidRPr="0016416C" w:rsidRDefault="003E16C2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Современное</w:t>
      </w:r>
      <w:r w:rsidR="009F2E7A" w:rsidRPr="0016416C">
        <w:rPr>
          <w:rFonts w:ascii="Times New Roman" w:hAnsi="Times New Roman" w:cs="Times New Roman"/>
          <w:sz w:val="28"/>
          <w:szCs w:val="28"/>
        </w:rPr>
        <w:t xml:space="preserve"> развитие компьютерных мощностей позволяет анализировать куда более значительные объемы информации, чем раньше, что позволит в будущем пойти путем количественного развития методов построения экономических сетей. Это особенно важно, ведь, как было указано ранее, экономика, как и любая другая сложная система, отражает динамическое взаимодействие большого числа разных агентов.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Еще один виток развития это выход за рамки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6416C">
        <w:rPr>
          <w:rFonts w:ascii="Times New Roman" w:hAnsi="Times New Roman" w:cs="Times New Roman"/>
          <w:sz w:val="28"/>
          <w:szCs w:val="28"/>
        </w:rPr>
        <w:t>-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6416C">
        <w:rPr>
          <w:rFonts w:ascii="Times New Roman" w:hAnsi="Times New Roman" w:cs="Times New Roman"/>
          <w:sz w:val="28"/>
          <w:szCs w:val="28"/>
        </w:rPr>
        <w:t xml:space="preserve"> (подход, при котором анализируются отдельно взятые положения экономической системы). Это позволит исследователям определять эволюционный путь сетей за счет объединения дополнительных источников информации.</w:t>
      </w:r>
    </w:p>
    <w:p w:rsidR="003D00F1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Поднимается вопрос нестабильности систем, в связи с тем, что выход из строя одного из узлов может привести к аналогичному итогу для связанных узлов, а в итоге и всей системы. Не до конца изучено как структура системы влияет на вероятность ее выхода из строя в подобных ситуациях. Чаще всего предполагается, что высокая плотность сети предполагает и высокую индивидуальную диверсификацию, а значит и стабильность всей системы. </w:t>
      </w:r>
      <w:r w:rsidRPr="0016416C">
        <w:rPr>
          <w:rFonts w:ascii="Times New Roman" w:hAnsi="Times New Roman" w:cs="Times New Roman"/>
          <w:sz w:val="28"/>
          <w:szCs w:val="28"/>
        </w:rPr>
        <w:lastRenderedPageBreak/>
        <w:t>Однако, это верно лишь для простых систем. Существуют исследования, показывающие, что риск падения целой системы в условиях высокой плотности растет с увелич</w:t>
      </w:r>
      <w:r w:rsidR="006C044E" w:rsidRPr="0016416C">
        <w:rPr>
          <w:rFonts w:ascii="Times New Roman" w:hAnsi="Times New Roman" w:cs="Times New Roman"/>
          <w:sz w:val="28"/>
          <w:szCs w:val="28"/>
        </w:rPr>
        <w:t>ением веса связей между узлами.</w:t>
      </w:r>
    </w:p>
    <w:p w:rsidR="009F2E7A" w:rsidRPr="0016416C" w:rsidRDefault="003E16C2" w:rsidP="00F1295A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1.2.Пример</w:t>
      </w:r>
      <w:r w:rsidR="009F2E7A" w:rsidRPr="00164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b/>
          <w:sz w:val="28"/>
          <w:szCs w:val="28"/>
        </w:rPr>
        <w:t>модели</w:t>
      </w:r>
      <w:r w:rsidR="009F2E7A" w:rsidRPr="00164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b/>
          <w:sz w:val="28"/>
          <w:szCs w:val="28"/>
        </w:rPr>
        <w:t>экономической</w:t>
      </w:r>
      <w:r w:rsidR="009F2E7A" w:rsidRPr="00164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b/>
          <w:sz w:val="28"/>
          <w:szCs w:val="28"/>
        </w:rPr>
        <w:t>сети</w:t>
      </w:r>
      <w:r w:rsidR="002D1FD2" w:rsidRPr="0016416C">
        <w:rPr>
          <w:rFonts w:ascii="Times New Roman" w:hAnsi="Times New Roman" w:cs="Times New Roman"/>
          <w:b/>
          <w:sz w:val="28"/>
          <w:szCs w:val="28"/>
        </w:rPr>
        <w:t>.</w:t>
      </w:r>
    </w:p>
    <w:p w:rsidR="009F2E7A" w:rsidRPr="0016416C" w:rsidRDefault="002D1FD2" w:rsidP="00F1295A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sz w:val="28"/>
          <w:szCs w:val="28"/>
        </w:rPr>
        <w:t>С</w:t>
      </w:r>
      <w:r w:rsidR="009F2E7A" w:rsidRPr="0016416C">
        <w:rPr>
          <w:rFonts w:ascii="Times New Roman" w:hAnsi="Times New Roman" w:cs="Times New Roman"/>
          <w:sz w:val="28"/>
          <w:szCs w:val="28"/>
        </w:rPr>
        <w:t xml:space="preserve">татья 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The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Network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of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Global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Corporate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gramStart"/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Control</w:t>
      </w:r>
      <w:r w:rsidRPr="0016416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(</w:t>
      </w:r>
      <w:proofErr w:type="spellStart"/>
      <w:proofErr w:type="gramEnd"/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Stefania</w:t>
      </w:r>
      <w:proofErr w:type="spellEnd"/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Vitali</w:t>
      </w:r>
      <w:proofErr w:type="spellEnd"/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James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Glattfelder</w:t>
      </w:r>
      <w:proofErr w:type="spellEnd"/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Stefano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Battiston</w:t>
      </w:r>
      <w:proofErr w:type="spellEnd"/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C770C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[9]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2E7A" w:rsidRPr="0016416C">
        <w:rPr>
          <w:rFonts w:ascii="Times New Roman" w:hAnsi="Times New Roman" w:cs="Times New Roman"/>
          <w:sz w:val="28"/>
          <w:szCs w:val="28"/>
        </w:rPr>
        <w:t>является подтверждением части выдвинутых гипотез, исследователи проанализировали огромное количество информации (сведе</w:t>
      </w:r>
      <w:r w:rsidRPr="0016416C">
        <w:rPr>
          <w:rFonts w:ascii="Times New Roman" w:hAnsi="Times New Roman" w:cs="Times New Roman"/>
          <w:sz w:val="28"/>
          <w:szCs w:val="28"/>
        </w:rPr>
        <w:t xml:space="preserve">ния о держателях акций около 30 </w:t>
      </w:r>
      <w:r w:rsidR="009F2E7A" w:rsidRPr="0016416C">
        <w:rPr>
          <w:rFonts w:ascii="Times New Roman" w:hAnsi="Times New Roman" w:cs="Times New Roman"/>
          <w:sz w:val="28"/>
          <w:szCs w:val="28"/>
        </w:rPr>
        <w:t>миллионов компаний со всего м</w:t>
      </w:r>
      <w:r w:rsidR="009C770C" w:rsidRPr="0016416C">
        <w:rPr>
          <w:rFonts w:ascii="Times New Roman" w:hAnsi="Times New Roman" w:cs="Times New Roman"/>
          <w:sz w:val="28"/>
          <w:szCs w:val="28"/>
        </w:rPr>
        <w:t>ира).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Отвлечемся от результатов этого популярного исследования, обратим внимание на сам метод построения модели экономической сети.</w:t>
      </w:r>
    </w:p>
    <w:p w:rsidR="00FB256C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</w:rPr>
        <w:t>Исследователи составили матрицу собственности (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), в которой каждый компонент 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E91ED" wp14:editId="04E102A0">
            <wp:extent cx="581025" cy="171450"/>
            <wp:effectExtent l="0" t="0" r="9525" b="0"/>
            <wp:docPr id="2" name="Рисунок 2" descr="http://journals.plos.org/plosone/article/asset?id=info:doi/10.1371/journal.pone.0025995.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urnals.plos.org/plosone/article/asset?id=info:doi/10.1371/journal.pone.0025995.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Fonts w:ascii="Times New Roman" w:hAnsi="Times New Roman" w:cs="Times New Roman"/>
          <w:sz w:val="28"/>
          <w:szCs w:val="28"/>
        </w:rPr>
        <w:t xml:space="preserve">  представляет собой процент собственности, который владелец (или акционер) держит в фирме. На основе полученной матрицы был построен ориентированный взвешенный граф, в котором фирмы выступали в качестве узлов, а связи демонстрировали положение собственности. Если в свою очередь 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>фирма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2E5937" wp14:editId="58216972">
            <wp:extent cx="76200" cy="142875"/>
            <wp:effectExtent l="0" t="0" r="0" b="9525"/>
            <wp:docPr id="13" name="Рисунок 13" descr="http://journals.plos.org/plosone/article/asset?id=info:doi/10.1371/journal.pone.0025995.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urnals.plos.org/plosone/article/asset?id=info:doi/10.1371/journal.pone.0025995.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владеет</w:t>
      </w:r>
      <w:proofErr w:type="gramEnd"/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4D72BC9" wp14:editId="1DB76AAE">
            <wp:extent cx="200025" cy="152400"/>
            <wp:effectExtent l="0" t="0" r="9525" b="0"/>
            <wp:docPr id="12" name="Рисунок 12" descr="http://journals.plos.org/plosone/article/asset?id=info:doi/10.1371/journal.pone.0025995.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ournals.plos.org/plosone/article/asset?id=info:doi/10.1371/journal.pone.0025995.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частью фирмы </w:t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0845294" wp14:editId="0F60C88B">
            <wp:extent cx="47625" cy="114300"/>
            <wp:effectExtent l="0" t="0" r="9525" b="0"/>
            <wp:docPr id="11" name="Рисунок 11" descr="http://journals.plos.org/plosone/article/asset?id=info:doi/10.1371/journal.pone.0025995.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urnals.plos.org/plosone/article/asset?id=info:doi/10.1371/journal.pone.0025995.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тогда фирма 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FA28A2" wp14:editId="2DF581CE">
            <wp:extent cx="38100" cy="104775"/>
            <wp:effectExtent l="0" t="0" r="0" b="9525"/>
            <wp:docPr id="10" name="Рисунок 10" descr="http://journals.plos.org/plosone/article/asset?id=info:doi/10.1371/journal.pone.0025995.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ournals.plos.org/plosone/article/asset?id=info:doi/10.1371/journal.pone.0025995.e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 косвенное владение фирмой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818318" wp14:editId="098EFF99">
            <wp:extent cx="47625" cy="114300"/>
            <wp:effectExtent l="0" t="0" r="9525" b="0"/>
            <wp:docPr id="9" name="Рисунок 9" descr="http://journals.plos.org/plosone/article/asset?id=info:doi/10.1371/journal.pone.0025995.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ournals.plos.org/plosone/article/asset?id=info:doi/10.1371/journal.pone.0025995.e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641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256C" w:rsidRPr="0016416C">
        <w:rPr>
          <w:rFonts w:ascii="Times New Roman" w:hAnsi="Times New Roman" w:cs="Times New Roman"/>
          <w:sz w:val="28"/>
          <w:szCs w:val="28"/>
        </w:rPr>
        <w:t>2-</w:t>
      </w:r>
      <w:r w:rsidRPr="0016416C">
        <w:rPr>
          <w:rFonts w:ascii="Times New Roman" w:hAnsi="Times New Roman" w:cs="Times New Roman"/>
          <w:sz w:val="28"/>
          <w:szCs w:val="28"/>
        </w:rPr>
        <w:t>А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простейшем случае это значение высчитывается как простое произведение </w:t>
      </w:r>
      <w:proofErr w:type="gramStart"/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значений  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DF035D2" wp14:editId="134D9DB2">
            <wp:extent cx="428625" cy="152400"/>
            <wp:effectExtent l="0" t="0" r="9525" b="0"/>
            <wp:docPr id="8" name="Рисунок 8" descr="http://journals.plos.org/plosone/article/asset?id=info:doi/10.1371/journal.pone.0025995.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ournals.plos.org/plosone/article/asset?id=info:doi/10.1371/journal.pone.0025995.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мы также рассмотрим экономическую ценность</w:t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gramStart"/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фирм 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A7786D" wp14:editId="6AC3C15D">
            <wp:extent cx="57150" cy="76200"/>
            <wp:effectExtent l="0" t="0" r="0" b="0"/>
            <wp:docPr id="7" name="Рисунок 7" descr="http://journals.plos.org/plosone/article/asset?id=info:doi/10.1371/journal.pone.0025995.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ournals.plos.org/plosone/article/asset?id=info:doi/10.1371/journal.pone.0025995.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End"/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например, операционный доход в долларах США), значение 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DE0FD5" wp14:editId="4C1252AB">
            <wp:extent cx="314325" cy="152400"/>
            <wp:effectExtent l="0" t="0" r="9525" b="0"/>
            <wp:docPr id="6" name="Рисунок 6" descr="http://journals.plos.org/plosone/article/asset?id=info:doi/10.1371/journal.pone.0025995.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ournals.plos.org/plosone/article/asset?id=info:doi/10.1371/journal.pone.0025995.e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 к</w:t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FA405C" wp14:editId="1C840C40">
            <wp:extent cx="38100" cy="104775"/>
            <wp:effectExtent l="0" t="0" r="0" b="9525"/>
            <wp:docPr id="5" name="Рисунок 5" descr="http://journals.plos.org/plosone/article/asset?id=info:doi/10.1371/journal.pone.0025995.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ournals.plos.org/plosone/article/asset?id=info:doi/10.1371/journal.pone.0025995.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прямого владения, и</w:t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0D6AC6C" wp14:editId="16A1756B">
            <wp:extent cx="542925" cy="152400"/>
            <wp:effectExtent l="0" t="0" r="9525" b="0"/>
            <wp:docPr id="4" name="Рисунок 4" descr="http://journals.plos.org/plosone/article/asset?id=info:doi/10.1371/journal.pone.0025995.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ournals.plos.org/plosone/article/asset?id=info:doi/10.1371/journal.pone.0025995.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косвенного. Такие вычисления распространяются на весь граф. Рисунок </w:t>
      </w:r>
      <w:r w:rsidR="00FB256C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2-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демонстрирует стандартную модель, над ребрами указываются проценты владений. Модель на рисунке </w:t>
      </w:r>
      <w:r w:rsidR="00FB256C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2-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модель, использующая пороговые значения. Если владелец имеет процент акций, превосходящий пороговое значение (например, 50 %), то говорят, что он имеет полный контроль (100%), иначе, что не имеет контроля (0%)</w:t>
      </w:r>
    </w:p>
    <w:p w:rsidR="009F2E7A" w:rsidRPr="0016416C" w:rsidRDefault="009F2E7A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2369A" wp14:editId="7A959CA4">
            <wp:extent cx="5369480" cy="4468483"/>
            <wp:effectExtent l="0" t="0" r="3175" b="8890"/>
            <wp:docPr id="3" name="Рисунок 3" descr="http://journals.plos.org/plosone/article/figure/image?size=large&amp;id=info:doi/10.1371/journal.pone.0025995.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urnals.plos.org/plosone/article/figure/image?size=large&amp;id=info:doi/10.1371/journal.pone.0025995.g0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40" cy="448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82" w:rsidRPr="0016416C" w:rsidRDefault="002F7B82" w:rsidP="00F129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4706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</w:t>
      </w:r>
      <w:r w:rsidR="006F5EB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. Правила построения модели.</w:t>
      </w:r>
    </w:p>
    <w:p w:rsidR="00C50C13" w:rsidRPr="0016416C" w:rsidRDefault="009F2E7A" w:rsidP="00C50C13">
      <w:pPr>
        <w:pStyle w:val="a3"/>
        <w:shd w:val="clear" w:color="auto" w:fill="FFFFFF"/>
        <w:spacing w:after="0" w:afterAutospacing="0" w:line="360" w:lineRule="auto"/>
        <w:ind w:firstLine="851"/>
        <w:rPr>
          <w:sz w:val="28"/>
          <w:szCs w:val="28"/>
        </w:rPr>
      </w:pPr>
      <w:r w:rsidRPr="0016416C">
        <w:rPr>
          <w:sz w:val="28"/>
          <w:szCs w:val="28"/>
        </w:rPr>
        <w:t xml:space="preserve">Каждый акционер имеет право на часть доходов фирмы (дивиденды) и право голоса в процессе принятия решений (например, право голоса на собрании акционеров фирмы). Таким образом, чем выше у акционера процент </w:t>
      </w:r>
      <w:proofErr w:type="gramStart"/>
      <w:r w:rsidRPr="0016416C">
        <w:rPr>
          <w:sz w:val="28"/>
          <w:szCs w:val="28"/>
        </w:rPr>
        <w:t>собственности</w:t>
      </w:r>
      <w:r w:rsidRPr="0016416C">
        <w:rPr>
          <w:rStyle w:val="apple-converted-space"/>
          <w:sz w:val="28"/>
          <w:szCs w:val="28"/>
          <w:lang w:val="en-US"/>
        </w:rPr>
        <w:t> </w:t>
      </w:r>
      <w:r w:rsidRPr="0016416C">
        <w:rPr>
          <w:noProof/>
          <w:sz w:val="28"/>
          <w:szCs w:val="28"/>
        </w:rPr>
        <w:drawing>
          <wp:inline distT="0" distB="0" distL="0" distR="0" wp14:anchorId="58A73298" wp14:editId="214CC42B">
            <wp:extent cx="200025" cy="152400"/>
            <wp:effectExtent l="0" t="0" r="9525" b="0"/>
            <wp:docPr id="26" name="Рисунок 26" descr="http://journals.plos.org/plosone/article/asset?id=info:doi/10.1371/journal.pone.0025995.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ournals.plos.org/plosone/article/asset?id=info:doi/10.1371/journal.pone.0025995.e0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sz w:val="28"/>
          <w:szCs w:val="28"/>
        </w:rPr>
        <w:t xml:space="preserve"> в</w:t>
      </w:r>
      <w:proofErr w:type="gramEnd"/>
      <w:r w:rsidRPr="0016416C">
        <w:rPr>
          <w:rStyle w:val="apple-converted-space"/>
          <w:sz w:val="28"/>
          <w:szCs w:val="28"/>
        </w:rPr>
        <w:t xml:space="preserve"> фирме</w:t>
      </w:r>
      <w:r w:rsidRPr="0016416C">
        <w:rPr>
          <w:sz w:val="28"/>
          <w:szCs w:val="28"/>
        </w:rPr>
        <w:t xml:space="preserve">, тем сильнее и контроль над ней, обозначенный как </w:t>
      </w:r>
      <w:r w:rsidRPr="0016416C">
        <w:rPr>
          <w:noProof/>
          <w:sz w:val="28"/>
          <w:szCs w:val="28"/>
        </w:rPr>
        <w:drawing>
          <wp:inline distT="0" distB="0" distL="0" distR="0" wp14:anchorId="190E5C06" wp14:editId="56ED00B6">
            <wp:extent cx="161925" cy="161925"/>
            <wp:effectExtent l="0" t="0" r="9525" b="9525"/>
            <wp:docPr id="25" name="Рисунок 25" descr="http://journals.plos.org/plosone/article/asset?id=info:doi/10.1371/journal.pone.0025995.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journals.plos.org/plosone/article/asset?id=info:doi/10.1371/journal.pone.0025995.e0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sz w:val="28"/>
          <w:szCs w:val="28"/>
        </w:rPr>
        <w:t xml:space="preserve">. Интуитивно понятно, что контроль это шанс, что интересы акционера будут превалировать в бизнес-стратегии фирмы. </w:t>
      </w:r>
      <w:proofErr w:type="gramStart"/>
      <w:r w:rsidRPr="0016416C">
        <w:rPr>
          <w:sz w:val="28"/>
          <w:szCs w:val="28"/>
        </w:rPr>
        <w:t>Контроль</w:t>
      </w:r>
      <w:r w:rsidRPr="0016416C">
        <w:rPr>
          <w:rStyle w:val="apple-converted-space"/>
          <w:sz w:val="28"/>
          <w:szCs w:val="28"/>
        </w:rPr>
        <w:t xml:space="preserve"> </w:t>
      </w:r>
      <w:r w:rsidRPr="0016416C">
        <w:rPr>
          <w:noProof/>
          <w:sz w:val="28"/>
          <w:szCs w:val="28"/>
        </w:rPr>
        <w:drawing>
          <wp:inline distT="0" distB="0" distL="0" distR="0" wp14:anchorId="5D41183D" wp14:editId="254BB900">
            <wp:extent cx="161925" cy="161925"/>
            <wp:effectExtent l="0" t="0" r="9525" b="9525"/>
            <wp:docPr id="24" name="Рисунок 24" descr="http://journals.plos.org/plosone/article/asset?id=info:doi/10.1371/journal.pone.0025995.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journals.plos.org/plosone/article/asset?id=info:doi/10.1371/journal.pone.0025995.e0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sz w:val="28"/>
          <w:szCs w:val="28"/>
        </w:rPr>
        <w:t xml:space="preserve"> </w:t>
      </w:r>
      <w:r w:rsidRPr="0016416C">
        <w:rPr>
          <w:sz w:val="28"/>
          <w:szCs w:val="28"/>
        </w:rPr>
        <w:t>обычно</w:t>
      </w:r>
      <w:proofErr w:type="gramEnd"/>
      <w:r w:rsidRPr="0016416C">
        <w:rPr>
          <w:sz w:val="28"/>
          <w:szCs w:val="28"/>
        </w:rPr>
        <w:t xml:space="preserve"> высчитывается на основе</w:t>
      </w:r>
      <w:r w:rsidRPr="0016416C">
        <w:rPr>
          <w:rStyle w:val="apple-converted-space"/>
          <w:sz w:val="28"/>
          <w:szCs w:val="28"/>
          <w:lang w:val="en-US"/>
        </w:rPr>
        <w:t> </w:t>
      </w:r>
      <w:r w:rsidRPr="0016416C">
        <w:rPr>
          <w:noProof/>
          <w:sz w:val="28"/>
          <w:szCs w:val="28"/>
        </w:rPr>
        <w:drawing>
          <wp:inline distT="0" distB="0" distL="0" distR="0" wp14:anchorId="6504EA7F" wp14:editId="08A4FE81">
            <wp:extent cx="200025" cy="152400"/>
            <wp:effectExtent l="0" t="0" r="9525" b="0"/>
            <wp:docPr id="23" name="Рисунок 23" descr="http://journals.plos.org/plosone/article/asset?id=info:doi/10.1371/journal.pone.0025995.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journals.plos.org/plosone/article/asset?id=info:doi/10.1371/journal.pone.0025995.e0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sz w:val="28"/>
          <w:szCs w:val="28"/>
          <w:lang w:val="en-US"/>
        </w:rPr>
        <w:t> </w:t>
      </w:r>
      <w:r w:rsidRPr="0016416C">
        <w:rPr>
          <w:sz w:val="28"/>
          <w:szCs w:val="28"/>
        </w:rPr>
        <w:t xml:space="preserve">с простым пороговым правилом: акционер, владеющий большинством акций, имеет полный контроль. В примерах </w:t>
      </w:r>
      <w:r w:rsidR="00FB256C" w:rsidRPr="0016416C">
        <w:rPr>
          <w:sz w:val="28"/>
          <w:szCs w:val="28"/>
        </w:rPr>
        <w:t>2-</w:t>
      </w:r>
      <w:r w:rsidRPr="0016416C">
        <w:rPr>
          <w:sz w:val="28"/>
          <w:szCs w:val="28"/>
          <w:lang w:val="en-US"/>
        </w:rPr>
        <w:t>C</w:t>
      </w:r>
      <w:r w:rsidRPr="0016416C">
        <w:rPr>
          <w:sz w:val="28"/>
          <w:szCs w:val="28"/>
        </w:rPr>
        <w:t xml:space="preserve"> и </w:t>
      </w:r>
      <w:r w:rsidR="00FB256C" w:rsidRPr="0016416C">
        <w:rPr>
          <w:sz w:val="28"/>
          <w:szCs w:val="28"/>
        </w:rPr>
        <w:t>2-</w:t>
      </w:r>
      <w:r w:rsidRPr="0016416C">
        <w:rPr>
          <w:sz w:val="28"/>
          <w:szCs w:val="28"/>
          <w:lang w:val="en-US"/>
        </w:rPr>
        <w:t>D</w:t>
      </w:r>
      <w:r w:rsidRPr="0016416C">
        <w:rPr>
          <w:sz w:val="28"/>
          <w:szCs w:val="28"/>
        </w:rPr>
        <w:t xml:space="preserve">, показатель </w:t>
      </w:r>
      <w:r w:rsidRPr="0016416C">
        <w:rPr>
          <w:rStyle w:val="apple-converted-space"/>
          <w:sz w:val="28"/>
          <w:szCs w:val="28"/>
          <w:lang w:val="en-US"/>
        </w:rPr>
        <w:t> </w:t>
      </w:r>
      <w:r w:rsidRPr="0016416C">
        <w:rPr>
          <w:noProof/>
          <w:sz w:val="28"/>
          <w:szCs w:val="28"/>
        </w:rPr>
        <w:drawing>
          <wp:inline distT="0" distB="0" distL="0" distR="0" wp14:anchorId="3CC451B6" wp14:editId="527F8B75">
            <wp:extent cx="657225" cy="161925"/>
            <wp:effectExtent l="0" t="0" r="9525" b="9525"/>
            <wp:docPr id="22" name="Рисунок 22" descr="http://journals.plos.org/plosone/article/asset?id=info:doi/10.1371/journal.pone.0025995.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journals.plos.org/plosone/article/asset?id=info:doi/10.1371/journal.pone.0025995.e02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sz w:val="28"/>
          <w:szCs w:val="28"/>
          <w:lang w:val="en-US"/>
        </w:rPr>
        <w:t> </w:t>
      </w:r>
      <w:r w:rsidRPr="0016416C">
        <w:rPr>
          <w:sz w:val="28"/>
          <w:szCs w:val="28"/>
        </w:rPr>
        <w:t xml:space="preserve">в случае прямого владения, и </w:t>
      </w:r>
      <w:r w:rsidRPr="0016416C">
        <w:rPr>
          <w:noProof/>
          <w:sz w:val="28"/>
          <w:szCs w:val="28"/>
        </w:rPr>
        <w:drawing>
          <wp:inline distT="0" distB="0" distL="0" distR="0" wp14:anchorId="0215E744" wp14:editId="1D55D46D">
            <wp:extent cx="714375" cy="161925"/>
            <wp:effectExtent l="0" t="0" r="9525" b="9525"/>
            <wp:docPr id="21" name="Рисунок 21" descr="http://journals.plos.org/plosone/article/asset?id=info:doi/10.1371/journal.pone.0025995.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journals.plos.org/plosone/article/asset?id=info:doi/10.1371/journal.pone.0025995.e0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6C">
        <w:rPr>
          <w:rStyle w:val="apple-converted-space"/>
          <w:sz w:val="28"/>
          <w:szCs w:val="28"/>
          <w:lang w:val="en-US"/>
        </w:rPr>
        <w:t> </w:t>
      </w:r>
      <w:r w:rsidRPr="0016416C">
        <w:rPr>
          <w:rStyle w:val="apple-converted-space"/>
          <w:sz w:val="28"/>
          <w:szCs w:val="28"/>
        </w:rPr>
        <w:t xml:space="preserve"> </w:t>
      </w:r>
      <w:r w:rsidRPr="0016416C">
        <w:rPr>
          <w:sz w:val="28"/>
          <w:szCs w:val="28"/>
        </w:rPr>
        <w:t xml:space="preserve">в случае косвенного. Именно благодаря восходящим подсчетам через косвенное владение и были получены итоговые результаты. </w:t>
      </w:r>
    </w:p>
    <w:p w:rsidR="00C50C13" w:rsidRPr="0016416C" w:rsidRDefault="00C50C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sz w:val="28"/>
          <w:szCs w:val="28"/>
        </w:rPr>
        <w:br w:type="page"/>
      </w:r>
    </w:p>
    <w:p w:rsidR="002F7B82" w:rsidRPr="0016416C" w:rsidRDefault="003E16C2" w:rsidP="008318B4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  <w:r w:rsidR="00251CC2" w:rsidRPr="0016416C">
        <w:rPr>
          <w:rFonts w:ascii="Times New Roman" w:hAnsi="Times New Roman" w:cs="Times New Roman"/>
          <w:b/>
          <w:sz w:val="28"/>
          <w:szCs w:val="28"/>
        </w:rPr>
        <w:t>.</w:t>
      </w:r>
      <w:r w:rsidR="002F7B82" w:rsidRPr="0016416C"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:rsidR="00251CC2" w:rsidRPr="0016416C" w:rsidRDefault="002F7B82" w:rsidP="008318B4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2.1. Ф</w:t>
      </w:r>
      <w:r w:rsidR="00251CC2" w:rsidRPr="0016416C">
        <w:rPr>
          <w:rFonts w:ascii="Times New Roman" w:hAnsi="Times New Roman" w:cs="Times New Roman"/>
          <w:b/>
          <w:sz w:val="28"/>
          <w:szCs w:val="28"/>
        </w:rPr>
        <w:t>ондовый рынок, ценная бумага, фондовая биржа.</w:t>
      </w:r>
    </w:p>
    <w:p w:rsidR="005035B6" w:rsidRPr="0016416C" w:rsidRDefault="005035B6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Перед переходом непосредственно к теории построения графа рынка необходимо разобра</w:t>
      </w:r>
      <w:r w:rsidR="003E16C2" w:rsidRPr="0016416C">
        <w:rPr>
          <w:rFonts w:ascii="Times New Roman" w:hAnsi="Times New Roman" w:cs="Times New Roman"/>
          <w:sz w:val="28"/>
          <w:szCs w:val="28"/>
        </w:rPr>
        <w:t>ться с основными понятиями, связ</w:t>
      </w:r>
      <w:r w:rsidRPr="0016416C">
        <w:rPr>
          <w:rFonts w:ascii="Times New Roman" w:hAnsi="Times New Roman" w:cs="Times New Roman"/>
          <w:sz w:val="28"/>
          <w:szCs w:val="28"/>
        </w:rPr>
        <w:t>анными с рынком ценных бумаг.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Виды рынков.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16416C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16416C">
        <w:rPr>
          <w:rStyle w:val="a7"/>
          <w:rFonts w:ascii="Times New Roman" w:hAnsi="Times New Roman" w:cs="Times New Roman"/>
          <w:i/>
          <w:sz w:val="28"/>
          <w:szCs w:val="28"/>
          <w:shd w:val="clear" w:color="auto" w:fill="FFFFFF"/>
        </w:rPr>
        <w:t>фондовый</w:t>
      </w:r>
      <w:proofErr w:type="gramEnd"/>
      <w:r w:rsidRPr="0016416C">
        <w:rPr>
          <w:rStyle w:val="a7"/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рынок</w:t>
      </w:r>
      <w:r w:rsidR="005035B6"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6FBD"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является системой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определенных механизмов,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правил,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приемов,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дающих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возможность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участвовать в операциях купли-продажи специфического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товара - ценных бумаг  (акций).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На сегодняшний день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фондовый рынок набирает популярность и становится одним их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самых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выгодных инструментов инвестирования. Более того,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 к бирже имеют не только частные инвесторы, но и спекулянты, что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способствует развитию данного вида деятельности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Рынок ценных бумаг разделяют на первичный и вторичный рынок.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первичном рынке ценных бумаг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продаю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акции, только что выпущенные непосредственно эмитентом. В целом, этот рынок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акций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представляет собой разнообразные экономические отношения, которые возникают при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самой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эмиссии ценных бумаг.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первичном рынке компания-эмитент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предоставляет открытую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информацию о своей деятельности, стараясь сделать бизнес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прозрачным, чтобы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привлечь инвесторов.</w:t>
      </w:r>
    </w:p>
    <w:p w:rsidR="00251CC2" w:rsidRPr="0016416C" w:rsidRDefault="00FA6FBD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а первичном рынке ценных бумаг акции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размещаются </w:t>
      </w:r>
      <w:proofErr w:type="spellStart"/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частно</w:t>
      </w:r>
      <w:proofErr w:type="spellEnd"/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публично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ходе частного размещения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акции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распространяются среди заранее определенного круга инвесторов.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публичного размещения – купить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акции может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любой</w:t>
      </w:r>
      <w:r w:rsidR="00251CC2" w:rsidRPr="0016416C">
        <w:rPr>
          <w:rFonts w:ascii="Times New Roman" w:hAnsi="Times New Roman" w:cs="Times New Roman"/>
          <w:sz w:val="28"/>
          <w:szCs w:val="28"/>
        </w:rPr>
        <w:t>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Вторичный рынок ценных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бумаг представляет из себя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естественное продолжение первичного рынка.  Когда компания выпустила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ценные бумаги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подросла, набрала вес, следующий шаг –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 на биржу. Все что происходило до – внебиржевой оборот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, нужный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первую очередь для финансирования операционной деятельности.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Цели вторичного рынка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глобальны.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них -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привлечение новых средств. Яркий пример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такого рынка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фондовые биржи.</w:t>
      </w:r>
    </w:p>
    <w:p w:rsidR="00251CC2" w:rsidRPr="0016416C" w:rsidRDefault="00FA6FBD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Естественно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, что вся информация о компании на вторичном рынке должна быть прозрачной. Отчеты, планы, бюджеты, протоколы заседа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ний советов директоров – все они должно быть предоставлены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потенциальным инвесторам.</w:t>
      </w:r>
    </w:p>
    <w:p w:rsidR="00251CC2" w:rsidRPr="0016416C" w:rsidRDefault="00251CC2" w:rsidP="008318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Владелец ценных бумаг – это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юридическое или же физическое лицо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владеющее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ценными бумагами по праву собственности или же по любому другому праву.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Любой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владелец документарных ценных бумаг имеет специальный сертификат,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находящийся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в депозитарии или же у владельца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. Сертификат, подтверждающий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эта ценная </w:t>
      </w:r>
      <w:r w:rsidR="00FA6FBD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бумага принадлежит именно ему, что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 имеет право ею распоряжаться по своему усмотрению. </w:t>
      </w:r>
    </w:p>
    <w:p w:rsidR="00251CC2" w:rsidRPr="0016416C" w:rsidRDefault="00251CC2" w:rsidP="008318B4">
      <w:pPr>
        <w:pStyle w:val="a6"/>
        <w:numPr>
          <w:ilvl w:val="0"/>
          <w:numId w:val="5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Депозитарий —участник рынка ценных бумаг, </w:t>
      </w:r>
      <w:r w:rsidR="00400CAE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 занимается предоставлением услуг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хранен</w:t>
      </w:r>
      <w:r w:rsidR="00400CAE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ию сертификатов ценных бумаг,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учёту перехода прав собственности на ценные бумаги.</w:t>
      </w:r>
    </w:p>
    <w:p w:rsidR="00400CAE" w:rsidRPr="0016416C" w:rsidRDefault="00400CAE" w:rsidP="009434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случае, когда 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участник владеет ценными бумагами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документов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право владения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подтверждается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путем внесения записей в специальный реес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тр владельцев всех ценных бумаг.</w:t>
      </w:r>
    </w:p>
    <w:p w:rsidR="00251CC2" w:rsidRPr="0016416C" w:rsidRDefault="00400CAE" w:rsidP="006648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того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чтобы стать владельцем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любых ценных бумаг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прибегать к некоторым обязательным процедурам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Во-первых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открыть счет в банке,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на который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зачислить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нежные средства для последующей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деятельности на рынке ценных бумаг.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есть выбор, можно стать самому брокером, а можно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обратиться в брокерскую фирм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или же к отдельному брокеру. В случае, </w:t>
      </w:r>
      <w:proofErr w:type="spellStart"/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сли</w:t>
      </w:r>
      <w:proofErr w:type="spellEnd"/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выбран вариант брокерской фирмы, то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заплатить за открытие счета и т.д. (все зависит от условий той или иной фирмы). Вариант стать самому </w:t>
      </w:r>
      <w:r w:rsidR="005035B6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брокером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возможен, но для этого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придется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купить место на фондовой бирже, чтобы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появилась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осуществлять сделки по покупке/продаже любых ценных бумаг, а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такое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место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стоит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 дорого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особенно,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речь идет о 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крупных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фондовых биржах. </w:t>
      </w:r>
    </w:p>
    <w:p w:rsidR="00251CC2" w:rsidRPr="0016416C" w:rsidRDefault="00251CC2" w:rsidP="006648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Ценные бумаги могут обращаться на </w:t>
      </w:r>
      <w:r w:rsidR="00400CAE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биржевом и внебиржевом</w:t>
      </w:r>
      <w:r w:rsidRPr="001641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рынках</w:t>
      </w:r>
      <w:r w:rsidR="00400CAE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B57D5" w:rsidRPr="0016416C">
        <w:rPr>
          <w:rFonts w:ascii="Times New Roman" w:hAnsi="Times New Roman" w:cs="Times New Roman"/>
          <w:sz w:val="28"/>
          <w:szCs w:val="28"/>
        </w:rPr>
        <w:t>[7</w:t>
      </w:r>
      <w:r w:rsidRPr="0016416C">
        <w:rPr>
          <w:rFonts w:ascii="Times New Roman" w:hAnsi="Times New Roman" w:cs="Times New Roman"/>
          <w:sz w:val="28"/>
          <w:szCs w:val="28"/>
        </w:rPr>
        <w:t>].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416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Биржевой рынок </w:t>
      </w:r>
      <w:r w:rsidRPr="0016416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представляет собой рынок определенных финансовых </w:t>
      </w:r>
      <w:r w:rsidRPr="0016416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инструментов со своими установленными правилами для осуществления биржевых сделок.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r w:rsidRPr="0016416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Внебиржевой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416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рынок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осуществляет сделки без регистрации и с регистрацией на бирже, однако главным плюсом является возможность избежать высоких комиссий за совершение сделок и их обслуживания. Это возможно благодаря регистрации сделки между зарегистрированным и незарегистрированным участниками биржи.</w:t>
      </w:r>
    </w:p>
    <w:p w:rsidR="00251CC2" w:rsidRPr="0016416C" w:rsidRDefault="00251CC2" w:rsidP="006648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Внебиржевой рынок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 занимает важное место в организации оборота любых ценных бумаг. Но в любом случае обращение ценных бумаг немыслимо как без биржевого рынка, так и без внебиржевого рынка, что позволяет говорить о двух этих рынках как главными составляющими процесса обращения бумаг в мировой экономике.</w:t>
      </w:r>
    </w:p>
    <w:p w:rsidR="00251CC2" w:rsidRPr="0016416C" w:rsidRDefault="00251CC2" w:rsidP="0066483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Фондовый рынок и фондовая биржа</w:t>
      </w:r>
    </w:p>
    <w:p w:rsidR="00251CC2" w:rsidRPr="0016416C" w:rsidRDefault="00251CC2" w:rsidP="0066483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  <w:shd w:val="clear" w:color="auto" w:fill="FFFFFF"/>
        </w:rPr>
      </w:pPr>
      <w:proofErr w:type="gramStart"/>
      <w:r w:rsidRPr="0016416C">
        <w:rPr>
          <w:sz w:val="28"/>
          <w:szCs w:val="28"/>
          <w:shd w:val="clear" w:color="auto" w:fill="FFFFFF"/>
        </w:rPr>
        <w:t>Необходимо  понимать</w:t>
      </w:r>
      <w:proofErr w:type="gramEnd"/>
      <w:r w:rsidRPr="0016416C">
        <w:rPr>
          <w:sz w:val="28"/>
          <w:szCs w:val="28"/>
          <w:shd w:val="clear" w:color="auto" w:fill="FFFFFF"/>
        </w:rPr>
        <w:t>, что фондо</w:t>
      </w:r>
      <w:r w:rsidR="000B156D" w:rsidRPr="0016416C">
        <w:rPr>
          <w:sz w:val="28"/>
          <w:szCs w:val="28"/>
          <w:shd w:val="clear" w:color="auto" w:fill="FFFFFF"/>
        </w:rPr>
        <w:t>вый рынок и фондовая биржа являю</w:t>
      </w:r>
      <w:r w:rsidRPr="0016416C">
        <w:rPr>
          <w:sz w:val="28"/>
          <w:szCs w:val="28"/>
          <w:shd w:val="clear" w:color="auto" w:fill="FFFFFF"/>
        </w:rPr>
        <w:t>тся немного разными понятиями [4]:</w:t>
      </w:r>
    </w:p>
    <w:p w:rsidR="00251CC2" w:rsidRPr="0016416C" w:rsidRDefault="00251CC2" w:rsidP="00664838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16416C">
        <w:rPr>
          <w:sz w:val="28"/>
          <w:szCs w:val="28"/>
          <w:shd w:val="clear" w:color="auto" w:fill="FFFFFF"/>
        </w:rPr>
        <w:t>  </w:t>
      </w:r>
      <w:r w:rsidRPr="0016416C">
        <w:rPr>
          <w:sz w:val="28"/>
          <w:szCs w:val="28"/>
          <w:shd w:val="clear" w:color="auto" w:fill="FFFFFF"/>
        </w:rPr>
        <w:tab/>
      </w:r>
      <w:r w:rsidRPr="0016416C">
        <w:rPr>
          <w:rStyle w:val="apple-converted-space"/>
          <w:sz w:val="28"/>
          <w:szCs w:val="28"/>
          <w:shd w:val="clear" w:color="auto" w:fill="FFFFFF"/>
        </w:rPr>
        <w:t> </w:t>
      </w:r>
      <w:r w:rsidRPr="0016416C">
        <w:rPr>
          <w:sz w:val="28"/>
          <w:szCs w:val="28"/>
          <w:u w:val="single"/>
        </w:rPr>
        <w:t>Фондовый рынок</w:t>
      </w:r>
      <w:r w:rsidR="000B156D" w:rsidRPr="0016416C">
        <w:rPr>
          <w:sz w:val="28"/>
          <w:szCs w:val="28"/>
        </w:rPr>
        <w:t> – боле</w:t>
      </w:r>
      <w:r w:rsidRPr="0016416C">
        <w:rPr>
          <w:sz w:val="28"/>
          <w:szCs w:val="28"/>
        </w:rPr>
        <w:t xml:space="preserve">е абстрактное понятие, которое служит для обозначения </w:t>
      </w:r>
      <w:r w:rsidR="000B156D" w:rsidRPr="0016416C">
        <w:rPr>
          <w:sz w:val="28"/>
          <w:szCs w:val="28"/>
        </w:rPr>
        <w:t>совокупности экономических отношений</w:t>
      </w:r>
      <w:r w:rsidRPr="0016416C">
        <w:rPr>
          <w:sz w:val="28"/>
          <w:szCs w:val="28"/>
        </w:rPr>
        <w:t xml:space="preserve">, необходимых для осуществления торговли ценными бумагами. </w:t>
      </w:r>
    </w:p>
    <w:p w:rsidR="00251CC2" w:rsidRPr="0016416C" w:rsidRDefault="00251CC2" w:rsidP="0066483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Фондовая биржа </w:t>
      </w:r>
      <w:r w:rsidR="003B57D5" w:rsidRPr="0016416C">
        <w:rPr>
          <w:rFonts w:ascii="Times New Roman" w:hAnsi="Times New Roman" w:cs="Times New Roman"/>
          <w:sz w:val="28"/>
          <w:szCs w:val="28"/>
        </w:rPr>
        <w:t>[6</w:t>
      </w:r>
      <w:r w:rsidRPr="0016416C">
        <w:rPr>
          <w:rFonts w:ascii="Times New Roman" w:hAnsi="Times New Roman" w:cs="Times New Roman"/>
          <w:sz w:val="28"/>
          <w:szCs w:val="28"/>
        </w:rPr>
        <w:t>]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это конкретное место, компания, которая предоставляет пространство для реализации торговых сделок и объединяет продавцов ценных бумаг и желающих приобрести эти бумаги. Как правило, каждая фондовая биржа имеет </w:t>
      </w:r>
      <w:proofErr w:type="gramStart"/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  физический</w:t>
      </w:r>
      <w:proofErr w:type="gramEnd"/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 и расписание работ.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Роль и значение фондового рынка в рыночной системе 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eastAsia="TimesNewRoman" w:hAnsi="Times New Roman" w:cs="Times New Roman"/>
          <w:sz w:val="28"/>
          <w:szCs w:val="28"/>
        </w:rPr>
        <w:t>определяются</w:t>
      </w:r>
      <w:proofErr w:type="gramEnd"/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 следующими факторами;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— привлечение свободных средств для развития в области производства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— обеспечение </w:t>
      </w:r>
      <w:proofErr w:type="gramStart"/>
      <w:r w:rsidRPr="0016416C">
        <w:rPr>
          <w:rFonts w:ascii="Times New Roman" w:eastAsia="TimesNewRoman" w:hAnsi="Times New Roman" w:cs="Times New Roman"/>
          <w:sz w:val="28"/>
          <w:szCs w:val="28"/>
        </w:rPr>
        <w:t>перехода  капитала</w:t>
      </w:r>
      <w:proofErr w:type="gramEnd"/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 из затухающих областей в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eastAsia="TimesNewRoman" w:hAnsi="Times New Roman" w:cs="Times New Roman"/>
          <w:sz w:val="28"/>
          <w:szCs w:val="28"/>
        </w:rPr>
        <w:t>стремительно</w:t>
      </w:r>
      <w:proofErr w:type="gramEnd"/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 развивающиеся отрасли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— привлечение средств для избавления от дефицита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eastAsia="TimesNewRoman" w:hAnsi="Times New Roman" w:cs="Times New Roman"/>
          <w:sz w:val="28"/>
          <w:szCs w:val="28"/>
        </w:rPr>
        <w:t>бюджетов</w:t>
      </w:r>
      <w:proofErr w:type="gramEnd"/>
      <w:r w:rsidRPr="0016416C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— возможность оценить состояние экономики, исходя и</w:t>
      </w:r>
      <w:bookmarkStart w:id="0" w:name="_GoBack"/>
      <w:bookmarkEnd w:id="0"/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з информации 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16416C">
        <w:rPr>
          <w:rFonts w:ascii="Times New Roman" w:eastAsia="TimesNewRoman" w:hAnsi="Times New Roman" w:cs="Times New Roman"/>
          <w:sz w:val="28"/>
          <w:szCs w:val="28"/>
        </w:rPr>
        <w:t>фондового</w:t>
      </w:r>
      <w:proofErr w:type="gramEnd"/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 рынка;</w:t>
      </w:r>
    </w:p>
    <w:p w:rsidR="00251CC2" w:rsidRPr="0016416C" w:rsidRDefault="00251CC2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lastRenderedPageBreak/>
        <w:t>— возможность влияния на инфляцию</w:t>
      </w:r>
    </w:p>
    <w:p w:rsidR="00251CC2" w:rsidRPr="0016416C" w:rsidRDefault="00251CC2" w:rsidP="006648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Действительно, биржа является наиболее удобным местом для осуществления операций с бумагами и, главное, обеспечивает ликвидность ценной бумаги.</w:t>
      </w:r>
    </w:p>
    <w:p w:rsidR="00251CC2" w:rsidRPr="0016416C" w:rsidRDefault="003B57D5" w:rsidP="006648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Под ликвидностью [7</w:t>
      </w:r>
      <w:r w:rsidR="00251CC2"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понимается возможность купить или продать ценную бумагу с большой скоростью и без лишних расходов. Проще говоря, это способность быстро превратить какой-либо актив в деньги. Таким образом, чем большей ликвидностью обладает акция, тем быстрее она будет продана и превращена в денежные средства. </w:t>
      </w:r>
    </w:p>
    <w:p w:rsidR="00251CC2" w:rsidRPr="0016416C" w:rsidRDefault="00251CC2" w:rsidP="0066483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Ценные бумаги</w:t>
      </w:r>
    </w:p>
    <w:p w:rsidR="00251CC2" w:rsidRPr="0016416C" w:rsidRDefault="00251CC2" w:rsidP="006648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Что касается ценных бумаг, они являются разновидностью форм существования капитала, которые обращаются на фондовом рынке.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В реальности же ценные бумаги ничего не стоят, но их ценн</w:t>
      </w:r>
      <w:r w:rsidR="000B156D" w:rsidRPr="0016416C">
        <w:rPr>
          <w:rFonts w:ascii="Times New Roman" w:eastAsia="TimesNewRoman" w:hAnsi="Times New Roman" w:cs="Times New Roman"/>
          <w:sz w:val="28"/>
          <w:szCs w:val="28"/>
        </w:rPr>
        <w:t xml:space="preserve">ость и значимость определяется </w:t>
      </w:r>
      <w:r w:rsidRPr="0016416C">
        <w:rPr>
          <w:rFonts w:ascii="Times New Roman" w:eastAsia="TimesNewRoman" w:hAnsi="Times New Roman" w:cs="Times New Roman"/>
          <w:sz w:val="28"/>
          <w:szCs w:val="28"/>
        </w:rPr>
        <w:t xml:space="preserve">активами </w:t>
      </w:r>
      <w:r w:rsidR="000B156D" w:rsidRPr="0016416C">
        <w:rPr>
          <w:rFonts w:ascii="Times New Roman" w:eastAsia="TimesNewRoman" w:hAnsi="Times New Roman" w:cs="Times New Roman"/>
          <w:sz w:val="28"/>
          <w:szCs w:val="28"/>
        </w:rPr>
        <w:t xml:space="preserve">(например, имущество), которые </w:t>
      </w:r>
      <w:r w:rsidRPr="0016416C">
        <w:rPr>
          <w:rFonts w:ascii="Times New Roman" w:eastAsia="TimesNewRoman" w:hAnsi="Times New Roman" w:cs="Times New Roman"/>
          <w:sz w:val="28"/>
          <w:szCs w:val="28"/>
        </w:rPr>
        <w:t>стоят за бумагами. То есть, ценная бумага не является материальным товаром, но она предоставляет своему владельцу определенные права, за которые и получила свой уровень ценности.</w:t>
      </w:r>
    </w:p>
    <w:p w:rsidR="00251CC2" w:rsidRPr="0016416C" w:rsidRDefault="00251CC2" w:rsidP="0066483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На территории Российской Федерации в соответствии с законом разрешены определенные ценные бумаги для обращения: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Государственные облигации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Вексель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Чек (документ, содержащий безусловный приказ владельца текущего счета банку о выплате указанной в чеке суммы определенному лицу (именной чек) или предъявителю (предъявительский чек)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Депозитные сертификаты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Сберегательные сертификаты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Банковская сберегательная книжка</w:t>
      </w:r>
    </w:p>
    <w:p w:rsidR="00251CC2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Акции</w:t>
      </w:r>
    </w:p>
    <w:p w:rsidR="009F2E7A" w:rsidRPr="0016416C" w:rsidRDefault="00251CC2" w:rsidP="0066483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6416C">
        <w:rPr>
          <w:rFonts w:ascii="Times New Roman" w:eastAsia="TimesNewRoman" w:hAnsi="Times New Roman" w:cs="Times New Roman"/>
          <w:sz w:val="28"/>
          <w:szCs w:val="28"/>
        </w:rPr>
        <w:t>Коносамент (ценная бумага, выражающая право собственности на конкретный указанный в ней товар)</w:t>
      </w:r>
    </w:p>
    <w:p w:rsidR="00CB4B34" w:rsidRPr="0016416C" w:rsidRDefault="002B0F43" w:rsidP="00943465">
      <w:pPr>
        <w:spacing w:after="0" w:line="360" w:lineRule="auto"/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2.2</w:t>
      </w:r>
      <w:r w:rsidR="00CB4B34" w:rsidRPr="0016416C">
        <w:rPr>
          <w:rFonts w:ascii="Times New Roman" w:eastAsiaTheme="minorEastAsia" w:hAnsi="Times New Roman" w:cs="Times New Roman"/>
          <w:b/>
          <w:sz w:val="28"/>
          <w:szCs w:val="28"/>
        </w:rPr>
        <w:t xml:space="preserve"> Лондонская фондовая биржа.</w:t>
      </w:r>
    </w:p>
    <w:p w:rsidR="009F2E7A" w:rsidRPr="0016416C" w:rsidRDefault="003B57D5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eastAsia="NewBaskervilleC"/>
          <w:sz w:val="28"/>
          <w:szCs w:val="28"/>
        </w:rPr>
        <w:t>[5]</w:t>
      </w:r>
      <w:r w:rsidR="009F2E7A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Известна тем, что является одной из самых крупных бирж</w:t>
      </w:r>
      <w:r w:rsidR="00D22FAE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</w:t>
      </w:r>
      <w:r w:rsidR="009F2E7A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Европе</w:t>
      </w:r>
      <w:r w:rsidR="00D22FAE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во всем мире рынков ценных бумаг. </w:t>
      </w:r>
    </w:p>
    <w:p w:rsidR="00D22FAE" w:rsidRPr="0016416C" w:rsidRDefault="00D22FAE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данной бирже рынок акций разделен на две части: </w:t>
      </w:r>
    </w:p>
    <w:p w:rsidR="00D22FAE" w:rsidRPr="0016416C" w:rsidRDefault="00D22FAE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Основной, на который допускаются только те компании, которые соответствуют требованиям </w:t>
      </w:r>
      <w:r w:rsidR="009F2E7A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Управления по финансовому регулированию и надзору </w:t>
      </w:r>
    </w:p>
    <w:p w:rsidR="00D22FAE" w:rsidRPr="0016416C" w:rsidRDefault="00D22FAE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Альтернативный, на котором требования ниже, поэтому он в основном предназначен для молодых, по большей части инновационных компаний.</w:t>
      </w:r>
    </w:p>
    <w:p w:rsidR="00CB4B34" w:rsidRPr="0016416C" w:rsidRDefault="00D22FAE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Лондонская фондовая биржа является самой интернациональной, поскольку на</w:t>
      </w:r>
      <w:r w:rsidR="00CD774D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 совершаются около половины международных торгов</w:t>
      </w:r>
      <w:r w:rsidR="009F2E7A"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774D" w:rsidRPr="0016416C" w:rsidRDefault="00CD774D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данной фондовой биржи было решено использовать индекс </w:t>
      </w:r>
      <w:r w:rsidRPr="00164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FTSE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100, который включает в себя 100 компаний с наибольшей капитализацией, акции которых торгуются на Лондонской фондовой бирже, составляя 80% ее капитализации (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FFFFF"/>
        </w:rPr>
        <w:t>суммарной рыночной стоимости обращающихся на этом рынке ценных бумаг)</w:t>
      </w:r>
      <w:r w:rsidRPr="001641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2551"/>
        <w:gridCol w:w="1985"/>
      </w:tblGrid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3i Group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Aviva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Burberry Group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Eurasian Natural Resources Corporation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ICAP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ARM Holdings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BAE Systems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Cairn Energy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Experian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IMI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Admiral Group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BG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Capita Group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Fresnillo</w:t>
            </w:r>
            <w:proofErr w:type="spellEnd"/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ITV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Aggreko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BHP Billiton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Capital Shopping </w:t>
            </w: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Centres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Group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G4S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Imperial Tobacco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AMEC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Carnival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GKN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Inmarsat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Anglo 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BT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Centrica</w:t>
            </w:r>
            <w:proofErr w:type="spellEnd"/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GlaxoSmithKline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InterContinental Hotels Group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Antofagasta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Barclays</w:t>
            </w:r>
            <w:proofErr w:type="spellEnd"/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Centrica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Glencore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International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International Power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Associated British Foods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British American Tobacco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Compass Group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HSBC </w:t>
            </w: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Hldgs</w:t>
            </w:r>
            <w:proofErr w:type="spellEnd"/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Intertek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Group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AstraZeneca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British Land Company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Diageo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Hammerson</w:t>
            </w:r>
            <w:proofErr w:type="spellEnd"/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Invensys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Autonomy Corporation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British Sky Broadcasting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Essar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Energy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Hargreaves </w:t>
            </w: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Lansdown</w:t>
            </w:r>
            <w:proofErr w:type="spellEnd"/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Johnson 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Matthey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Kazakhmys</w:t>
            </w:r>
            <w:proofErr w:type="spellEnd"/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Kingfisher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Land Securities Group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Legal &amp; General Group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Lloyds Banking Group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Lonmin</w:t>
            </w:r>
            <w:proofErr w:type="spellEnd"/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Man Group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Marks &amp; Spencer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National Grid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Wm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Morrison Supermarkets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Nex</w:t>
            </w:r>
            <w:proofErr w:type="spellEnd"/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Old Mutual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Pearson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Prudential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Petrofac</w:t>
            </w:r>
            <w:proofErr w:type="spellEnd"/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Randgold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Resources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RSA Insurance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Rexam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Reed Elsevier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Reckitt Benckiser Group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Rio Tinto Group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Rolls-Royce Holding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Royal Bank of Scotland Group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Royal Dutch Shell A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Royal Dutch Shell B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SABMiller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Sage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J Sainsbury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Schroders</w:t>
            </w:r>
            <w:proofErr w:type="spellEnd"/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Schroders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N/V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Scottish &amp; Southern Energy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Serco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Severn Trent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Shire Pharmaceuticals Group</w:t>
            </w: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Smith &amp; Nephew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Smiths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Group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Standard Chartered Bank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Standard Life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TUI Travel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Tesco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Tullow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Oil</w:t>
            </w:r>
          </w:p>
          <w:p w:rsidR="00A74934" w:rsidRPr="0016416C" w:rsidRDefault="00A74934" w:rsidP="00664838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Unilever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United Utilities Group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Vedanta Resources</w:t>
            </w:r>
          </w:p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Vodafone Group</w:t>
            </w:r>
          </w:p>
        </w:tc>
      </w:tr>
      <w:tr w:rsidR="00A74934" w:rsidRPr="0016416C" w:rsidTr="002B0F43">
        <w:tc>
          <w:tcPr>
            <w:tcW w:w="1668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WPP Group</w:t>
            </w:r>
          </w:p>
        </w:tc>
        <w:tc>
          <w:tcPr>
            <w:tcW w:w="1559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Weir Group</w:t>
            </w:r>
          </w:p>
        </w:tc>
        <w:tc>
          <w:tcPr>
            <w:tcW w:w="170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Whitbread</w:t>
            </w:r>
          </w:p>
        </w:tc>
        <w:tc>
          <w:tcPr>
            <w:tcW w:w="2551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Wolseley</w:t>
            </w:r>
            <w:proofErr w:type="spellEnd"/>
          </w:p>
        </w:tc>
        <w:tc>
          <w:tcPr>
            <w:tcW w:w="1985" w:type="dxa"/>
          </w:tcPr>
          <w:p w:rsidR="00A74934" w:rsidRPr="0016416C" w:rsidRDefault="00A74934" w:rsidP="00664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Wood Group (John)</w:t>
            </w:r>
          </w:p>
        </w:tc>
      </w:tr>
    </w:tbl>
    <w:p w:rsidR="00A74934" w:rsidRPr="0016416C" w:rsidRDefault="00A74934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Таблица 1. Состав индекса FTSE 100</w:t>
      </w:r>
    </w:p>
    <w:p w:rsidR="002B0F43" w:rsidRPr="0016416C" w:rsidRDefault="002B0F43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7D2B8A" w:rsidRPr="0016416C">
        <w:rPr>
          <w:rFonts w:ascii="Times New Roman" w:eastAsiaTheme="minorEastAsia" w:hAnsi="Times New Roman" w:cs="Times New Roman"/>
          <w:b/>
          <w:sz w:val="28"/>
          <w:szCs w:val="28"/>
        </w:rPr>
        <w:t>.3 Франкфуртская фондовая биржа</w:t>
      </w:r>
    </w:p>
    <w:p w:rsidR="00CD774D" w:rsidRPr="0016416C" w:rsidRDefault="002B0F43" w:rsidP="00943465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Франкфуртская фондовая биржа</w:t>
      </w:r>
      <w:r w:rsidR="007D2B8A" w:rsidRPr="0016416C">
        <w:rPr>
          <w:rFonts w:ascii="Times New Roman" w:eastAsiaTheme="minorEastAsia" w:hAnsi="Times New Roman" w:cs="Times New Roman"/>
          <w:sz w:val="28"/>
          <w:szCs w:val="28"/>
        </w:rPr>
        <w:t xml:space="preserve"> так же является одной из самых крупных в мире и крупнейшей в Германии. Капитализация ее рынка акций в 2007 году составила </w:t>
      </w:r>
      <w:r w:rsidR="007D2B8A" w:rsidRPr="0016416C">
        <w:rPr>
          <w:rFonts w:ascii="Times New Roman" w:hAnsi="Times New Roman" w:cs="Times New Roman"/>
          <w:bCs/>
          <w:sz w:val="28"/>
          <w:szCs w:val="28"/>
          <w:shd w:val="clear" w:color="auto" w:fill="F9F9F9"/>
        </w:rPr>
        <w:t>2 105,2 млрд</w:t>
      </w:r>
      <w:r w:rsidR="007D2B8A" w:rsidRPr="001641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9F9F9"/>
        </w:rPr>
        <w:t> </w:t>
      </w:r>
      <w:r w:rsidR="007D2B8A" w:rsidRPr="0016416C">
        <w:rPr>
          <w:rFonts w:ascii="Times New Roman" w:hAnsi="Times New Roman" w:cs="Times New Roman"/>
          <w:sz w:val="28"/>
          <w:szCs w:val="28"/>
          <w:shd w:val="clear" w:color="auto" w:fill="F9F9F9"/>
        </w:rPr>
        <w:t>долларов США</w:t>
      </w:r>
      <w:r w:rsidRPr="0016416C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. </w:t>
      </w:r>
    </w:p>
    <w:p w:rsidR="002B0F43" w:rsidRPr="0016416C" w:rsidRDefault="002B0F43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Основным индексом биржи является индекс DAX, который был создан 1 июля 1988 г.</w:t>
      </w:r>
    </w:p>
    <w:p w:rsidR="009A4DA1" w:rsidRPr="0016416C" w:rsidRDefault="002B0F43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Вычисляется компанией </w:t>
      </w:r>
      <w:proofErr w:type="spellStart"/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Deutsche</w:t>
      </w:r>
      <w:proofErr w:type="spellEnd"/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Börse</w:t>
      </w:r>
      <w:proofErr w:type="spellEnd"/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AG. Включает в себя 30 крупнейших немецких компаний, является барометром немецкой экономики.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0"/>
        <w:gridCol w:w="2331"/>
        <w:gridCol w:w="1681"/>
        <w:gridCol w:w="1867"/>
        <w:gridCol w:w="1732"/>
      </w:tblGrid>
      <w:tr w:rsidR="009A4DA1" w:rsidRPr="0016416C" w:rsidTr="009A4DA1"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Adidas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Allianz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BASF</w:t>
            </w:r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Bayer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Beiersdorf</w:t>
            </w:r>
            <w:proofErr w:type="spellEnd"/>
          </w:p>
        </w:tc>
      </w:tr>
      <w:tr w:rsidR="009A4DA1" w:rsidRPr="0016416C" w:rsidTr="009A4DA1"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Bayerische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Motoren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Werke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Aktiengesellschaft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Commerzbank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Continental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Daimler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Deutsche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Boerse</w:t>
            </w:r>
            <w:proofErr w:type="spellEnd"/>
          </w:p>
        </w:tc>
      </w:tr>
      <w:tr w:rsidR="009A4DA1" w:rsidRPr="004B4706" w:rsidTr="009A4DA1"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Deutsche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Bank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Deutsche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Post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Deutsche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Telekom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E.ON</w:t>
            </w:r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Fresenius Medical Care AG &amp; Co.</w:t>
            </w:r>
          </w:p>
        </w:tc>
      </w:tr>
      <w:tr w:rsidR="009A4DA1" w:rsidRPr="0016416C" w:rsidTr="009A4DA1"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Fresenius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SE &amp;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HeidelbergCement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Henkel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AG &amp;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Infineon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Technologies</w:t>
            </w:r>
            <w:proofErr w:type="spellEnd"/>
          </w:p>
        </w:tc>
        <w:tc>
          <w:tcPr>
            <w:tcW w:w="1869" w:type="dxa"/>
          </w:tcPr>
          <w:p w:rsidR="009A4DA1" w:rsidRPr="0016416C" w:rsidRDefault="009A4DA1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Deutsche</w:t>
            </w:r>
            <w:proofErr w:type="spellEnd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Lufthansa</w:t>
            </w:r>
            <w:proofErr w:type="spellEnd"/>
          </w:p>
        </w:tc>
      </w:tr>
      <w:tr w:rsidR="009A4DA1" w:rsidRPr="0016416C" w:rsidTr="009A4DA1"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Linde</w:t>
            </w:r>
            <w:proofErr w:type="spellEnd"/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Lanxess</w:t>
            </w:r>
            <w:proofErr w:type="spellEnd"/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Merck</w:t>
            </w:r>
            <w:proofErr w:type="spellEnd"/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RWE</w:t>
            </w:r>
          </w:p>
        </w:tc>
      </w:tr>
      <w:tr w:rsidR="009A4DA1" w:rsidRPr="0016416C" w:rsidTr="009A4DA1"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SAP</w:t>
            </w:r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K+S</w:t>
            </w:r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Siemens</w:t>
            </w:r>
            <w:proofErr w:type="spellEnd"/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ThyssenKrupp</w:t>
            </w:r>
            <w:proofErr w:type="spellEnd"/>
          </w:p>
        </w:tc>
        <w:tc>
          <w:tcPr>
            <w:tcW w:w="1869" w:type="dxa"/>
          </w:tcPr>
          <w:p w:rsidR="009A4DA1" w:rsidRPr="0016416C" w:rsidRDefault="00DD7C1F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Volkswagen</w:t>
            </w:r>
            <w:proofErr w:type="spellEnd"/>
          </w:p>
        </w:tc>
      </w:tr>
    </w:tbl>
    <w:p w:rsidR="002B0F43" w:rsidRPr="0016416C" w:rsidRDefault="002F7B82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2.Состав индекса DAX</w:t>
      </w:r>
    </w:p>
    <w:p w:rsidR="00DD7C1F" w:rsidRPr="0016416C" w:rsidRDefault="002B0F43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вычислении DAX используются цены акций на электронной бирже XETRA. Вычисление индекса производится в рабочие дни биржи с 9:00 до 17:30 по Центрально-европейскому времени.</w:t>
      </w:r>
      <w:r w:rsidR="00DD7C1F"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2B0F43" w:rsidRPr="0016416C" w:rsidRDefault="00DD7C1F" w:rsidP="00943465">
      <w:pPr>
        <w:shd w:val="clear" w:color="auto" w:fill="FFFFFF"/>
        <w:spacing w:before="120"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 как индекс </w:t>
      </w:r>
      <w:r w:rsidRPr="001641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DAX</w:t>
      </w: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включает лишь 30 компаний, для более полного охвата Франкфуртской фондовой биржи было решено рассматривать также и индекс </w:t>
      </w:r>
      <w:r w:rsidRPr="001641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MDAX</w:t>
      </w:r>
      <w:r w:rsidRPr="001641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который включает еще 50 компаний, которые по размерам рыночной капитализации идут сразу после компаний из индекса DAX.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0"/>
        <w:gridCol w:w="2027"/>
        <w:gridCol w:w="1941"/>
        <w:gridCol w:w="1772"/>
        <w:gridCol w:w="1663"/>
      </w:tblGrid>
      <w:tr w:rsidR="007E0B27" w:rsidRPr="0016416C" w:rsidTr="007E0B27">
        <w:tc>
          <w:tcPr>
            <w:tcW w:w="20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Aareal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Bank AG</w:t>
            </w:r>
          </w:p>
        </w:tc>
        <w:tc>
          <w:tcPr>
            <w:tcW w:w="202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Airbus Group SE (former EADS)</w:t>
            </w:r>
          </w:p>
        </w:tc>
        <w:tc>
          <w:tcPr>
            <w:tcW w:w="1941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Aurubis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AG</w:t>
            </w:r>
          </w:p>
        </w:tc>
        <w:tc>
          <w:tcPr>
            <w:tcW w:w="17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Axel Springer</w:t>
            </w:r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Bilfinger</w:t>
            </w:r>
            <w:proofErr w:type="spellEnd"/>
          </w:p>
        </w:tc>
      </w:tr>
      <w:tr w:rsidR="007E0B27" w:rsidRPr="0016416C" w:rsidTr="007E0B27">
        <w:tc>
          <w:tcPr>
            <w:tcW w:w="20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Brenntag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AG</w:t>
            </w:r>
          </w:p>
        </w:tc>
        <w:tc>
          <w:tcPr>
            <w:tcW w:w="202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Celesio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AG</w:t>
            </w:r>
          </w:p>
        </w:tc>
        <w:tc>
          <w:tcPr>
            <w:tcW w:w="1941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CTS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Eventim</w:t>
            </w:r>
            <w:proofErr w:type="spellEnd"/>
          </w:p>
        </w:tc>
        <w:tc>
          <w:tcPr>
            <w:tcW w:w="17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Deutsche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Annington</w:t>
            </w:r>
            <w:proofErr w:type="spellEnd"/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Deutsche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EuroShop</w:t>
            </w:r>
            <w:proofErr w:type="spellEnd"/>
          </w:p>
        </w:tc>
      </w:tr>
      <w:tr w:rsidR="007E0B27" w:rsidRPr="0016416C" w:rsidTr="007E0B27">
        <w:tc>
          <w:tcPr>
            <w:tcW w:w="20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Deutsche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Wohnen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AG</w:t>
            </w:r>
          </w:p>
        </w:tc>
        <w:tc>
          <w:tcPr>
            <w:tcW w:w="2027" w:type="dxa"/>
          </w:tcPr>
          <w:p w:rsidR="0077445D" w:rsidRPr="0016416C" w:rsidRDefault="0077445D" w:rsidP="00664838">
            <w:pPr>
              <w:shd w:val="clear" w:color="auto" w:fill="FFFFFF"/>
              <w:spacing w:before="120"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DMG Mori Seiki AG</w:t>
            </w:r>
          </w:p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(former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Gildemeister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41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Dürr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AG</w:t>
            </w:r>
          </w:p>
        </w:tc>
        <w:tc>
          <w:tcPr>
            <w:tcW w:w="17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ElringKlinger</w:t>
            </w:r>
            <w:proofErr w:type="spellEnd"/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Evonik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Industries</w:t>
            </w:r>
          </w:p>
        </w:tc>
      </w:tr>
      <w:tr w:rsidR="007E0B27" w:rsidRPr="0016416C" w:rsidTr="007E0B27">
        <w:tc>
          <w:tcPr>
            <w:tcW w:w="20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Fielmann</w:t>
            </w:r>
            <w:proofErr w:type="spellEnd"/>
          </w:p>
        </w:tc>
        <w:tc>
          <w:tcPr>
            <w:tcW w:w="202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Fraport</w:t>
            </w:r>
            <w:proofErr w:type="spellEnd"/>
          </w:p>
        </w:tc>
        <w:tc>
          <w:tcPr>
            <w:tcW w:w="1941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Fuchs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Petrolub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SE</w:t>
            </w:r>
          </w:p>
        </w:tc>
        <w:tc>
          <w:tcPr>
            <w:tcW w:w="17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GAGFAH</w:t>
            </w:r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GEA Group</w:t>
            </w:r>
          </w:p>
        </w:tc>
      </w:tr>
      <w:tr w:rsidR="007E0B27" w:rsidRPr="0016416C" w:rsidTr="007E0B27">
        <w:tc>
          <w:tcPr>
            <w:tcW w:w="20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Gerresheimer</w:t>
            </w:r>
            <w:proofErr w:type="spellEnd"/>
          </w:p>
        </w:tc>
        <w:tc>
          <w:tcPr>
            <w:tcW w:w="202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Hannover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Rück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SE</w:t>
            </w:r>
          </w:p>
        </w:tc>
        <w:tc>
          <w:tcPr>
            <w:tcW w:w="1941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Hochtief</w:t>
            </w:r>
            <w:proofErr w:type="spellEnd"/>
          </w:p>
        </w:tc>
        <w:tc>
          <w:tcPr>
            <w:tcW w:w="17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Hugo Boss</w:t>
            </w:r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Jungheinrich</w:t>
            </w:r>
            <w:proofErr w:type="spellEnd"/>
          </w:p>
        </w:tc>
      </w:tr>
      <w:tr w:rsidR="007E0B27" w:rsidRPr="0016416C" w:rsidTr="007E0B27">
        <w:tc>
          <w:tcPr>
            <w:tcW w:w="20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Kabel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Deutschland</w:t>
            </w:r>
          </w:p>
        </w:tc>
        <w:tc>
          <w:tcPr>
            <w:tcW w:w="202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KION Group</w:t>
            </w:r>
          </w:p>
        </w:tc>
        <w:tc>
          <w:tcPr>
            <w:tcW w:w="1941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Klöckner</w:t>
            </w:r>
            <w:proofErr w:type="spellEnd"/>
          </w:p>
        </w:tc>
        <w:tc>
          <w:tcPr>
            <w:tcW w:w="1710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Krones</w:t>
            </w:r>
            <w:proofErr w:type="spellEnd"/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KUKA</w:t>
            </w: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</w:r>
          </w:p>
        </w:tc>
      </w:tr>
      <w:tr w:rsidR="0077445D" w:rsidRPr="0016416C" w:rsidTr="007E0B27">
        <w:tc>
          <w:tcPr>
            <w:tcW w:w="20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LEG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Immobilien</w:t>
            </w:r>
            <w:proofErr w:type="spellEnd"/>
          </w:p>
        </w:tc>
        <w:tc>
          <w:tcPr>
            <w:tcW w:w="202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Leoni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941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MAN SE</w:t>
            </w:r>
          </w:p>
        </w:tc>
        <w:tc>
          <w:tcPr>
            <w:tcW w:w="17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Metro AG</w:t>
            </w:r>
          </w:p>
        </w:tc>
        <w:tc>
          <w:tcPr>
            <w:tcW w:w="165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MTU</w:t>
            </w:r>
          </w:p>
        </w:tc>
      </w:tr>
      <w:tr w:rsidR="0077445D" w:rsidRPr="0016416C" w:rsidTr="007E0B27">
        <w:tc>
          <w:tcPr>
            <w:tcW w:w="20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Norma Group</w:t>
            </w:r>
          </w:p>
        </w:tc>
        <w:tc>
          <w:tcPr>
            <w:tcW w:w="202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Osram</w:t>
            </w:r>
            <w:proofErr w:type="spellEnd"/>
          </w:p>
        </w:tc>
        <w:tc>
          <w:tcPr>
            <w:tcW w:w="1941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ProSiebenSat.1 Media SE</w:t>
            </w:r>
          </w:p>
        </w:tc>
        <w:tc>
          <w:tcPr>
            <w:tcW w:w="17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Rheinmetall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65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Rhön-Klinikum</w:t>
            </w:r>
            <w:proofErr w:type="spellEnd"/>
          </w:p>
        </w:tc>
      </w:tr>
      <w:tr w:rsidR="0077445D" w:rsidRPr="0016416C" w:rsidTr="007E0B27">
        <w:tc>
          <w:tcPr>
            <w:tcW w:w="20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RTL Group</w:t>
            </w:r>
          </w:p>
        </w:tc>
        <w:tc>
          <w:tcPr>
            <w:tcW w:w="202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Salzgitter AG</w:t>
            </w: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941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Stada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Arzneimittel</w:t>
            </w:r>
            <w:proofErr w:type="spellEnd"/>
          </w:p>
        </w:tc>
        <w:tc>
          <w:tcPr>
            <w:tcW w:w="17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Symrise</w:t>
            </w:r>
            <w:proofErr w:type="spellEnd"/>
          </w:p>
        </w:tc>
        <w:tc>
          <w:tcPr>
            <w:tcW w:w="165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Südzucker</w:t>
            </w:r>
            <w:proofErr w:type="spellEnd"/>
          </w:p>
        </w:tc>
      </w:tr>
      <w:tr w:rsidR="0077445D" w:rsidRPr="0016416C" w:rsidTr="007E0B27">
        <w:tc>
          <w:tcPr>
            <w:tcW w:w="2010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TAG</w:t>
            </w:r>
          </w:p>
        </w:tc>
        <w:tc>
          <w:tcPr>
            <w:tcW w:w="2027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Talanx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AG</w:t>
            </w:r>
          </w:p>
        </w:tc>
        <w:tc>
          <w:tcPr>
            <w:tcW w:w="1941" w:type="dxa"/>
          </w:tcPr>
          <w:p w:rsidR="0077445D" w:rsidRPr="0016416C" w:rsidRDefault="007E0B27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Wacker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Chemie</w:t>
            </w:r>
            <w:proofErr w:type="spellEnd"/>
          </w:p>
        </w:tc>
        <w:tc>
          <w:tcPr>
            <w:tcW w:w="1710" w:type="dxa"/>
          </w:tcPr>
          <w:p w:rsidR="007E0B27" w:rsidRPr="0016416C" w:rsidRDefault="007E0B27" w:rsidP="00664838">
            <w:pPr>
              <w:shd w:val="clear" w:color="auto" w:fill="FFFFFF"/>
              <w:spacing w:before="120"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</w:rPr>
              <w:t>Wincor</w:t>
            </w:r>
            <w:proofErr w:type="spellEnd"/>
            <w:r w:rsidRPr="001641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6416C">
              <w:rPr>
                <w:rFonts w:ascii="Times New Roman" w:hAnsi="Times New Roman" w:cs="Times New Roman"/>
                <w:bCs/>
                <w:sz w:val="28"/>
                <w:szCs w:val="28"/>
              </w:rPr>
              <w:t>Nixdorf</w:t>
            </w:r>
            <w:proofErr w:type="spellEnd"/>
          </w:p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7" w:type="dxa"/>
          </w:tcPr>
          <w:p w:rsidR="0077445D" w:rsidRPr="0016416C" w:rsidRDefault="0077445D" w:rsidP="00664838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F7B82" w:rsidRPr="0016416C" w:rsidRDefault="002F7B82" w:rsidP="006648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416C">
        <w:rPr>
          <w:rFonts w:ascii="Times New Roman" w:hAnsi="Times New Roman" w:cs="Times New Roman"/>
          <w:sz w:val="28"/>
          <w:szCs w:val="28"/>
        </w:rPr>
        <w:t>Таблица 3.Состав индекса MDAX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 xml:space="preserve">2.4 Построение графа рынка. 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 данной главе будут освещены преимущественно теоретические вопросы построения модели рынка с использованием рыночных графов, а также будут рассмотрены его основные характеристики, необходимые для анализа ситуации на фондовом рынке.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Пусть G = (V, E) - произвольный неориентированный граф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V = {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>, N} – множество вершин этого графа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 E </w:t>
      </w:r>
      <w:r w:rsidRPr="0016416C">
        <w:rPr>
          <w:rFonts w:ascii="Cambria Math" w:hAnsi="Cambria Math" w:cs="Cambria Math"/>
          <w:sz w:val="28"/>
          <w:szCs w:val="28"/>
        </w:rPr>
        <w:t>⊆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6416C">
        <w:rPr>
          <w:rFonts w:ascii="Times New Roman" w:hAnsi="Times New Roman" w:cs="Times New Roman"/>
          <w:sz w:val="28"/>
          <w:szCs w:val="28"/>
        </w:rPr>
        <w:t xml:space="preserve"> × </w:t>
      </w:r>
      <w:proofErr w:type="gramStart"/>
      <w:r w:rsidRPr="00164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6416C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множество его ребер.</w:t>
      </w:r>
    </w:p>
    <w:p w:rsidR="007E0B27" w:rsidRPr="0016416C" w:rsidRDefault="007E0B27" w:rsidP="00903D3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Важной характеристикой графа является плотность ребер. Она высчитывается путем деления общего числа ребер(Е) в графе на число всех возможных ребер. </w:t>
      </w:r>
    </w:p>
    <w:p w:rsidR="007E0B27" w:rsidRPr="0016416C" w:rsidRDefault="007132D0" w:rsidP="00903D3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/2</m:t>
              </m:r>
            </m:den>
          </m:f>
        </m:oMath>
      </m:oMathPara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 количество вершин в графе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416C">
        <w:rPr>
          <w:rFonts w:ascii="Times New Roman" w:hAnsi="Times New Roman" w:cs="Times New Roman"/>
          <w:sz w:val="28"/>
          <w:szCs w:val="28"/>
        </w:rPr>
        <w:t xml:space="preserve">. Очевидно, что плотность ребер графа может варьироваться в интервале от 0 до 1. Таким образом, граф, все </w:t>
      </w:r>
      <w:r w:rsidRPr="0016416C">
        <w:rPr>
          <w:rFonts w:ascii="Times New Roman" w:hAnsi="Times New Roman" w:cs="Times New Roman"/>
          <w:sz w:val="28"/>
          <w:szCs w:val="28"/>
        </w:rPr>
        <w:lastRenderedPageBreak/>
        <w:t>вершины которого изолированы, будет иметь плотность равную 0, а полный граф – плотность 1.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Если две различные вершины u и v графа соединены ребром, то они называются смежными. 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Все попарно несмежные вершины графа составляют независимое множество. Максимальным независимым множеством называется то множество, которое содержит наибольшее число вершин, а это число в свою очередь называется числом независимости графа и имеет обозначение α(G).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Кликой графа называется такое множество вершин этого графа, в котором любые две вершины смежные. Максимальной называется та клика, которая содержит наибольшее число вершин, это число в свою очередь называется 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кликовым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числом графа и имеет обозначение ω(G). 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Для построения графа рынка используются следующие математические формулы. Доходность </w:t>
      </w:r>
      <w:proofErr w:type="spellStart"/>
      <w:r w:rsidRPr="001641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– той акции за день находится так</w:t>
      </w:r>
      <w:r w:rsidR="002F7B82" w:rsidRPr="0016416C">
        <w:rPr>
          <w:rFonts w:ascii="Times New Roman" w:hAnsi="Times New Roman" w:cs="Times New Roman"/>
          <w:sz w:val="28"/>
          <w:szCs w:val="28"/>
        </w:rPr>
        <w:t>(1)</w:t>
      </w:r>
      <w:r w:rsidRPr="0016416C">
        <w:rPr>
          <w:rFonts w:ascii="Times New Roman" w:hAnsi="Times New Roman" w:cs="Times New Roman"/>
          <w:sz w:val="28"/>
          <w:szCs w:val="28"/>
        </w:rPr>
        <w:t>:</w:t>
      </w:r>
    </w:p>
    <w:p w:rsidR="002F7B82" w:rsidRPr="0016416C" w:rsidRDefault="007132D0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t-1</m:t>
                        </m:r>
                      </m:e>
                    </m:d>
                  </m:den>
                </m:f>
              </m:e>
            </m:d>
          </m:e>
        </m:func>
      </m:oMath>
      <w:r w:rsidR="007E0B27" w:rsidRPr="0016416C">
        <w:rPr>
          <w:rFonts w:ascii="Times New Roman" w:hAnsi="Times New Roman" w:cs="Times New Roman"/>
          <w:sz w:val="28"/>
          <w:szCs w:val="28"/>
        </w:rPr>
        <w:t>,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16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16416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16416C">
        <w:rPr>
          <w:rFonts w:ascii="Times New Roman" w:hAnsi="Times New Roman" w:cs="Times New Roman"/>
          <w:sz w:val="28"/>
          <w:szCs w:val="28"/>
        </w:rPr>
        <w:t xml:space="preserve"> цена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16416C">
        <w:rPr>
          <w:rFonts w:ascii="Times New Roman" w:eastAsiaTheme="minorEastAsia" w:hAnsi="Times New Roman" w:cs="Times New Roman"/>
          <w:sz w:val="28"/>
          <w:szCs w:val="28"/>
        </w:rPr>
        <w:t xml:space="preserve"> – той акции</w:t>
      </w:r>
      <w:r w:rsidRPr="0016416C">
        <w:rPr>
          <w:rFonts w:ascii="Times New Roman" w:hAnsi="Times New Roman" w:cs="Times New Roman"/>
          <w:sz w:val="28"/>
          <w:szCs w:val="28"/>
        </w:rPr>
        <w:t xml:space="preserve"> в день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16416C">
        <w:rPr>
          <w:rFonts w:ascii="Times New Roman" w:hAnsi="Times New Roman" w:cs="Times New Roman"/>
          <w:sz w:val="28"/>
          <w:szCs w:val="28"/>
        </w:rPr>
        <w:t>. (1)</w:t>
      </w:r>
    </w:p>
    <w:p w:rsidR="002F7B82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Формула средней доходности </w:t>
      </w:r>
      <w:proofErr w:type="spellStart"/>
      <w:r w:rsidRPr="001641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– той акции за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416C">
        <w:rPr>
          <w:rFonts w:ascii="Times New Roman" w:hAnsi="Times New Roman" w:cs="Times New Roman"/>
          <w:sz w:val="28"/>
          <w:szCs w:val="28"/>
        </w:rPr>
        <w:t xml:space="preserve"> дней: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nary>
      </m:oMath>
      <w:r w:rsidRPr="0016416C">
        <w:rPr>
          <w:rFonts w:ascii="Times New Roman" w:hAnsi="Times New Roman" w:cs="Times New Roman"/>
          <w:sz w:val="28"/>
          <w:szCs w:val="28"/>
        </w:rPr>
        <w:t>.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Формула для нахождения дисперсии доходности </w:t>
      </w:r>
      <w:proofErr w:type="spellStart"/>
      <w:r w:rsidRPr="001641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– той акции за n дней: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var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 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-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2F7B82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Коэффициент корреляции для акций i и </w:t>
      </w:r>
      <w:r w:rsidRPr="001641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416C">
        <w:rPr>
          <w:rFonts w:ascii="Times New Roman" w:hAnsi="Times New Roman" w:cs="Times New Roman"/>
          <w:sz w:val="28"/>
          <w:szCs w:val="28"/>
        </w:rPr>
        <w:t xml:space="preserve"> высчитывается следующим образом</w:t>
      </w:r>
      <w:r w:rsidR="002F7B82" w:rsidRPr="0016416C">
        <w:rPr>
          <w:rFonts w:ascii="Times New Roman" w:hAnsi="Times New Roman" w:cs="Times New Roman"/>
          <w:sz w:val="28"/>
          <w:szCs w:val="28"/>
        </w:rPr>
        <w:t>(2)</w:t>
      </w:r>
      <w:r w:rsidRPr="0016416C">
        <w:rPr>
          <w:rFonts w:ascii="Times New Roman" w:hAnsi="Times New Roman" w:cs="Times New Roman"/>
          <w:sz w:val="28"/>
          <w:szCs w:val="28"/>
        </w:rPr>
        <w:t>: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rad>
          </m:den>
        </m:f>
      </m:oMath>
      <w:r w:rsidRPr="0016416C">
        <w:rPr>
          <w:rFonts w:ascii="Times New Roman" w:hAnsi="Times New Roman" w:cs="Times New Roman"/>
          <w:sz w:val="28"/>
          <w:szCs w:val="28"/>
        </w:rPr>
        <w:tab/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Чтобы на практике построить граф рынка требуется информация о ценах группы анализируемых ценных бумаг за определенный период. Затем по формуле (1) с использованием этих данных находятся доходности. После для каждой пары акций по формуле (2) высчитываются корреляционные коэффициенты, которые заносятся в матрицу корреляций. Эта матрица в дальнейшем используется как для </w:t>
      </w:r>
      <w:r w:rsidRPr="0016416C">
        <w:rPr>
          <w:rFonts w:ascii="Times New Roman" w:hAnsi="Times New Roman" w:cs="Times New Roman"/>
          <w:sz w:val="28"/>
          <w:szCs w:val="28"/>
        </w:rPr>
        <w:lastRenderedPageBreak/>
        <w:t xml:space="preserve">построения графа рынка, так и для получения информации о структуре анализируемого рынка акций за выбранный период времени. Например, гистограмма элементов этой матрицы показывает, как часто встречаются различные коэффициенты корреляции при анализе выбранного набора акций. 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Перейдем непосредственно к схеме построения модели графа рынка. Множеством вершин графа являются сами акции, которые торгуются на рынке. Из интервала (-1,1) выбирается пороговое значение</w:t>
      </w:r>
      <w:r w:rsidR="00102682" w:rsidRPr="0016416C">
        <w:rPr>
          <w:rFonts w:ascii="Times New Roman" w:hAnsi="Times New Roman" w:cs="Times New Roman"/>
          <w:sz w:val="28"/>
          <w:szCs w:val="28"/>
        </w:rPr>
        <w:t xml:space="preserve"> θ</w:t>
      </w:r>
      <w:r w:rsidRPr="0016416C">
        <w:rPr>
          <w:rFonts w:ascii="Times New Roman" w:hAnsi="Times New Roman" w:cs="Times New Roman"/>
          <w:sz w:val="28"/>
          <w:szCs w:val="28"/>
        </w:rPr>
        <w:t>. Две вершины соединяются ребром, если соответствующие им акции имеют коэффициент корреляции, превышающий пороговое значение. Коэффициенты корреляции определяются по матрице корреляций, построенной ранее.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На следующем этапе выявляются клики, максимальные клики и независимые множества. Очевидно, что, проанализировав найденные клики, можно сделать выводы о будущем поведении акций на рынке. Например, если одна из ценных бумаг, входящих в клику, изменила свою ценность, то и изменения в ценах остальных ценных бумаг в этой клике будут иметь похожий характер.</w:t>
      </w:r>
    </w:p>
    <w:p w:rsidR="007E0B27" w:rsidRPr="0016416C" w:rsidRDefault="007E0B27" w:rsidP="00903D35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В свою очередь, независимое множество показывает какие акции не зависят от поведения других.</w:t>
      </w:r>
    </w:p>
    <w:p w:rsidR="000D7A10" w:rsidRPr="0016416C" w:rsidRDefault="000D7A1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3D00F1" w:rsidRPr="0016416C" w:rsidRDefault="003D00F1" w:rsidP="000D7A10">
      <w:pPr>
        <w:shd w:val="clear" w:color="auto" w:fill="FFFFFF"/>
        <w:spacing w:before="120" w:after="0" w:line="360" w:lineRule="auto"/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Глава </w:t>
      </w:r>
      <w:r w:rsidR="007E0B27" w:rsidRPr="0016416C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 w:rsidRPr="0016416C">
        <w:rPr>
          <w:rFonts w:ascii="Times New Roman" w:eastAsiaTheme="minorEastAsia" w:hAnsi="Times New Roman" w:cs="Times New Roman"/>
          <w:b/>
          <w:sz w:val="28"/>
          <w:szCs w:val="28"/>
        </w:rPr>
        <w:t>Анализ Лондонской и Франкфуртской фондовых бирж. Их сравнение.</w:t>
      </w:r>
    </w:p>
    <w:p w:rsidR="00CC7646" w:rsidRPr="0016416C" w:rsidRDefault="00FC5AF4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641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 xml:space="preserve">В настоящей работе приведены результаты анализа двух фондовых рынков за период с 1 января 2006 г. по 1 января 2016 г.; В качестве вершин графа взяты акции, </w:t>
      </w:r>
      <w:r w:rsidR="00CC7646" w:rsidRPr="0016416C">
        <w:rPr>
          <w:rFonts w:ascii="Times New Roman" w:hAnsi="Times New Roman" w:cs="Times New Roman"/>
          <w:sz w:val="28"/>
          <w:szCs w:val="28"/>
        </w:rPr>
        <w:t xml:space="preserve">торгующиеся на Франкфуртской и Лондонской бирже, входящие в индексы </w:t>
      </w:r>
      <w:r w:rsidR="00CC7646" w:rsidRPr="0016416C">
        <w:rPr>
          <w:rFonts w:ascii="Times New Roman" w:hAnsi="Times New Roman" w:cs="Times New Roman"/>
          <w:sz w:val="28"/>
          <w:szCs w:val="28"/>
          <w:lang w:val="en-US"/>
        </w:rPr>
        <w:t>DAX</w:t>
      </w:r>
      <w:r w:rsidR="00CC7646" w:rsidRPr="0016416C">
        <w:rPr>
          <w:rFonts w:ascii="Times New Roman" w:hAnsi="Times New Roman" w:cs="Times New Roman"/>
          <w:sz w:val="28"/>
          <w:szCs w:val="28"/>
        </w:rPr>
        <w:t xml:space="preserve">, </w:t>
      </w:r>
      <w:r w:rsidR="00CC7646" w:rsidRPr="0016416C">
        <w:rPr>
          <w:rFonts w:ascii="Times New Roman" w:hAnsi="Times New Roman" w:cs="Times New Roman"/>
          <w:sz w:val="28"/>
          <w:szCs w:val="28"/>
          <w:lang w:val="en-US"/>
        </w:rPr>
        <w:t>MDAX</w:t>
      </w:r>
      <w:r w:rsidR="00CC7646" w:rsidRPr="0016416C">
        <w:rPr>
          <w:rFonts w:ascii="Times New Roman" w:hAnsi="Times New Roman" w:cs="Times New Roman"/>
          <w:sz w:val="28"/>
          <w:szCs w:val="28"/>
        </w:rPr>
        <w:t xml:space="preserve">, </w:t>
      </w:r>
      <w:r w:rsidR="00CC7646" w:rsidRPr="0016416C">
        <w:rPr>
          <w:rFonts w:ascii="Times New Roman" w:hAnsi="Times New Roman" w:cs="Times New Roman"/>
          <w:sz w:val="28"/>
          <w:szCs w:val="28"/>
          <w:lang w:val="en-US"/>
        </w:rPr>
        <w:t>FTSE</w:t>
      </w:r>
      <w:r w:rsidR="00CC7646" w:rsidRPr="0016416C">
        <w:rPr>
          <w:rFonts w:ascii="Times New Roman" w:hAnsi="Times New Roman" w:cs="Times New Roman"/>
          <w:sz w:val="28"/>
          <w:szCs w:val="28"/>
        </w:rPr>
        <w:t xml:space="preserve"> 100. </w:t>
      </w:r>
      <w:r w:rsidRPr="0016416C">
        <w:rPr>
          <w:rFonts w:ascii="Times New Roman" w:hAnsi="Times New Roman" w:cs="Times New Roman"/>
          <w:sz w:val="28"/>
          <w:szCs w:val="28"/>
        </w:rPr>
        <w:t xml:space="preserve">Графы для обеих бирж строились раздельно. </w:t>
      </w:r>
      <w:r w:rsidRPr="0016416C"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использовалась открытая информация о торгах тех фирм, которые входят в вышеуказанные индексы, полученная с сайта </w:t>
      </w:r>
      <w:r w:rsidRPr="001641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finance.yahoo.com. </w:t>
      </w:r>
      <w:r w:rsidR="00CC7646" w:rsidRPr="001641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За цену акции в конкретный день была взята ее цена в конце этого дня торгов. </w:t>
      </w:r>
    </w:p>
    <w:p w:rsidR="00FC5AF4" w:rsidRPr="0016416C" w:rsidRDefault="00FC5AF4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К анализу допускались только те фирмы, торги акциями которых проводились в не менее чем 90% всех</w:t>
      </w:r>
      <w:r w:rsidR="00CC7646" w:rsidRPr="0016416C">
        <w:rPr>
          <w:rFonts w:ascii="Times New Roman" w:hAnsi="Times New Roman" w:cs="Times New Roman"/>
          <w:sz w:val="28"/>
          <w:szCs w:val="28"/>
        </w:rPr>
        <w:t xml:space="preserve"> рабочих</w:t>
      </w:r>
      <w:r w:rsidRPr="0016416C">
        <w:rPr>
          <w:rFonts w:ascii="Times New Roman" w:hAnsi="Times New Roman" w:cs="Times New Roman"/>
          <w:sz w:val="28"/>
          <w:szCs w:val="28"/>
        </w:rPr>
        <w:t xml:space="preserve"> дней за выбранное десятилетие. Если в конкретный день торги не проводились, то считалось, что цена акции остается неизменной. В результате в качестве модельных данных для создания графа рынка б</w:t>
      </w:r>
      <w:r w:rsidR="00CC7646" w:rsidRPr="0016416C">
        <w:rPr>
          <w:rFonts w:ascii="Times New Roman" w:hAnsi="Times New Roman" w:cs="Times New Roman"/>
          <w:sz w:val="28"/>
          <w:szCs w:val="28"/>
        </w:rPr>
        <w:t>ыли использованы котировки 88 акций эмитентов для Лондонской фондовой биржи</w:t>
      </w:r>
      <w:r w:rsidRPr="0016416C">
        <w:rPr>
          <w:rFonts w:ascii="Times New Roman" w:hAnsi="Times New Roman" w:cs="Times New Roman"/>
          <w:sz w:val="28"/>
          <w:szCs w:val="28"/>
        </w:rPr>
        <w:t>,</w:t>
      </w:r>
      <w:r w:rsidR="00CC7646" w:rsidRPr="0016416C">
        <w:rPr>
          <w:rFonts w:ascii="Times New Roman" w:hAnsi="Times New Roman" w:cs="Times New Roman"/>
          <w:sz w:val="28"/>
          <w:szCs w:val="28"/>
        </w:rPr>
        <w:t xml:space="preserve"> 59 акций для Франкфуртской, </w:t>
      </w:r>
      <w:r w:rsidRPr="0016416C">
        <w:rPr>
          <w:rFonts w:ascii="Times New Roman" w:hAnsi="Times New Roman" w:cs="Times New Roman"/>
          <w:sz w:val="28"/>
          <w:szCs w:val="28"/>
        </w:rPr>
        <w:t xml:space="preserve">принадлежащих к различным отраслям экономики. </w:t>
      </w:r>
    </w:p>
    <w:p w:rsidR="00CC7646" w:rsidRPr="0016416C" w:rsidRDefault="00BF0107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Н</w:t>
      </w:r>
      <w:r w:rsidR="00CC7646" w:rsidRPr="0016416C">
        <w:rPr>
          <w:rFonts w:ascii="Times New Roman" w:hAnsi="Times New Roman" w:cs="Times New Roman"/>
          <w:sz w:val="28"/>
          <w:szCs w:val="28"/>
        </w:rPr>
        <w:t>а данном этапе отбора видно</w:t>
      </w:r>
      <w:r w:rsidR="000319D5" w:rsidRPr="0016416C">
        <w:rPr>
          <w:rFonts w:ascii="Times New Roman" w:hAnsi="Times New Roman" w:cs="Times New Roman"/>
          <w:sz w:val="28"/>
          <w:szCs w:val="28"/>
        </w:rPr>
        <w:t xml:space="preserve">, что </w:t>
      </w:r>
      <w:r w:rsidR="00C022E4" w:rsidRPr="0016416C">
        <w:rPr>
          <w:rFonts w:ascii="Times New Roman" w:hAnsi="Times New Roman" w:cs="Times New Roman"/>
          <w:sz w:val="28"/>
          <w:szCs w:val="28"/>
        </w:rPr>
        <w:t>для Лондонской фондовой биржи 88% акций преодолели порог (торговались в более 90% дней), а д</w:t>
      </w:r>
      <w:r w:rsidR="00997654" w:rsidRPr="0016416C">
        <w:rPr>
          <w:rFonts w:ascii="Times New Roman" w:hAnsi="Times New Roman" w:cs="Times New Roman"/>
          <w:sz w:val="28"/>
          <w:szCs w:val="28"/>
        </w:rPr>
        <w:t>ля Франкфуртской эта часть</w:t>
      </w:r>
      <w:r w:rsidR="00C022E4" w:rsidRPr="0016416C">
        <w:rPr>
          <w:rFonts w:ascii="Times New Roman" w:hAnsi="Times New Roman" w:cs="Times New Roman"/>
          <w:sz w:val="28"/>
          <w:szCs w:val="28"/>
        </w:rPr>
        <w:t xml:space="preserve"> составляет лишь 74%. Более четверти акций крупнейших немецких компаний не торговались в более чем 10% дней за последнее десятилетие. Однако, в большинстве случаев э</w:t>
      </w:r>
      <w:r w:rsidR="00997654" w:rsidRPr="0016416C">
        <w:rPr>
          <w:rFonts w:ascii="Times New Roman" w:hAnsi="Times New Roman" w:cs="Times New Roman"/>
          <w:sz w:val="28"/>
          <w:szCs w:val="28"/>
        </w:rPr>
        <w:t xml:space="preserve">то обусловлено тем, что компании, торговавшиеся меньше лимита, вышли на биржевые торги позже 2006 года. </w:t>
      </w:r>
    </w:p>
    <w:p w:rsidR="00997654" w:rsidRPr="0016416C" w:rsidRDefault="00102682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Начать анализ стоит со сравнения плотностей </w:t>
      </w:r>
      <w:r w:rsidR="00647B20" w:rsidRPr="0016416C">
        <w:rPr>
          <w:rFonts w:ascii="Times New Roman" w:hAnsi="Times New Roman" w:cs="Times New Roman"/>
          <w:sz w:val="28"/>
          <w:szCs w:val="28"/>
        </w:rPr>
        <w:t>распределения коэффициентов корреляции</w:t>
      </w:r>
      <w:r w:rsidR="00997654" w:rsidRPr="0016416C">
        <w:rPr>
          <w:rFonts w:ascii="Times New Roman" w:hAnsi="Times New Roman" w:cs="Times New Roman"/>
          <w:sz w:val="28"/>
          <w:szCs w:val="28"/>
        </w:rPr>
        <w:t xml:space="preserve"> для </w:t>
      </w:r>
      <w:r w:rsidR="00647B20" w:rsidRPr="0016416C">
        <w:rPr>
          <w:rFonts w:ascii="Times New Roman" w:hAnsi="Times New Roman" w:cs="Times New Roman"/>
          <w:sz w:val="28"/>
          <w:szCs w:val="28"/>
        </w:rPr>
        <w:t xml:space="preserve">английского и немецкого рынков за анализируемые 10 лет </w:t>
      </w:r>
      <w:r w:rsidRPr="0016416C">
        <w:rPr>
          <w:rFonts w:ascii="Times New Roman" w:hAnsi="Times New Roman" w:cs="Times New Roman"/>
          <w:sz w:val="28"/>
          <w:szCs w:val="28"/>
        </w:rPr>
        <w:t>(</w:t>
      </w:r>
      <w:r w:rsidR="00647B20" w:rsidRPr="0016416C">
        <w:rPr>
          <w:rFonts w:ascii="Times New Roman" w:hAnsi="Times New Roman" w:cs="Times New Roman"/>
          <w:sz w:val="28"/>
          <w:szCs w:val="28"/>
        </w:rPr>
        <w:t>приведены на рисунках</w:t>
      </w:r>
      <w:r w:rsidR="002F7B82" w:rsidRPr="0016416C">
        <w:rPr>
          <w:rFonts w:ascii="Times New Roman" w:hAnsi="Times New Roman" w:cs="Times New Roman"/>
          <w:sz w:val="28"/>
          <w:szCs w:val="28"/>
        </w:rPr>
        <w:t xml:space="preserve"> 3,4</w:t>
      </w:r>
      <w:r w:rsidRPr="0016416C">
        <w:rPr>
          <w:rFonts w:ascii="Times New Roman" w:hAnsi="Times New Roman" w:cs="Times New Roman"/>
          <w:sz w:val="28"/>
          <w:szCs w:val="28"/>
        </w:rPr>
        <w:t>)</w:t>
      </w:r>
      <w:r w:rsidR="00997654" w:rsidRPr="0016416C">
        <w:rPr>
          <w:rFonts w:ascii="Times New Roman" w:hAnsi="Times New Roman" w:cs="Times New Roman"/>
          <w:sz w:val="28"/>
          <w:szCs w:val="28"/>
        </w:rPr>
        <w:t>.</w:t>
      </w:r>
      <w:r w:rsidR="00647B20" w:rsidRPr="0016416C">
        <w:rPr>
          <w:rFonts w:ascii="Times New Roman" w:hAnsi="Times New Roman" w:cs="Times New Roman"/>
          <w:sz w:val="28"/>
          <w:szCs w:val="28"/>
        </w:rPr>
        <w:t xml:space="preserve"> В данном случае под плотностью понимается гистограмма, построенная на основе вычисления значений 88*44=3872 коэффициентов </w:t>
      </w:r>
      <w:proofErr w:type="gramStart"/>
      <w:r w:rsidR="00647B20" w:rsidRPr="0016416C">
        <w:rPr>
          <w:rFonts w:ascii="Times New Roman" w:hAnsi="Times New Roman" w:cs="Times New Roman"/>
          <w:sz w:val="28"/>
          <w:szCs w:val="28"/>
        </w:rPr>
        <w:t>корреляций(</w:t>
      </w:r>
      <w:proofErr w:type="gramEnd"/>
      <w:r w:rsidR="00647B20" w:rsidRPr="0016416C">
        <w:rPr>
          <w:rFonts w:ascii="Times New Roman" w:hAnsi="Times New Roman" w:cs="Times New Roman"/>
          <w:sz w:val="28"/>
          <w:szCs w:val="28"/>
        </w:rPr>
        <w:t>для Лондонской биржи) и 59*29=1711 коэффициентов(для Франкфуртской)</w:t>
      </w:r>
      <w:r w:rsidR="00997654" w:rsidRPr="0016416C">
        <w:rPr>
          <w:rFonts w:ascii="Times New Roman" w:hAnsi="Times New Roman" w:cs="Times New Roman"/>
          <w:sz w:val="28"/>
          <w:szCs w:val="28"/>
        </w:rPr>
        <w:t>.</w:t>
      </w:r>
    </w:p>
    <w:p w:rsidR="00BF018D" w:rsidRPr="0016416C" w:rsidRDefault="0016416C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C32056" wp14:editId="58BC3957">
                <wp:simplePos x="0" y="0"/>
                <wp:positionH relativeFrom="margin">
                  <wp:posOffset>561975</wp:posOffset>
                </wp:positionH>
                <wp:positionV relativeFrom="paragraph">
                  <wp:posOffset>2394585</wp:posOffset>
                </wp:positionV>
                <wp:extent cx="2360930" cy="956945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>
                            <w:r>
                              <w:t>Рисунок 3.Плотность распределения коэффициентов корреляции для Лондонской биржи (период наблюдений – десять лет)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320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4.25pt;margin-top:188.55pt;width:185.9pt;height:75.3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">
                <v:textbox>
                  <w:txbxContent>
                    <w:p w:rsidR="00BA3827" w:rsidRDefault="00BA3827">
                      <w:r>
                        <w:t>Рисунок 3.Плотность распределения коэффициентов корреляции для Лондонской биржи (период наблюдений – десять лет)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18D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09DFD" wp14:editId="74E9E0FA">
            <wp:extent cx="2762930" cy="218248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723" cy="22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18D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F018D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8D081" wp14:editId="0F13BE1B">
            <wp:extent cx="2819135" cy="219973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5251" cy="22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34" w:rsidRPr="0016416C" w:rsidRDefault="0016416C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70D21A" wp14:editId="1A38DD14">
                <wp:simplePos x="0" y="0"/>
                <wp:positionH relativeFrom="margin">
                  <wp:posOffset>3358515</wp:posOffset>
                </wp:positionH>
                <wp:positionV relativeFrom="paragraph">
                  <wp:posOffset>83185</wp:posOffset>
                </wp:positionV>
                <wp:extent cx="2360930" cy="956945"/>
                <wp:effectExtent l="0" t="0" r="24130" b="1460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 w:rsidP="00BF018D">
                            <w:r>
                              <w:t>Рисунок 4.Плотность распределения коэффициентов корреляции для Франкфуртской биржи (период наблюдений – десять лет)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21A" id="_x0000_s1027" type="#_x0000_t202" style="position:absolute;left:0;text-align:left;margin-left:264.45pt;margin-top:6.55pt;width:185.9pt;height:75.3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">
                <v:textbox>
                  <w:txbxContent>
                    <w:p w:rsidR="00BA3827" w:rsidRDefault="00BA3827" w:rsidP="00BF018D">
                      <w:r>
                        <w:t>Рисунок 4.Плотность распределения коэффициентов корреляции для Франкфуртской биржи (период наблюдений – десять лет)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4E34" w:rsidRPr="0016416C" w:rsidRDefault="00A34E34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34E34" w:rsidRPr="0016416C" w:rsidRDefault="00A34E34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34E34" w:rsidRPr="0016416C" w:rsidRDefault="00A34E34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На обоих графиках по оси абсцисс откладываются значения коэффициентов корреляции, а по оси ординат – значения плотности распределения этих коэффициентов. Об</w:t>
      </w:r>
      <w:r w:rsidR="005474BA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а графика несимметричны. Значения отрицательной корреляции встречаются крайне редко(менее 1%). Однако для Лондонской биржи можно выделить унимодальность (один ярко выраженный локальный максимум), а для Франкфуртской – нет.</w:t>
      </w:r>
    </w:p>
    <w:p w:rsidR="00235025" w:rsidRPr="0016416C" w:rsidRDefault="00235025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Среднее арифметическое значение коэффициентов корреляции:0.3537 и 0.3155</w:t>
      </w:r>
      <w:r w:rsidR="00B94F29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Франкфуртской и Лондонской бирж соответственно.</w:t>
      </w:r>
    </w:p>
    <w:p w:rsidR="00235025" w:rsidRPr="0016416C" w:rsidRDefault="00235025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Среднеквадратическое отклонение:0.1276 и 0.1194</w:t>
      </w:r>
      <w:r w:rsidR="00B94F29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Франкфуртской и Лондонской бирж соответственно.</w:t>
      </w:r>
    </w:p>
    <w:p w:rsidR="00B94F29" w:rsidRPr="0016416C" w:rsidRDefault="00B94F29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Можно сделать вывод, что цены акций немецких компаний в среднем имеют более высокую</w:t>
      </w:r>
      <w:r w:rsidR="00BF010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попарную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корреляцию, чем цены акций английских</w:t>
      </w:r>
      <w:r w:rsidR="00BF010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компаний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02682" w:rsidRPr="0016416C" w:rsidRDefault="00102682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Следующий этап анализа это сравнение плотности ребер графов при различных пороговых значениях </w:t>
      </w:r>
      <w:r w:rsidRPr="0016416C">
        <w:rPr>
          <w:rFonts w:ascii="Times New Roman" w:hAnsi="Times New Roman" w:cs="Times New Roman"/>
          <w:sz w:val="28"/>
          <w:szCs w:val="28"/>
        </w:rPr>
        <w:t>θ</w:t>
      </w:r>
      <w:r w:rsidR="00FA3041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Cambria Math" w:hAnsi="Cambria Math" w:cs="Cambria Math"/>
          <w:sz w:val="28"/>
          <w:szCs w:val="28"/>
        </w:rPr>
        <w:t>∈</w:t>
      </w:r>
      <w:r w:rsidR="00FA3041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[−1; 1].</w:t>
      </w:r>
    </w:p>
    <w:p w:rsidR="00102682" w:rsidRPr="0016416C" w:rsidRDefault="00102682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отрицательные значения корреляций на обеих биржах почти не встречались, то минимальное пороговое значение было решено взять 0.</w:t>
      </w:r>
    </w:p>
    <w:p w:rsidR="00C0655A" w:rsidRPr="0016416C" w:rsidRDefault="00102682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Приводится таблица</w:t>
      </w:r>
      <w:r w:rsidR="002F7B82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которой отражены плотности ребер обоих рыночных графов в зависимости от порогового значения </w:t>
      </w:r>
      <w:r w:rsidRPr="0016416C">
        <w:rPr>
          <w:rFonts w:ascii="Times New Roman" w:hAnsi="Times New Roman" w:cs="Times New Roman"/>
          <w:sz w:val="28"/>
          <w:szCs w:val="28"/>
        </w:rPr>
        <w:t>θ.</w:t>
      </w:r>
      <w:r w:rsidR="00C0655A" w:rsidRPr="001641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1"/>
        <w:gridCol w:w="3014"/>
        <w:gridCol w:w="3045"/>
      </w:tblGrid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Пороговое значение </w:t>
            </w:r>
            <w:r w:rsidRPr="0016416C"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3014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Плотность ребер графа Лондонской фондовой биржи</w:t>
            </w:r>
          </w:p>
        </w:tc>
        <w:tc>
          <w:tcPr>
            <w:tcW w:w="3045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Плотность ребер графа Франкфуртской фондовой биржи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014" w:type="dxa"/>
          </w:tcPr>
          <w:p w:rsidR="00C0655A" w:rsidRPr="0016416C" w:rsidRDefault="00C2068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0.9995</w:t>
            </w:r>
          </w:p>
        </w:tc>
        <w:tc>
          <w:tcPr>
            <w:tcW w:w="3045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0.9543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0.9947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0.8153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0.8790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0.5951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0.6166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0.2375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0.3781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0.0460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0.1438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0.0094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0.0240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0.0029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0.0023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3014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0.0007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C0655A" w:rsidRPr="0016416C" w:rsidTr="002F7B82">
        <w:tc>
          <w:tcPr>
            <w:tcW w:w="3001" w:type="dxa"/>
          </w:tcPr>
          <w:p w:rsidR="00C0655A" w:rsidRPr="0016416C" w:rsidRDefault="00C0655A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3014" w:type="dxa"/>
          </w:tcPr>
          <w:p w:rsidR="00C0655A" w:rsidRPr="0016416C" w:rsidRDefault="005D1953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045" w:type="dxa"/>
          </w:tcPr>
          <w:p w:rsidR="00C0655A" w:rsidRPr="0016416C" w:rsidRDefault="00FA304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2F7B82" w:rsidRPr="0016416C" w:rsidRDefault="002F7B8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Таблица 4. Плотности ребер обоих рыночных графов в зависимости от порогового значения </w:t>
      </w:r>
      <w:r w:rsidRPr="0016416C">
        <w:rPr>
          <w:rFonts w:ascii="Times New Roman" w:hAnsi="Times New Roman" w:cs="Times New Roman"/>
          <w:sz w:val="28"/>
          <w:szCs w:val="28"/>
        </w:rPr>
        <w:t>θ</w:t>
      </w:r>
      <w:r w:rsidR="00BF0107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="000E5775" w:rsidRPr="0016416C">
        <w:rPr>
          <w:rFonts w:ascii="Times New Roman" w:hAnsi="Times New Roman" w:cs="Times New Roman"/>
          <w:sz w:val="28"/>
          <w:szCs w:val="28"/>
        </w:rPr>
        <w:t>(наблюдения за 2006-2015 гг.)</w:t>
      </w:r>
    </w:p>
    <w:p w:rsidR="00102682" w:rsidRPr="0016416C" w:rsidRDefault="002F0A30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Видно, что при большинстве пороговых значений плотность ребер графа Франкфуртской фондовой биржи больше плотности ребер графа Лондонской биржи. Более того, при пороговых значениях 0.4-0.6 эта разница очень значительная. Это связано</w:t>
      </w:r>
      <w:r w:rsidR="002B004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том числе и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формами графиков плотностей распределения. При значении кор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реляции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равном 0.345 график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плотности ребер 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графа Лондонской фондовой биржи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достигает своей пиковой плотности, затем резко </w:t>
      </w:r>
      <w:r w:rsidR="00BF010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убывае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, а график плотности ребер графа Франкфуртской фондовой биржи</w:t>
      </w:r>
      <w:r w:rsidR="002B004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два выраженных </w:t>
      </w:r>
      <w:r w:rsidR="00BF010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пика при значениях корреляции 0.2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 и </w:t>
      </w:r>
      <w:r w:rsidR="00BF010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0.</w:t>
      </w:r>
      <w:r w:rsidR="007477F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2B004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Этим объясняется столь сильная разница в плотности ребер графа Лондонской фондовой биржи при пороговых значениях 0.3 и 0.4. А при пороговом значении 0.5 плотность ребер в графе Франкфуртской биржи более чем в три раза превосходит аналогичную плотность в графе Лондонской биржи. </w:t>
      </w:r>
    </w:p>
    <w:p w:rsidR="007477F4" w:rsidRPr="0016416C" w:rsidRDefault="007477F4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Стоит отметить также, что при нулевом пороговом значении плотность ребер графа Франкфуртской фондовой биржи равна единице, что означает, что отрицательные значения корреляций на этой бирже отсутствуют. Однако, и на Лондонской бирже доля таких корреляций крайне мала(около 0.05%).</w:t>
      </w:r>
    </w:p>
    <w:p w:rsidR="003B33DF" w:rsidRPr="0016416C" w:rsidRDefault="003B33DF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Видно, что плотность показывает самые сильные изменения в области порогового значения </w:t>
      </w:r>
      <w:r w:rsidR="005126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[0.1;0.5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]. В прилегающих участках изменения куда менее значительны. Поэтому целесообразно выделять максимальные клики, рассматривая значения порога из интервала </w:t>
      </w:r>
      <w:r w:rsidR="005126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[0.5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;0.9]</w:t>
      </w:r>
      <w:r w:rsidR="00602E48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B33DF" w:rsidRPr="0016416C" w:rsidRDefault="003B33DF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 таблицах ниже приведены результаты поиска максимальных клик в рыночном графе Лондонской биржи</w:t>
      </w:r>
      <w:r w:rsidR="008435B9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="000E5775" w:rsidRPr="0016416C">
        <w:rPr>
          <w:rFonts w:ascii="Times New Roman" w:hAnsi="Times New Roman" w:cs="Times New Roman"/>
          <w:sz w:val="28"/>
          <w:szCs w:val="28"/>
        </w:rPr>
        <w:t>(таблица 5)</w:t>
      </w:r>
      <w:r w:rsidRPr="0016416C">
        <w:rPr>
          <w:rFonts w:ascii="Times New Roman" w:hAnsi="Times New Roman" w:cs="Times New Roman"/>
          <w:sz w:val="28"/>
          <w:szCs w:val="28"/>
        </w:rPr>
        <w:t xml:space="preserve"> и аналогичном графе Франкфуртской биржи</w:t>
      </w:r>
      <w:r w:rsidR="008435B9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="000E5775" w:rsidRPr="0016416C">
        <w:rPr>
          <w:rFonts w:ascii="Times New Roman" w:hAnsi="Times New Roman" w:cs="Times New Roman"/>
          <w:sz w:val="28"/>
          <w:szCs w:val="28"/>
        </w:rPr>
        <w:t>(таблица 6)</w:t>
      </w:r>
      <w:r w:rsidRPr="0016416C">
        <w:rPr>
          <w:rFonts w:ascii="Times New Roman" w:hAnsi="Times New Roman" w:cs="Times New Roman"/>
          <w:sz w:val="28"/>
          <w:szCs w:val="28"/>
        </w:rPr>
        <w:t>, построенном для различных значений корреляционного порога θ.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1090"/>
        <w:gridCol w:w="2572"/>
        <w:gridCol w:w="2996"/>
      </w:tblGrid>
      <w:tr w:rsidR="0051264C" w:rsidRPr="0016416C" w:rsidTr="00922314">
        <w:tc>
          <w:tcPr>
            <w:tcW w:w="6658" w:type="dxa"/>
            <w:gridSpan w:val="3"/>
          </w:tcPr>
          <w:p w:rsidR="0051264C" w:rsidRPr="0016416C" w:rsidRDefault="0051264C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Результаты для Лондонской фондовой биржи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Порог </w:t>
            </w:r>
            <w:r w:rsidRPr="0016416C"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акций в максимальной клике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Представленные отрасли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Страхование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-3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Банк-2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Недвижимость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Финансы-1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0.55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Страхование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-2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Банк-2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Финансы-1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Страхование-3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Финансы-1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0.65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Страхование-3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Финансы-1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Горная промышленность - 3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Недвижимость-3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Недвижимость-2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0.85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Нефть и га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- 2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более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:rsidR="003B33DF" w:rsidRPr="0016416C" w:rsidRDefault="000E577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5.</w:t>
      </w:r>
      <w:r w:rsidRPr="0016416C">
        <w:rPr>
          <w:rFonts w:ascii="Times New Roman" w:hAnsi="Times New Roman" w:cs="Times New Roman"/>
          <w:sz w:val="28"/>
          <w:szCs w:val="28"/>
        </w:rPr>
        <w:t xml:space="preserve"> Результаты поиска максимальных клик в рыночном графе Лондонской биржи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1090"/>
        <w:gridCol w:w="2572"/>
        <w:gridCol w:w="2996"/>
      </w:tblGrid>
      <w:tr w:rsidR="003E6EEF" w:rsidRPr="0016416C" w:rsidTr="00922314">
        <w:tc>
          <w:tcPr>
            <w:tcW w:w="6658" w:type="dxa"/>
            <w:gridSpan w:val="3"/>
          </w:tcPr>
          <w:p w:rsidR="003E6EEF" w:rsidRPr="0016416C" w:rsidRDefault="003E6E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Результаты для Франкфурсткой фондовой биржи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Порог </w:t>
            </w:r>
            <w:r w:rsidRPr="0016416C"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акций в максимальной клике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Представленные отрасли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Страхование-2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Машинное производство -4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Строительство-1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Торговля металлами-1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Производство комплектующих -4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Добыча ресурсов - 2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>0.55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Страхование-1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Машинное производство -3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Производство комплектующих -2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Строительство – 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Добыча ресурсов – 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Страхование-1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Машинное производство -3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Производство комплектующих 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0.65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Страхование-1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Машинное производство 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Производство комплектующих 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0.7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Страхование-1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Страхование-1</w:t>
            </w:r>
          </w:p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Банк-1</w:t>
            </w:r>
          </w:p>
        </w:tc>
      </w:tr>
      <w:tr w:rsidR="00922314" w:rsidRPr="0016416C" w:rsidTr="00922314">
        <w:tc>
          <w:tcPr>
            <w:tcW w:w="1090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более</w:t>
            </w:r>
          </w:p>
        </w:tc>
        <w:tc>
          <w:tcPr>
            <w:tcW w:w="2572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96" w:type="dxa"/>
          </w:tcPr>
          <w:p w:rsidR="00922314" w:rsidRPr="0016416C" w:rsidRDefault="0092231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:rsidR="000E5775" w:rsidRPr="0016416C" w:rsidRDefault="000E5775" w:rsidP="00664838">
      <w:pPr>
        <w:shd w:val="clear" w:color="auto" w:fill="FFFFFF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6.</w:t>
      </w:r>
      <w:r w:rsidRPr="0016416C">
        <w:rPr>
          <w:rFonts w:ascii="Times New Roman" w:hAnsi="Times New Roman" w:cs="Times New Roman"/>
          <w:sz w:val="28"/>
          <w:szCs w:val="28"/>
        </w:rPr>
        <w:t xml:space="preserve"> Результаты поиска максимальных клик в рыночном графе Франкфуртской биржи</w:t>
      </w:r>
    </w:p>
    <w:p w:rsidR="003E6EEF" w:rsidRPr="0016416C" w:rsidRDefault="00F16941" w:rsidP="000D7A10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Видно, что даже при меньшем общем числе фирм размер максимальных клик Франкфуртской фондовой биржи для пороговых значений в диапозоне [0.5;0.55] значительно превышает размер максимальных клик Лондонской фондовой биржи в том же диапозоне. Однако, на Лондонской бирже клики состоящие из нескольких фирм(двух и более) можно найти вплоть до порогового значения 0.85, в то время как на Франкфуртской бирже все фирмы составляют независимое множество уже при пороговом значении 0.8.</w:t>
      </w:r>
    </w:p>
    <w:p w:rsidR="00F16941" w:rsidRPr="0016416C" w:rsidRDefault="00B66D07" w:rsidP="000D7A10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сделать вывод, что, </w:t>
      </w:r>
      <w:r w:rsidR="00F1694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несмотря на в среднем более высокую корреляцию между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фирмами на Франкфуртской бирже, фирм, у которых была бы корреляция выше 0.8 на ней нет, в отличии от Лондонской фондовой биржи.</w:t>
      </w:r>
    </w:p>
    <w:p w:rsidR="00FF703F" w:rsidRPr="0016416C" w:rsidRDefault="00B66D07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Обратив внимание на распределение фирм, входящих в максимальные клики, по сферам деятельности, можно заметить, что </w:t>
      </w:r>
      <w:r w:rsidR="00C1501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фирмы, составляющие эти клики в большинстве своем из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од</w:t>
      </w:r>
      <w:r w:rsidR="00C1501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инаковой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сферы (особенно ярко эта тенденция выражена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примере Лондонской биржи).</w:t>
      </w:r>
      <w:r w:rsidR="00F6419B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Поэтому была выдвинута гипотеза, что уровень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попарной</w:t>
      </w:r>
      <w:r w:rsidR="00F6419B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корреляции среди фирм одной сферы деятельности выше, чем</w:t>
      </w:r>
      <w:r w:rsidR="00FF703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средний показатель корреляции среди всех фирм индекса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(0.3537 и 0.3155 для Франкфуртской и Лондонской бирж соответственно)</w:t>
      </w:r>
      <w:r w:rsidR="00F6419B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FF703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419B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ее проверки было решено </w:t>
      </w:r>
      <w:r w:rsidR="00FF703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</w:t>
      </w:r>
      <w:r w:rsidR="00AB0CD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ть среднее a</w:t>
      </w:r>
      <w:r w:rsidR="00FF703F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рифметическое значение коэффициентов корреляции среди фирм одной отрасли на каждой из бирж.</w:t>
      </w:r>
    </w:p>
    <w:p w:rsidR="00FF703F" w:rsidRPr="0016416C" w:rsidRDefault="00FF703F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Естественно для анализа брались только те сферы, которые представлены в индексах в количестве хотя бы двух фирм.</w:t>
      </w:r>
    </w:p>
    <w:p w:rsidR="00FF703F" w:rsidRPr="0016416C" w:rsidRDefault="00FF703F" w:rsidP="000D7A1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="00EB1EE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индекса </w:t>
      </w:r>
      <w:r w:rsidR="00EB1EE7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FTSE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1EE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100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86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таковы</w:t>
      </w:r>
      <w:r w:rsidR="009B6D0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EB1EE7" w:rsidRPr="0016416C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1866" w:rsidRPr="0016416C" w:rsidTr="00081866">
        <w:tc>
          <w:tcPr>
            <w:tcW w:w="2336" w:type="dxa"/>
          </w:tcPr>
          <w:p w:rsidR="00081866" w:rsidRPr="0016416C" w:rsidRDefault="0008186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Сфера деятельности</w:t>
            </w:r>
          </w:p>
        </w:tc>
        <w:tc>
          <w:tcPr>
            <w:tcW w:w="2336" w:type="dxa"/>
          </w:tcPr>
          <w:p w:rsidR="00081866" w:rsidRPr="0016416C" w:rsidRDefault="0008186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Средний уровень корреляции среди фирм</w:t>
            </w:r>
          </w:p>
        </w:tc>
        <w:tc>
          <w:tcPr>
            <w:tcW w:w="2336" w:type="dxa"/>
          </w:tcPr>
          <w:p w:rsidR="00081866" w:rsidRPr="0016416C" w:rsidRDefault="0008186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Сфера деятельности</w:t>
            </w:r>
          </w:p>
        </w:tc>
        <w:tc>
          <w:tcPr>
            <w:tcW w:w="2337" w:type="dxa"/>
          </w:tcPr>
          <w:p w:rsidR="00081866" w:rsidRPr="0016416C" w:rsidRDefault="0008186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Средний уровень корреляции среди фирм</w:t>
            </w:r>
          </w:p>
        </w:tc>
      </w:tr>
      <w:tr w:rsidR="00081866" w:rsidRPr="0016416C" w:rsidTr="00081866">
        <w:tc>
          <w:tcPr>
            <w:tcW w:w="2336" w:type="dxa"/>
          </w:tcPr>
          <w:p w:rsidR="00081866" w:rsidRPr="0016416C" w:rsidRDefault="0008186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Banking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(5 фирм)</w:t>
            </w:r>
          </w:p>
        </w:tc>
        <w:tc>
          <w:tcPr>
            <w:tcW w:w="2336" w:type="dxa"/>
          </w:tcPr>
          <w:p w:rsidR="00081866" w:rsidRPr="0016416C" w:rsidRDefault="00E8454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0.4650</w:t>
            </w:r>
          </w:p>
        </w:tc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Building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(4 фирмы)</w:t>
            </w:r>
          </w:p>
        </w:tc>
        <w:tc>
          <w:tcPr>
            <w:tcW w:w="2337" w:type="dxa"/>
          </w:tcPr>
          <w:p w:rsidR="00081866" w:rsidRPr="0016416C" w:rsidRDefault="00E8454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0.6080</w:t>
            </w:r>
          </w:p>
        </w:tc>
      </w:tr>
      <w:tr w:rsidR="00081866" w:rsidRPr="0016416C" w:rsidTr="00081866"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Beverages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(2 фирмы)</w:t>
            </w:r>
          </w:p>
        </w:tc>
        <w:tc>
          <w:tcPr>
            <w:tcW w:w="2336" w:type="dxa"/>
          </w:tcPr>
          <w:p w:rsidR="00081866" w:rsidRPr="0016416C" w:rsidRDefault="00E8454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0.5950</w:t>
            </w:r>
          </w:p>
        </w:tc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Building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materials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(2 фирмы)</w:t>
            </w:r>
          </w:p>
        </w:tc>
        <w:tc>
          <w:tcPr>
            <w:tcW w:w="2337" w:type="dxa"/>
          </w:tcPr>
          <w:p w:rsidR="00081866" w:rsidRPr="0016416C" w:rsidRDefault="00E8454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0.2563</w:t>
            </w:r>
          </w:p>
        </w:tc>
      </w:tr>
      <w:tr w:rsidR="00081866" w:rsidRPr="0016416C" w:rsidTr="00081866"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Consumer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goods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(2 фирмы)</w:t>
            </w:r>
          </w:p>
        </w:tc>
        <w:tc>
          <w:tcPr>
            <w:tcW w:w="2336" w:type="dxa"/>
          </w:tcPr>
          <w:p w:rsidR="00081866" w:rsidRPr="0016416C" w:rsidRDefault="00AB0CD7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0.1708</w:t>
            </w:r>
          </w:p>
        </w:tc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Energy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3 фирмы)</w:t>
            </w:r>
          </w:p>
        </w:tc>
        <w:tc>
          <w:tcPr>
            <w:tcW w:w="2337" w:type="dxa"/>
          </w:tcPr>
          <w:p w:rsidR="00081866" w:rsidRPr="0016416C" w:rsidRDefault="00AB0CD7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0.5539</w:t>
            </w:r>
          </w:p>
        </w:tc>
      </w:tr>
      <w:tr w:rsidR="00081866" w:rsidRPr="0016416C" w:rsidTr="00081866"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Engineering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3 фирмы)</w:t>
            </w:r>
          </w:p>
        </w:tc>
        <w:tc>
          <w:tcPr>
            <w:tcW w:w="2336" w:type="dxa"/>
          </w:tcPr>
          <w:p w:rsidR="00081866" w:rsidRPr="0016416C" w:rsidRDefault="00AB0CD7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0.3496</w:t>
            </w:r>
          </w:p>
        </w:tc>
        <w:tc>
          <w:tcPr>
            <w:tcW w:w="2336" w:type="dxa"/>
          </w:tcPr>
          <w:p w:rsidR="00081866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Finance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4</w:t>
            </w:r>
            <w:r w:rsidR="00665AC5"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фирм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ы</w:t>
            </w:r>
            <w:r w:rsidR="00665AC5"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)</w:t>
            </w:r>
          </w:p>
        </w:tc>
        <w:tc>
          <w:tcPr>
            <w:tcW w:w="2337" w:type="dxa"/>
          </w:tcPr>
          <w:p w:rsidR="00081866" w:rsidRPr="0016416C" w:rsidRDefault="00AB0CD7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0.3394</w:t>
            </w:r>
          </w:p>
        </w:tc>
      </w:tr>
      <w:tr w:rsidR="00081866" w:rsidRPr="0016416C" w:rsidTr="00081866"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Food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2 фирмы)</w:t>
            </w:r>
          </w:p>
        </w:tc>
        <w:tc>
          <w:tcPr>
            <w:tcW w:w="2336" w:type="dxa"/>
          </w:tcPr>
          <w:p w:rsidR="00081866" w:rsidRPr="0016416C" w:rsidRDefault="00AB0CD7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0.3945</w:t>
            </w:r>
          </w:p>
        </w:tc>
        <w:tc>
          <w:tcPr>
            <w:tcW w:w="2336" w:type="dxa"/>
          </w:tcPr>
          <w:p w:rsidR="00081866" w:rsidRPr="0016416C" w:rsidRDefault="00665AC5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Fund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</w:t>
            </w: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management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3 фирмы)</w:t>
            </w:r>
          </w:p>
        </w:tc>
        <w:tc>
          <w:tcPr>
            <w:tcW w:w="2337" w:type="dxa"/>
          </w:tcPr>
          <w:p w:rsidR="00081866" w:rsidRPr="0016416C" w:rsidRDefault="00AB0CD7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0.4941</w:t>
            </w: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Insurance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5 фирм)</w:t>
            </w:r>
          </w:p>
        </w:tc>
        <w:tc>
          <w:tcPr>
            <w:tcW w:w="2336" w:type="dxa"/>
          </w:tcPr>
          <w:p w:rsidR="00C01AAC" w:rsidRPr="0016416C" w:rsidRDefault="008C03D9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0.4112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Media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3 фирмы)</w:t>
            </w:r>
          </w:p>
        </w:tc>
        <w:tc>
          <w:tcPr>
            <w:tcW w:w="2337" w:type="dxa"/>
          </w:tcPr>
          <w:p w:rsidR="00C01AAC" w:rsidRPr="0016416C" w:rsidRDefault="00F0504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0.5038</w:t>
            </w: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Manufacturing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4 фирмы)</w:t>
            </w:r>
          </w:p>
        </w:tc>
        <w:tc>
          <w:tcPr>
            <w:tcW w:w="2336" w:type="dxa"/>
          </w:tcPr>
          <w:p w:rsidR="00C01AAC" w:rsidRPr="0016416C" w:rsidRDefault="00F0504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0.1435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Oil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</w:t>
            </w: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and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</w:t>
            </w: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gas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2 фирмы)</w:t>
            </w:r>
          </w:p>
        </w:tc>
        <w:tc>
          <w:tcPr>
            <w:tcW w:w="2337" w:type="dxa"/>
          </w:tcPr>
          <w:p w:rsidR="00C01AAC" w:rsidRPr="0016416C" w:rsidRDefault="00F0504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0.6945</w:t>
            </w: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Mining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(7 фирм)</w:t>
            </w:r>
          </w:p>
        </w:tc>
        <w:tc>
          <w:tcPr>
            <w:tcW w:w="2336" w:type="dxa"/>
          </w:tcPr>
          <w:p w:rsidR="00C01AAC" w:rsidRPr="0016416C" w:rsidRDefault="00F0504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0.5353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Property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4 фирмы)</w:t>
            </w:r>
          </w:p>
        </w:tc>
        <w:tc>
          <w:tcPr>
            <w:tcW w:w="2337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0.7486</w:t>
            </w: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Pharmaceuticals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3 фирмы)</w:t>
            </w:r>
          </w:p>
        </w:tc>
        <w:tc>
          <w:tcPr>
            <w:tcW w:w="2336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0.4887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Supermarket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2 фирмы)</w:t>
            </w:r>
          </w:p>
        </w:tc>
        <w:tc>
          <w:tcPr>
            <w:tcW w:w="2337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0.5516</w:t>
            </w: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lastRenderedPageBreak/>
              <w:t>Retail</w:t>
            </w:r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(7 фирм)</w:t>
            </w:r>
          </w:p>
        </w:tc>
        <w:tc>
          <w:tcPr>
            <w:tcW w:w="2336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0.5225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</w:p>
        </w:tc>
        <w:tc>
          <w:tcPr>
            <w:tcW w:w="2337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Telecomms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3 фирмы)</w:t>
            </w:r>
          </w:p>
        </w:tc>
        <w:tc>
          <w:tcPr>
            <w:tcW w:w="2336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0.3542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Tobacco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2 фирмы),</w:t>
            </w:r>
          </w:p>
        </w:tc>
        <w:tc>
          <w:tcPr>
            <w:tcW w:w="2337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0.6540</w:t>
            </w:r>
          </w:p>
        </w:tc>
      </w:tr>
      <w:tr w:rsidR="00C01AAC" w:rsidRPr="0016416C" w:rsidTr="00081866"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Travel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2 фирмы)</w:t>
            </w:r>
          </w:p>
        </w:tc>
        <w:tc>
          <w:tcPr>
            <w:tcW w:w="2336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0.5014</w:t>
            </w:r>
          </w:p>
        </w:tc>
        <w:tc>
          <w:tcPr>
            <w:tcW w:w="2336" w:type="dxa"/>
          </w:tcPr>
          <w:p w:rsidR="00C01AAC" w:rsidRPr="0016416C" w:rsidRDefault="00C01AAC" w:rsidP="00664838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</w:pPr>
            <w:proofErr w:type="spellStart"/>
            <w:proofErr w:type="gramStart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Water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(</w:t>
            </w:r>
            <w:proofErr w:type="gramEnd"/>
            <w:r w:rsidRPr="0016416C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2 фирмы)</w:t>
            </w:r>
          </w:p>
        </w:tc>
        <w:tc>
          <w:tcPr>
            <w:tcW w:w="2337" w:type="dxa"/>
          </w:tcPr>
          <w:p w:rsidR="00C01AAC" w:rsidRPr="0016416C" w:rsidRDefault="006D2A02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0.5885</w:t>
            </w:r>
          </w:p>
        </w:tc>
      </w:tr>
    </w:tbl>
    <w:p w:rsidR="000E5775" w:rsidRPr="0016416C" w:rsidRDefault="000E577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7. Среднее aрифметическое значение коэффициентов корреляции среди фирм одной отрасли на Лондонской бирже</w:t>
      </w:r>
    </w:p>
    <w:p w:rsidR="003E6EEF" w:rsidRPr="0016416C" w:rsidRDefault="00E84542" w:rsidP="00B6668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исследование Лондонской биржи подтверждает гипотезу. Средняя корреляция фирм из одной сферы деятельности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основном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действительно выше, чем средний уровень ко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рреляции для всех фирм индекса. О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схожих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выводах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говорится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B57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статье</w:t>
      </w:r>
      <w:r w:rsidR="00B01D23" w:rsidRPr="0016416C">
        <w:rPr>
          <w:lang w:val="en-US"/>
        </w:rPr>
        <w:t xml:space="preserve"> </w:t>
      </w:r>
      <w:hyperlink r:id="rId29" w:tgtFrame="_blank" w:history="1">
        <w:r w:rsidR="003B57D5" w:rsidRPr="0016416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Analysis of Russian Industries in the Stock Market</w:t>
        </w:r>
      </w:hyperlink>
      <w:r w:rsidR="00B01D23" w:rsidRPr="0016416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 xml:space="preserve"> (</w:t>
      </w:r>
      <w:proofErr w:type="spellStart"/>
      <w:r w:rsidR="00B01D23" w:rsidRPr="0016416C">
        <w:rPr>
          <w:rStyle w:val="nowrap"/>
          <w:rFonts w:ascii="Georgia" w:hAnsi="Georgia"/>
          <w:sz w:val="26"/>
          <w:szCs w:val="26"/>
          <w:shd w:val="clear" w:color="auto" w:fill="FFFFFF"/>
          <w:lang w:val="en-US"/>
        </w:rPr>
        <w:t>Lozgacheva</w:t>
      </w:r>
      <w:proofErr w:type="spellEnd"/>
      <w:r w:rsidR="00B01D23" w:rsidRPr="0016416C">
        <w:rPr>
          <w:rStyle w:val="nowrap"/>
          <w:rFonts w:ascii="Georgia" w:hAnsi="Georgia"/>
          <w:sz w:val="26"/>
          <w:szCs w:val="26"/>
          <w:shd w:val="clear" w:color="auto" w:fill="FFFFFF"/>
          <w:lang w:val="en-US"/>
        </w:rPr>
        <w:t xml:space="preserve"> N. N.</w:t>
      </w:r>
      <w:r w:rsidR="00B01D23" w:rsidRPr="0016416C">
        <w:rPr>
          <w:rFonts w:ascii="Georgia" w:hAnsi="Georgia"/>
          <w:sz w:val="26"/>
          <w:szCs w:val="26"/>
          <w:shd w:val="clear" w:color="auto" w:fill="FFFFFF"/>
          <w:lang w:val="en-US"/>
        </w:rPr>
        <w:t>,</w:t>
      </w:r>
      <w:r w:rsidR="00B01D23" w:rsidRPr="0016416C">
        <w:rPr>
          <w:rStyle w:val="apple-converted-space"/>
          <w:rFonts w:ascii="Georgia" w:hAnsi="Georgia"/>
          <w:sz w:val="26"/>
          <w:szCs w:val="26"/>
          <w:shd w:val="clear" w:color="auto" w:fill="FFFFFF"/>
          <w:lang w:val="en-US"/>
        </w:rPr>
        <w:t> </w:t>
      </w:r>
      <w:proofErr w:type="spellStart"/>
      <w:r w:rsidR="00B01D23" w:rsidRPr="0016416C">
        <w:rPr>
          <w:rStyle w:val="nowrap"/>
          <w:rFonts w:ascii="Georgia" w:hAnsi="Georgia"/>
          <w:sz w:val="26"/>
          <w:szCs w:val="26"/>
          <w:shd w:val="clear" w:color="auto" w:fill="FFFFFF"/>
          <w:lang w:val="en-US"/>
        </w:rPr>
        <w:t>Koldanov</w:t>
      </w:r>
      <w:proofErr w:type="spellEnd"/>
      <w:r w:rsidR="00B01D23" w:rsidRPr="0016416C">
        <w:rPr>
          <w:rStyle w:val="nowrap"/>
          <w:rFonts w:ascii="Georgia" w:hAnsi="Georgia"/>
          <w:sz w:val="26"/>
          <w:szCs w:val="26"/>
          <w:shd w:val="clear" w:color="auto" w:fill="FFFFFF"/>
          <w:lang w:val="en-US"/>
        </w:rPr>
        <w:t xml:space="preserve"> A. P.</w:t>
      </w:r>
      <w:r w:rsidR="00B01D23" w:rsidRPr="0016416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 xml:space="preserve">) </w:t>
      </w:r>
      <w:r w:rsidR="003B57D5" w:rsidRPr="0016416C">
        <w:t>[</w:t>
      </w:r>
      <w:r w:rsidR="00A019DC" w:rsidRPr="0016416C">
        <w:rPr>
          <w:rFonts w:ascii="Times New Roman" w:hAnsi="Times New Roman" w:cs="Times New Roman"/>
          <w:sz w:val="28"/>
          <w:szCs w:val="28"/>
        </w:rPr>
        <w:t>10</w:t>
      </w:r>
      <w:r w:rsidR="003B57D5" w:rsidRPr="0016416C">
        <w:t xml:space="preserve">]. 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Исключениями оказались сферы обрабатывающей промышленности (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manufacturing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) и потребительских товаров (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consumer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goods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Фирмы 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этих сфер показали наименьшую </w:t>
      </w:r>
      <w:r w:rsidR="008F744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зависимость от других фирм схожего поля деятельности. Фирмы, занимающиеся развитием недвижимости, показали наивысшую зависимость в цене акций от фирм своей сферы (уровень корреляции 0.7486).</w:t>
      </w:r>
    </w:p>
    <w:p w:rsidR="008F744C" w:rsidRPr="0016416C" w:rsidRDefault="008F744C" w:rsidP="00B66680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для Франкфуртской фондовой биржи: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9"/>
        <w:gridCol w:w="2234"/>
        <w:gridCol w:w="2262"/>
        <w:gridCol w:w="2235"/>
      </w:tblGrid>
      <w:tr w:rsidR="00F57151" w:rsidRPr="0016416C" w:rsidTr="000E5775">
        <w:tc>
          <w:tcPr>
            <w:tcW w:w="2329" w:type="dxa"/>
          </w:tcPr>
          <w:p w:rsidR="00F57151" w:rsidRPr="0016416C" w:rsidRDefault="00F5715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Сфера деятельности</w:t>
            </w:r>
          </w:p>
        </w:tc>
        <w:tc>
          <w:tcPr>
            <w:tcW w:w="2234" w:type="dxa"/>
          </w:tcPr>
          <w:p w:rsidR="00F57151" w:rsidRPr="0016416C" w:rsidRDefault="00F5715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Средний уровень корреляции среди фирм</w:t>
            </w:r>
          </w:p>
        </w:tc>
        <w:tc>
          <w:tcPr>
            <w:tcW w:w="2262" w:type="dxa"/>
          </w:tcPr>
          <w:p w:rsidR="00F57151" w:rsidRPr="0016416C" w:rsidRDefault="00F5715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Сфера деятельности</w:t>
            </w:r>
          </w:p>
        </w:tc>
        <w:tc>
          <w:tcPr>
            <w:tcW w:w="2235" w:type="dxa"/>
          </w:tcPr>
          <w:p w:rsidR="00F57151" w:rsidRPr="0016416C" w:rsidRDefault="00F5715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Средний уровень корреляции среди фирм</w:t>
            </w:r>
          </w:p>
        </w:tc>
      </w:tr>
      <w:tr w:rsidR="00F57151" w:rsidRPr="0016416C" w:rsidTr="000E5775">
        <w:tc>
          <w:tcPr>
            <w:tcW w:w="2329" w:type="dxa"/>
          </w:tcPr>
          <w:p w:rsidR="00170526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Banking(3 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фирмы</w:t>
            </w:r>
            <w:r w:rsidR="00315A76"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  <w:p w:rsidR="00F57151" w:rsidRPr="0016416C" w:rsidRDefault="00F5715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2234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0.4713</w:t>
            </w:r>
          </w:p>
        </w:tc>
        <w:tc>
          <w:tcPr>
            <w:tcW w:w="2262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Construction (3 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фирмы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35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0.5122</w:t>
            </w:r>
          </w:p>
        </w:tc>
      </w:tr>
      <w:tr w:rsidR="00F57151" w:rsidRPr="0016416C" w:rsidTr="000E5775">
        <w:tc>
          <w:tcPr>
            <w:tcW w:w="2329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Chemicals(5 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фирм</w:t>
            </w:r>
            <w:r w:rsidR="00315A76"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34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0.4115</w:t>
            </w:r>
          </w:p>
        </w:tc>
        <w:tc>
          <w:tcPr>
            <w:tcW w:w="2262" w:type="dxa"/>
          </w:tcPr>
          <w:p w:rsidR="00170526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Insurance(</w:t>
            </w:r>
            <w:r w:rsidR="00315A76"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 фирмы)</w:t>
            </w:r>
          </w:p>
          <w:p w:rsidR="00F57151" w:rsidRPr="0016416C" w:rsidRDefault="00F57151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2235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0.6379</w:t>
            </w:r>
          </w:p>
        </w:tc>
      </w:tr>
      <w:tr w:rsidR="00F57151" w:rsidRPr="0016416C" w:rsidTr="000E5775">
        <w:tc>
          <w:tcPr>
            <w:tcW w:w="2329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>Manufacturing(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фирмы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34" w:type="dxa"/>
          </w:tcPr>
          <w:p w:rsidR="00F57151" w:rsidRPr="0016416C" w:rsidRDefault="00315A7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0.6188</w:t>
            </w:r>
          </w:p>
        </w:tc>
        <w:tc>
          <w:tcPr>
            <w:tcW w:w="2262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Machine building(</w:t>
            </w:r>
            <w:r w:rsidR="00C86346"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 фирмы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),</w:t>
            </w:r>
          </w:p>
        </w:tc>
        <w:tc>
          <w:tcPr>
            <w:tcW w:w="2235" w:type="dxa"/>
          </w:tcPr>
          <w:p w:rsidR="00F57151" w:rsidRPr="0016416C" w:rsidRDefault="00315A7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0.4766</w:t>
            </w:r>
          </w:p>
        </w:tc>
      </w:tr>
      <w:tr w:rsidR="00F57151" w:rsidRPr="0016416C" w:rsidTr="000E5775">
        <w:tc>
          <w:tcPr>
            <w:tcW w:w="2329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Pharmaceuticals(</w:t>
            </w:r>
            <w:r w:rsidR="00C86346"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фирмы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34" w:type="dxa"/>
          </w:tcPr>
          <w:p w:rsidR="00F57151" w:rsidRPr="0016416C" w:rsidRDefault="00315A7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0.2691</w:t>
            </w:r>
          </w:p>
        </w:tc>
        <w:tc>
          <w:tcPr>
            <w:tcW w:w="2262" w:type="dxa"/>
          </w:tcPr>
          <w:p w:rsidR="00F57151" w:rsidRPr="0016416C" w:rsidRDefault="0017052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Airline (</w:t>
            </w:r>
            <w:r w:rsidR="00C86346"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фирмы</w:t>
            </w: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235" w:type="dxa"/>
          </w:tcPr>
          <w:p w:rsidR="00F57151" w:rsidRPr="0016416C" w:rsidRDefault="00315A76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0.4261</w:t>
            </w:r>
          </w:p>
        </w:tc>
      </w:tr>
    </w:tbl>
    <w:p w:rsidR="000E5775" w:rsidRPr="0016416C" w:rsidRDefault="000E577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8. Среднее aрифметическое значение коэффициентов корреляции среди фирм одной отрасли на Франкфуртской бирже</w:t>
      </w:r>
    </w:p>
    <w:p w:rsidR="00315A76" w:rsidRPr="0016416C" w:rsidRDefault="00315A76" w:rsidP="008435B9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для Франкфуртской биржи также в целом подтверждают гипотезу, единственным исключением является сфера фармацевтики. Фирмы, занимающиеся страхованием, показали наивысшую зависимость в цене акций от фирм своей сферы (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среднее значение попарной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корреляции </w:t>
      </w:r>
      <w:r w:rsidR="00B01D2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равно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0.6379).</w:t>
      </w:r>
    </w:p>
    <w:p w:rsidR="00F57151" w:rsidRPr="0016416C" w:rsidRDefault="000D376A" w:rsidP="008435B9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Гипотеза подтвердилась для обеих бирж, однако, на Лондонской бирже разница в среднем уровне коэффициента</w:t>
      </w:r>
      <w:r w:rsidR="00793F50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попарной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корреляции среди фирм одной отрасли в сравнении со средни</w:t>
      </w:r>
      <w:r w:rsidR="00793F50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м уровнем попарной корреляции среди всех анализируемых фирм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более значительна, чем на </w:t>
      </w:r>
      <w:r w:rsidR="00985963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Франкфуртской бирже.</w:t>
      </w:r>
    </w:p>
    <w:p w:rsidR="00985963" w:rsidRPr="0016416C" w:rsidRDefault="00985963" w:rsidP="008435B9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сделать важный вывод по коэффициентам корреляции между ценами акций для обеих бирж. Средний коэффициент корреляции на Франкфуртской фондовой бирже выше, чем на Лондонской. </w:t>
      </w:r>
      <w:r w:rsidR="00C47628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Гипотеза о том, что с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редний коэффициент</w:t>
      </w:r>
      <w:r w:rsidR="00C47628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попарной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корреляции между фирмами одной отрасли</w:t>
      </w:r>
      <w:r w:rsidR="00C47628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выше </w:t>
      </w:r>
      <w:r w:rsidR="001062F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среднего коэффициента корреляции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между фирмами всего индекса</w:t>
      </w:r>
      <w:r w:rsidR="00C47628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верна для обеих бирж</w:t>
      </w:r>
      <w:r w:rsidR="001062F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. Однако, разница между этими средними коэффициентами</w:t>
      </w:r>
      <w:r w:rsidR="00C47628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более значительна на Лондонской фондовой бирже</w:t>
      </w:r>
      <w:r w:rsidR="001062F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062F6" w:rsidRPr="0016416C" w:rsidRDefault="00F13082" w:rsidP="008435B9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Для изучения изменений структурных свойств анализируемых фондовых рынков в зависимости от времени исходный период(десять лет) был разбит на 9 частей</w:t>
      </w:r>
      <w:r w:rsidR="000C118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два года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(2006-2007 г., 2007-2008 г. и так далее до 2014-2015 г.)</w:t>
      </w:r>
    </w:p>
    <w:p w:rsidR="00F13082" w:rsidRPr="0016416C" w:rsidRDefault="00F13082" w:rsidP="008435B9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для Лондонской фондовой биржи:</w:t>
      </w:r>
    </w:p>
    <w:p w:rsidR="00F13082" w:rsidRPr="0016416C" w:rsidRDefault="00E0162B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6137F" wp14:editId="3CA6B0B3">
                <wp:simplePos x="0" y="0"/>
                <wp:positionH relativeFrom="margin">
                  <wp:align>right</wp:align>
                </wp:positionH>
                <wp:positionV relativeFrom="paragraph">
                  <wp:posOffset>3152863</wp:posOffset>
                </wp:positionV>
                <wp:extent cx="5924550" cy="1404620"/>
                <wp:effectExtent l="0" t="0" r="19050" b="1270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Рисунок 5.Плотности распределения коэффициентов корреляции Лондонской фондовой биржи за 3 периода. Непрерывная линия – 2006-2007 г., пунктирная линия – 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2007-2008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г., штрих-пунктирная линия – 2008-2009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6137F" id="_x0000_s1028" type="#_x0000_t202" style="position:absolute;margin-left:415.3pt;margin-top:248.25pt;width:466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">
                <v:textbox style="mso-fit-shape-to-text:t">
                  <w:txbxContent>
                    <w:p w:rsidR="00BA3827" w:rsidRDefault="00BA3827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Рисунок 5.Плотности распределения коэффициентов корреляции Лондонской фондовой биржи за 3 периода. Непрерывная линия – 2006-2007 г., пунктирная линия – 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2007-2008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г., штрих-пунктирная линия – 2008-2009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32E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59A64" wp14:editId="5A90E696">
            <wp:extent cx="5940425" cy="3050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A1" w:rsidRPr="0016416C" w:rsidRDefault="006177A1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Видно, что пики графиков на уровне</w:t>
      </w:r>
      <w:r w:rsidR="00FC4C0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корреляции примерно равной 0.38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стали более отчетливы в 2007-2009 г. Число отрицательных показателей корреляции уменьшилось.</w:t>
      </w:r>
    </w:p>
    <w:p w:rsidR="00FC4C06" w:rsidRPr="0016416C" w:rsidRDefault="00FC4C06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 можно связать с глобальным экономическим кризисом 2008 года. Как видно на графике внизу </w:t>
      </w:r>
      <w:r w:rsidR="000C118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индекс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FTSE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 испыта</w:t>
      </w:r>
      <w:r w:rsidR="000C118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л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падение на 28.72%</w:t>
      </w:r>
      <w:r w:rsidR="000C118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 период 2007-2008 года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Этому падению были подвержены большинство акций индекса, поэтому показатели корреляции возросли. </w:t>
      </w:r>
    </w:p>
    <w:p w:rsidR="00FC4C06" w:rsidRPr="0016416C" w:rsidRDefault="00FC4C06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AF6CA" wp14:editId="680A653E">
            <wp:extent cx="5020573" cy="2064043"/>
            <wp:effectExtent l="0" t="0" r="889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7291" cy="20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75" w:rsidRPr="0016416C" w:rsidRDefault="000E577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6. Уровень капитализации индекса FTSE 100 за 2007-2008 гг.</w:t>
      </w:r>
    </w:p>
    <w:p w:rsidR="00F13082" w:rsidRPr="0016416C" w:rsidRDefault="006177A1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DAEEC3" wp14:editId="7706969D">
                <wp:simplePos x="0" y="0"/>
                <wp:positionH relativeFrom="margin">
                  <wp:align>right</wp:align>
                </wp:positionH>
                <wp:positionV relativeFrom="paragraph">
                  <wp:posOffset>3012404</wp:posOffset>
                </wp:positionV>
                <wp:extent cx="5924550" cy="1404620"/>
                <wp:effectExtent l="0" t="0" r="19050" b="1270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 w:rsidP="00E0162B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Рисунок 7.Плотности распределения коэффициентов корреляции Лондонской фондовой биржи за 3 периода. Непрерывная линия – 2009-20</w:t>
                            </w:r>
                            <w:r w:rsidRPr="00E0162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 г., пунктирная линия – 20</w:t>
                            </w:r>
                            <w:r w:rsidRPr="00E0162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10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20</w:t>
                            </w:r>
                            <w:r w:rsidRPr="00E0162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11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г., штрих-пунктирная линия – 2011-2012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AEEC3" id="_x0000_s1029" type="#_x0000_t202" style="position:absolute;margin-left:415.3pt;margin-top:237.2pt;width:46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">
                <v:textbox style="mso-fit-shape-to-text:t">
                  <w:txbxContent>
                    <w:p w:rsidR="00BA3827" w:rsidRDefault="00BA3827" w:rsidP="00E0162B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Рисунок 7.Плотности распределения коэффициентов корреляции Лондонской фондовой биржи за 3 периода. Непрерывная линия – 2009-20</w:t>
                      </w:r>
                      <w:r w:rsidRPr="00E0162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 г., пунктирная линия – 20</w:t>
                      </w:r>
                      <w:r w:rsidRPr="00E0162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10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20</w:t>
                      </w:r>
                      <w:r w:rsidRPr="00E0162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11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г., штрих-пунктирная линия – 2011-2012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32E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CCF4E7" wp14:editId="1BDC231A">
            <wp:extent cx="5610816" cy="2907668"/>
            <wp:effectExtent l="0" t="0" r="9525" b="698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0816" cy="29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B2" w:rsidRPr="0016416C" w:rsidRDefault="006F5EB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EB2" w:rsidRPr="0016416C" w:rsidRDefault="006F5EB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EB2" w:rsidRPr="0016416C" w:rsidRDefault="006F5EB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77A1" w:rsidRPr="0016416C" w:rsidRDefault="006177A1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 2009-2010 годах пиков</w:t>
      </w:r>
      <w:r w:rsidR="00FC4C0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ое значение плотности </w:t>
      </w:r>
      <w:r w:rsidR="00437FB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переместилось на уровень корреляции 0.285, а сам график стал более симметричным по сравнению с годами 2007-2009. В 2010-2012 годах уровень корреляции с пиковой плотностью </w:t>
      </w:r>
      <w:r w:rsidR="00437FB7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увеличился до значения 0.4.</w:t>
      </w:r>
      <w:r w:rsidR="0092231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577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3B6679" wp14:editId="6CD71B7A">
                <wp:simplePos x="0" y="0"/>
                <wp:positionH relativeFrom="margin">
                  <wp:align>left</wp:align>
                </wp:positionH>
                <wp:positionV relativeFrom="paragraph">
                  <wp:posOffset>3458282</wp:posOffset>
                </wp:positionV>
                <wp:extent cx="5924550" cy="1404620"/>
                <wp:effectExtent l="0" t="0" r="19050" b="1270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 w:rsidP="00E82A62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Рисунок 8. Плотности распределения коэффициентов корреляции Лондонской фондовой биржи за 3 периода. Непрерывная линия – 20</w:t>
                            </w:r>
                            <w:r w:rsidRPr="000472A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-2013 г., пунктирная линия – 2013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2014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г., штрих-пунктирная линия – 2014-2015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B6679" id="_x0000_s1030" type="#_x0000_t202" style="position:absolute;left:0;text-align:left;margin-left:0;margin-top:272.3pt;width:466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">
                <v:textbox style="mso-fit-shape-to-text:t">
                  <w:txbxContent>
                    <w:p w:rsidR="00BA3827" w:rsidRDefault="00BA3827" w:rsidP="00E82A62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Рисунок 8. Плотности распределения коэффициентов корреляции Лондонской фондовой биржи за 3 периода. Непрерывная линия – 20</w:t>
                      </w:r>
                      <w:r w:rsidRPr="000472A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-2013 г., пунктирная линия – 2013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2014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г., штрих-пунктирная линия – 2014-2015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31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60A43" wp14:editId="01047865">
            <wp:extent cx="5759450" cy="2929255"/>
            <wp:effectExtent l="0" t="0" r="0" b="444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2B" w:rsidRPr="0016416C" w:rsidRDefault="00E0162B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37CE" w:rsidRPr="0016416C" w:rsidRDefault="00437FB7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Графики плотности посл</w:t>
      </w:r>
      <w:r w:rsidR="006137CE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едних трех периодов очень схожи. Значение корреляции с пиковой плотностью незначительно уменьшается в 2013-2014 г. по сравнению с 2012-2013 г. с 0.31 до 0.27. А затем это значение значительно увеличивается до 0.365. </w:t>
      </w:r>
    </w:p>
    <w:p w:rsidR="006137CE" w:rsidRPr="0016416C" w:rsidRDefault="006137CE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для Франкфуртской фондовой биржи:</w:t>
      </w:r>
    </w:p>
    <w:p w:rsidR="00437FB7" w:rsidRPr="0016416C" w:rsidRDefault="006137CE" w:rsidP="00664838">
      <w:pPr>
        <w:shd w:val="clear" w:color="auto" w:fill="FFFFFF"/>
        <w:tabs>
          <w:tab w:val="right" w:pos="9355"/>
        </w:tabs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8B7C2E" wp14:editId="3927C11C">
                <wp:simplePos x="0" y="0"/>
                <wp:positionH relativeFrom="margin">
                  <wp:align>right</wp:align>
                </wp:positionH>
                <wp:positionV relativeFrom="paragraph">
                  <wp:posOffset>3117215</wp:posOffset>
                </wp:positionV>
                <wp:extent cx="5924550" cy="1404620"/>
                <wp:effectExtent l="0" t="0" r="19050" b="1270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 w:rsidP="00E82A62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Рисунок 9.Плотности распределения коэффициентов корреляции Франкфуртской фондовой биржи за 3 периода. Непрерывная линия – 2006-2007 г., пунктирная линия – 2007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2008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г., штрих-пунктирная линия – 2008-2009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B7C2E" id="_x0000_s1031" type="#_x0000_t202" style="position:absolute;margin-left:415.3pt;margin-top:245.45pt;width:466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">
                <v:textbox style="mso-fit-shape-to-text:t">
                  <w:txbxContent>
                    <w:p w:rsidR="00BA3827" w:rsidRDefault="00BA3827" w:rsidP="00E82A62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Рисунок 9.Плотности распределения коэффициентов корреляции Франкфуртской фондовой биржи за 3 периода. Непрерывная линия – 2006-2007 г., пунктирная линия – 2007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2008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г., штрих-пунктирная линия – 2008-2009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830B1" wp14:editId="31E0CC78">
            <wp:extent cx="5638501" cy="2897906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4969" cy="29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FB355D" w:rsidRPr="0016416C" w:rsidRDefault="006137CE" w:rsidP="00F25203">
      <w:pPr>
        <w:shd w:val="clear" w:color="auto" w:fill="FFFFFF"/>
        <w:tabs>
          <w:tab w:val="right" w:pos="9355"/>
        </w:tabs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Ситуация в первые три периода на Франкфуртской бирже очень схожа с ситуацией на Лондонской бирже и имеет то же объяснение.</w:t>
      </w:r>
    </w:p>
    <w:p w:rsidR="00C47628" w:rsidRPr="0016416C" w:rsidRDefault="00C47628" w:rsidP="00F25203">
      <w:pPr>
        <w:shd w:val="clear" w:color="auto" w:fill="FFFFFF"/>
        <w:tabs>
          <w:tab w:val="right" w:pos="9355"/>
        </w:tabs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Уровень капитализации за 2007-2008 гг. снизился на 25.57%. Такое значительное падение явилось результатом снижения стоимости акций большинства фирм из основных индексов, поэтому коэффициенты их попарной корреляции значительно возросли.</w:t>
      </w:r>
    </w:p>
    <w:p w:rsidR="006137CE" w:rsidRPr="0016416C" w:rsidRDefault="006137CE" w:rsidP="00F25203">
      <w:pPr>
        <w:shd w:val="clear" w:color="auto" w:fill="FFFFFF"/>
        <w:tabs>
          <w:tab w:val="right" w:pos="9355"/>
        </w:tabs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Графики с показателями индексов DAX и MDAX </w:t>
      </w:r>
      <w:r w:rsidR="000C118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за 2007-2008:</w:t>
      </w:r>
    </w:p>
    <w:p w:rsidR="000C1181" w:rsidRPr="0016416C" w:rsidRDefault="000C1181" w:rsidP="00664838">
      <w:pPr>
        <w:shd w:val="clear" w:color="auto" w:fill="FFFFFF"/>
        <w:tabs>
          <w:tab w:val="right" w:pos="9355"/>
        </w:tabs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10ED17" wp14:editId="5C64487F">
            <wp:extent cx="5940425" cy="2536190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75" w:rsidRPr="0016416C" w:rsidRDefault="000E577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10. Уровень капитализации индекса DAX за 2007-2008 гг.</w:t>
      </w:r>
    </w:p>
    <w:p w:rsidR="000C1181" w:rsidRPr="0016416C" w:rsidRDefault="000C1181" w:rsidP="00664838">
      <w:pPr>
        <w:shd w:val="clear" w:color="auto" w:fill="FFFFFF"/>
        <w:tabs>
          <w:tab w:val="right" w:pos="9355"/>
        </w:tabs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E125F" wp14:editId="7E537F01">
            <wp:extent cx="5940425" cy="2631440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75" w:rsidRPr="0016416C" w:rsidRDefault="000E577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11. Уровень капитализации индекса </w:t>
      </w:r>
      <w:r w:rsidRPr="001641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MDAX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 2007-2008 гг.</w:t>
      </w:r>
    </w:p>
    <w:p w:rsidR="00E0162B" w:rsidRPr="0016416C" w:rsidRDefault="000C1181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3C47EA" wp14:editId="779FD444">
                <wp:simplePos x="0" y="0"/>
                <wp:positionH relativeFrom="margin">
                  <wp:align>right</wp:align>
                </wp:positionH>
                <wp:positionV relativeFrom="paragraph">
                  <wp:posOffset>3164840</wp:posOffset>
                </wp:positionV>
                <wp:extent cx="5924550" cy="1404620"/>
                <wp:effectExtent l="0" t="0" r="19050" b="1270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 w:rsidP="00E82A62">
                            <w:r w:rsidRPr="000E5775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Рисунок 12.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Плотности распределения коэффициентов корреляции Франкфуртской фондовой биржи за 3 периода. Непрерывная линия – 20</w:t>
                            </w:r>
                            <w:r w:rsidRPr="00E82A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-2010 г., пунктирная линия – 2010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2011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г., штрих-пунктирная линия – 2011-2012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C47EA" id="_x0000_s1032" type="#_x0000_t202" style="position:absolute;margin-left:415.3pt;margin-top:249.2pt;width:466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">
                <v:textbox style="mso-fit-shape-to-text:t">
                  <w:txbxContent>
                    <w:p w:rsidR="00BA3827" w:rsidRDefault="00BA3827" w:rsidP="00E82A62">
                      <w:r w:rsidRPr="000E5775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Рисунок 12.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Плотности распределения коэффициентов корреляции Франкфуртской фондовой биржи за 3 периода. Непрерывная линия – 20</w:t>
                      </w:r>
                      <w:r w:rsidRPr="00E82A62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-2010 г., пунктирная линия – 2010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2011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г., штрих-пунктирная линия – 2011-2012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2A62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F22FF" wp14:editId="790E78DC">
            <wp:extent cx="5940425" cy="30791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81" w:rsidRPr="0016416C" w:rsidRDefault="00C47628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</w:t>
      </w:r>
      <w:r w:rsidR="000C1181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 годы 2010-2012 схожи с изменениями в индексе FTSE 100 в тот же период. Значение корреляции с пиковым значением плотности возрастает по сравнению с годами 2009-2010</w:t>
      </w:r>
      <w:r w:rsidR="006F7F6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достигает 0.4.</w:t>
      </w:r>
    </w:p>
    <w:p w:rsidR="000472A1" w:rsidRPr="0016416C" w:rsidRDefault="00B74DF4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3F832A" wp14:editId="0E97A3D3">
                <wp:simplePos x="0" y="0"/>
                <wp:positionH relativeFrom="margin">
                  <wp:align>right</wp:align>
                </wp:positionH>
                <wp:positionV relativeFrom="paragraph">
                  <wp:posOffset>3204533</wp:posOffset>
                </wp:positionV>
                <wp:extent cx="5924550" cy="1404620"/>
                <wp:effectExtent l="0" t="0" r="19050" b="1270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27" w:rsidRDefault="00BA3827" w:rsidP="000472A1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Рисунок 13.Плотности распределения коэффициентов корреляции Франкфуртской фондовой биржи за 3 периода. Непрерывная линия – 20</w:t>
                            </w:r>
                            <w:r w:rsidRPr="000472A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-2013 г., пунктирная линия – 2013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2014</w:t>
                            </w:r>
                            <w:r w:rsidRPr="002D4A6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г., штрих-пунктирная линия – 2014-2015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F832A" id="_x0000_s1033" type="#_x0000_t202" style="position:absolute;margin-left:415.3pt;margin-top:252.35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">
                <v:textbox style="mso-fit-shape-to-text:t">
                  <w:txbxContent>
                    <w:p w:rsidR="00BA3827" w:rsidRDefault="00BA3827" w:rsidP="000472A1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Рисунок 13.Плотности распределения коэффициентов корреляции Франкфуртской фондовой биржи за 3 периода. Непрерывная линия – 20</w:t>
                      </w:r>
                      <w:r w:rsidRPr="000472A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-2013 г., пунктирная линия – 2013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2014</w:t>
                      </w:r>
                      <w:r w:rsidRPr="002D4A6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t>г., штрих-пунктирная линия – 2014-2015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486A7" wp14:editId="135EACEE">
            <wp:extent cx="5940425" cy="3094355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B2" w:rsidRPr="0016416C" w:rsidRDefault="006F5EB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EB2" w:rsidRPr="0016416C" w:rsidRDefault="006F5EB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EB2" w:rsidRPr="0016416C" w:rsidRDefault="006F5EB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7F64" w:rsidRPr="0016416C" w:rsidRDefault="006F5EB2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6F7F6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период 2013-2014 года значение корреляции с пиковым значением плотности уменьшается по сравнению с годами 2012-2013 с 0.38 до 0.32, а затем резко возрастает до значения 0.42 в 2014-2015 гг.</w:t>
      </w:r>
    </w:p>
    <w:p w:rsidR="00FC0F89" w:rsidRPr="0016416C" w:rsidRDefault="00FC0F89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Можно сделать вывод, что динамика изменения плотностей распределения коэффициентов корреляции между ценами акций Лондонской и Франкфуртской фондовых бирж очень схожи, несмотря на то, что их общие графики плотностей распределения коэффициентов корреляции за весь анализируемый период значительно отличаются.</w:t>
      </w:r>
    </w:p>
    <w:p w:rsidR="00FC0F89" w:rsidRPr="0016416C" w:rsidRDefault="00FC0F89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Важно отметить факт, что </w:t>
      </w:r>
      <w:r w:rsidR="00CE75D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общих графиках плотности распределения 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доля отрицательных</w:t>
      </w:r>
      <w:r w:rsidR="00CE75D4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значений корреляции была либо очень мала, либо и вовсе отсутсвовала, в то время как на любом аналогичном графике за отдельный период доля отрицательных значений корреляции куда более значительна. Можно сделать вывод, что доля отрицательных значений корреляции уменьшается с увеличением объема наблюдений.</w:t>
      </w:r>
    </w:p>
    <w:p w:rsidR="008B78CE" w:rsidRPr="0016416C" w:rsidRDefault="008B78CE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sz w:val="28"/>
          <w:szCs w:val="28"/>
        </w:rPr>
        <w:lastRenderedPageBreak/>
        <w:t xml:space="preserve">Общий график распределения плотности коэффициентов корреляции за 10 лет для Франкфуртской биржи имеет два ярко выраженных пика, но это явление отсутствует на аналогичных графиках за двухлетние периоды. </w:t>
      </w:r>
      <w:r w:rsidR="00C86346" w:rsidRPr="0016416C">
        <w:rPr>
          <w:rFonts w:ascii="Times New Roman" w:hAnsi="Times New Roman" w:cs="Times New Roman"/>
          <w:sz w:val="28"/>
          <w:szCs w:val="28"/>
        </w:rPr>
        <w:t xml:space="preserve">Анализ причин этого явление - </w:t>
      </w:r>
      <w:r w:rsidRPr="0016416C">
        <w:rPr>
          <w:rFonts w:ascii="Times New Roman" w:hAnsi="Times New Roman" w:cs="Times New Roman"/>
          <w:sz w:val="28"/>
          <w:szCs w:val="28"/>
        </w:rPr>
        <w:t>одно из направлений, в котором можно продолжить данное исследование</w:t>
      </w:r>
      <w:r w:rsidR="00C86346" w:rsidRPr="0016416C">
        <w:rPr>
          <w:rFonts w:ascii="Times New Roman" w:hAnsi="Times New Roman" w:cs="Times New Roman"/>
          <w:sz w:val="28"/>
          <w:szCs w:val="28"/>
        </w:rPr>
        <w:t>.</w:t>
      </w:r>
    </w:p>
    <w:p w:rsidR="00CE75D4" w:rsidRPr="0016416C" w:rsidRDefault="00CE75D4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Следующим этапом анализа было сравнение размеров максимальных клик в различные периоды, при различных пороговых значениях </w:t>
      </w:r>
      <w:r w:rsidRPr="0016416C">
        <w:rPr>
          <w:rFonts w:ascii="Times New Roman" w:hAnsi="Times New Roman" w:cs="Times New Roman"/>
          <w:sz w:val="28"/>
          <w:szCs w:val="28"/>
        </w:rPr>
        <w:t>θ.</w:t>
      </w:r>
    </w:p>
    <w:p w:rsidR="00CE75D4" w:rsidRPr="0016416C" w:rsidRDefault="00CE75D4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Результаты представлены в таблицах ниже.</w:t>
      </w:r>
    </w:p>
    <w:p w:rsidR="00CE75D4" w:rsidRPr="0016416C" w:rsidRDefault="00CE75D4" w:rsidP="00F25203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6416C">
        <w:rPr>
          <w:rFonts w:ascii="Times New Roman" w:hAnsi="Times New Roman" w:cs="Times New Roman"/>
          <w:sz w:val="28"/>
          <w:szCs w:val="28"/>
        </w:rPr>
        <w:t>Для Лондонской фондовой биржи: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8"/>
        <w:gridCol w:w="966"/>
        <w:gridCol w:w="967"/>
        <w:gridCol w:w="966"/>
        <w:gridCol w:w="966"/>
        <w:gridCol w:w="966"/>
        <w:gridCol w:w="967"/>
        <w:gridCol w:w="967"/>
        <w:gridCol w:w="967"/>
      </w:tblGrid>
      <w:tr w:rsidR="006C7CEF" w:rsidRPr="0016416C" w:rsidTr="00185F22">
        <w:tc>
          <w:tcPr>
            <w:tcW w:w="1328" w:type="dxa"/>
          </w:tcPr>
          <w:p w:rsidR="00CE75D4" w:rsidRPr="0016416C" w:rsidRDefault="00CE75D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proofErr w:type="spellStart"/>
            <w:r w:rsidRPr="00164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Период</w:t>
            </w:r>
            <w:proofErr w:type="spellEnd"/>
            <w:r w:rsidRPr="00164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6416C"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0.2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0.4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0.7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CE75D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2006-2007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61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44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CE75D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2007-2008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CE75D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2008-2009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CE75D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2009-2010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2010-2011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69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CE75D4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2011-2012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2012-2013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2013-2014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55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6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CE75D4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>2014-2015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185F22" w:rsidRPr="0016416C" w:rsidRDefault="00185F2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Таблица 9. Размеры максимальных клик Лондонской фондовой биржи в различные периоды (2006-2015 гг.), при различных пороговых значениях </w:t>
      </w:r>
      <w:r w:rsidRPr="0016416C">
        <w:rPr>
          <w:rFonts w:ascii="Times New Roman" w:hAnsi="Times New Roman" w:cs="Times New Roman"/>
          <w:sz w:val="28"/>
          <w:szCs w:val="28"/>
        </w:rPr>
        <w:t>θ</w:t>
      </w:r>
    </w:p>
    <w:p w:rsidR="006C7CEF" w:rsidRPr="0016416C" w:rsidRDefault="006C7CEF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Для Франкфуртской фондовой биржи: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8"/>
        <w:gridCol w:w="967"/>
        <w:gridCol w:w="966"/>
        <w:gridCol w:w="966"/>
        <w:gridCol w:w="966"/>
        <w:gridCol w:w="966"/>
        <w:gridCol w:w="967"/>
        <w:gridCol w:w="967"/>
        <w:gridCol w:w="967"/>
      </w:tblGrid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sz w:val="28"/>
                <w:szCs w:val="28"/>
              </w:rPr>
              <w:t>Период/θ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2006-2007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2007-2008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2008-2009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2009-2010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2010-2011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2011-2012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2012-2013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2013-2014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6C7CEF" w:rsidRPr="0016416C" w:rsidTr="00185F22">
        <w:tc>
          <w:tcPr>
            <w:tcW w:w="1328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2014-2015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66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7" w:type="dxa"/>
          </w:tcPr>
          <w:p w:rsidR="006C7CEF" w:rsidRPr="0016416C" w:rsidRDefault="006C7CEF" w:rsidP="00664838">
            <w:pPr>
              <w:spacing w:before="120"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6416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6C7CEF" w:rsidRPr="0016416C" w:rsidRDefault="00185F2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Таблица 10. Размеры максимальных клик Франкфуртской фондовой биржи в различные периоды(2006-2015 гг.), при различных пороговых значениях </w:t>
      </w:r>
      <w:r w:rsidRPr="0016416C">
        <w:rPr>
          <w:rFonts w:ascii="Times New Roman" w:hAnsi="Times New Roman" w:cs="Times New Roman"/>
          <w:sz w:val="28"/>
          <w:szCs w:val="28"/>
        </w:rPr>
        <w:t>θ</w:t>
      </w:r>
    </w:p>
    <w:p w:rsidR="00F05DD5" w:rsidRPr="0016416C" w:rsidRDefault="00647EF3" w:rsidP="00BA3827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Сразу видно, что ни в один из периодов никакие акции на Франкфуртской фондовой бирже не имели уровень корреляции выше 0.9, а на Лондонской фондовой бирже такая ситуация произошла лишь в 2007-2008 гг. </w:t>
      </w:r>
    </w:p>
    <w:p w:rsidR="00F05DD5" w:rsidRPr="0016416C" w:rsidRDefault="004A0D8A" w:rsidP="00BA3827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Размеры максима</w:t>
      </w:r>
      <w:r w:rsidR="00F05D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льных клик на обеих биржах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увеличились в кризи</w:t>
      </w:r>
      <w:r w:rsidR="00FB256C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ные годы (2007-2009</w:t>
      </w:r>
      <w:r w:rsidR="00F05D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гг.</w:t>
      </w: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 w:rsidR="00F05DD5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>Подобное явление, говорящее о повышении среднего уровня попарной корреляции ранее также было отмечено при анализе графиков плотностей распределения коэффициентов корреляции за двухлетние периоды.</w:t>
      </w:r>
    </w:p>
    <w:p w:rsidR="00CE75D4" w:rsidRPr="0016416C" w:rsidRDefault="00F05DD5" w:rsidP="00BA3827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="00423866" w:rsidRPr="001641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Лондонской фондовой бирже размеры клик резко уменьшились в 2009-2010 гг. Размеры клик на Франкфуртской бирже в данный период при большинстве размеров порога </w:t>
      </w:r>
      <w:r w:rsidR="00423866" w:rsidRPr="0016416C">
        <w:rPr>
          <w:rFonts w:ascii="Times New Roman" w:hAnsi="Times New Roman" w:cs="Times New Roman"/>
          <w:sz w:val="28"/>
          <w:szCs w:val="28"/>
        </w:rPr>
        <w:t xml:space="preserve">θ превышали размеры клик на Лондонской бирже, что говорит о куда более высокой глобализации немецкого рынка, особенно учитывая, что общее количество </w:t>
      </w:r>
      <w:r w:rsidR="00FB256C" w:rsidRPr="0016416C">
        <w:rPr>
          <w:rFonts w:ascii="Times New Roman" w:hAnsi="Times New Roman" w:cs="Times New Roman"/>
          <w:sz w:val="28"/>
          <w:szCs w:val="28"/>
        </w:rPr>
        <w:t>отобранных для анализа</w:t>
      </w:r>
      <w:r w:rsidR="00423866" w:rsidRPr="0016416C">
        <w:rPr>
          <w:rFonts w:ascii="Times New Roman" w:hAnsi="Times New Roman" w:cs="Times New Roman"/>
          <w:sz w:val="28"/>
          <w:szCs w:val="28"/>
        </w:rPr>
        <w:t xml:space="preserve"> немецких фирм было меньше.</w:t>
      </w:r>
    </w:p>
    <w:p w:rsidR="00185F22" w:rsidRPr="0016416C" w:rsidRDefault="003F1120" w:rsidP="00BA3827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 целом, по уровню глобализации и динамике изменений размеров максимальных клик обе биржи весьма схожи. Данная особенность сохраняется как в кризисные периоды 2008, 2015 годов, так и в остальные периоды.</w:t>
      </w:r>
      <w:r w:rsidR="00185F22" w:rsidRPr="0016416C">
        <w:rPr>
          <w:rFonts w:ascii="Times New Roman" w:hAnsi="Times New Roman" w:cs="Times New Roman"/>
          <w:sz w:val="28"/>
          <w:szCs w:val="28"/>
        </w:rPr>
        <w:t xml:space="preserve"> Это позволяет сделать вывод о сильном влиянии глобальных экономических событий на экономические сети, именно они во многом определяют динамику изменения цен акций компаний по всему миру.</w:t>
      </w:r>
    </w:p>
    <w:p w:rsidR="00423866" w:rsidRPr="0016416C" w:rsidRDefault="00423866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F22" w:rsidRPr="0016416C" w:rsidRDefault="00185F2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F22" w:rsidRPr="0016416C" w:rsidRDefault="00185F2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F22" w:rsidRPr="0016416C" w:rsidRDefault="00185F22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6346" w:rsidRPr="0016416C" w:rsidRDefault="00C86346" w:rsidP="00664838">
      <w:pPr>
        <w:shd w:val="clear" w:color="auto" w:fill="FFFFFF"/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0D85" w:rsidRPr="0016416C" w:rsidRDefault="00370D85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355D" w:rsidRPr="0016416C" w:rsidRDefault="00FB355D" w:rsidP="00664838">
      <w:pPr>
        <w:shd w:val="clear" w:color="auto" w:fill="FFFFFF"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5F22" w:rsidRPr="0016416C" w:rsidRDefault="00BA3827" w:rsidP="00BA3827">
      <w:pPr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br w:type="page"/>
      </w:r>
    </w:p>
    <w:p w:rsidR="009F7B86" w:rsidRPr="0016416C" w:rsidRDefault="009F7B86" w:rsidP="00664838">
      <w:pPr>
        <w:shd w:val="clear" w:color="auto" w:fill="FFFFFF"/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F7B86" w:rsidRPr="0016416C" w:rsidRDefault="009F7B86" w:rsidP="00BA3827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Проведенный анализ позволил выявить</w:t>
      </w:r>
      <w:r w:rsidR="00B91314" w:rsidRPr="0016416C">
        <w:rPr>
          <w:rFonts w:ascii="Times New Roman" w:hAnsi="Times New Roman" w:cs="Times New Roman"/>
          <w:sz w:val="28"/>
          <w:szCs w:val="28"/>
        </w:rPr>
        <w:t xml:space="preserve"> структурные особенности </w:t>
      </w:r>
      <w:r w:rsidRPr="0016416C">
        <w:rPr>
          <w:rFonts w:ascii="Times New Roman" w:hAnsi="Times New Roman" w:cs="Times New Roman"/>
          <w:sz w:val="28"/>
          <w:szCs w:val="28"/>
        </w:rPr>
        <w:t>Лондонской и Франкфуртской фондовых биржах</w:t>
      </w:r>
      <w:r w:rsidR="00B91314" w:rsidRPr="0016416C">
        <w:rPr>
          <w:rFonts w:ascii="Times New Roman" w:hAnsi="Times New Roman" w:cs="Times New Roman"/>
          <w:sz w:val="28"/>
          <w:szCs w:val="28"/>
        </w:rPr>
        <w:t>.</w:t>
      </w:r>
    </w:p>
    <w:p w:rsidR="00B91314" w:rsidRPr="0016416C" w:rsidRDefault="00B91314" w:rsidP="00BA3827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Сравнение показало более высокий средний уровень попарной корреляции среди фирм Франкфуртской фондовой биржи по сравнению с фирмами Лондонской фондовой биржи. Как следствие уровень глобализации рынка был выше для Франкфуртской биржи, что доказывается в среднем более высокой плотностью ребер в модели графа Франкфуртской биржи.</w:t>
      </w:r>
    </w:p>
    <w:p w:rsidR="008B78CE" w:rsidRPr="0016416C" w:rsidRDefault="008B78CE" w:rsidP="00BA3827">
      <w:pPr>
        <w:shd w:val="clear" w:color="auto" w:fill="FFFFFF"/>
        <w:spacing w:before="12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Для обеих бирж выявлены схожие характерные особенности: очень малая часть отрицательных коэффициентов корреляции</w:t>
      </w:r>
      <w:r w:rsidR="00C86346" w:rsidRPr="0016416C">
        <w:rPr>
          <w:rFonts w:ascii="Times New Roman" w:hAnsi="Times New Roman" w:cs="Times New Roman"/>
          <w:sz w:val="28"/>
          <w:szCs w:val="28"/>
        </w:rPr>
        <w:t>, более высокая средняя корреляция среди фирм из одинаковой отрасли.</w:t>
      </w:r>
    </w:p>
    <w:p w:rsidR="00B91314" w:rsidRPr="0016416C" w:rsidRDefault="00B91314" w:rsidP="00BA3827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Несмотря на то, что</w:t>
      </w:r>
      <w:r w:rsidR="008B78CE" w:rsidRPr="0016416C">
        <w:rPr>
          <w:rFonts w:ascii="Times New Roman" w:hAnsi="Times New Roman" w:cs="Times New Roman"/>
          <w:sz w:val="28"/>
          <w:szCs w:val="28"/>
        </w:rPr>
        <w:t xml:space="preserve"> общие</w:t>
      </w:r>
      <w:r w:rsidRPr="0016416C">
        <w:rPr>
          <w:rFonts w:ascii="Times New Roman" w:hAnsi="Times New Roman" w:cs="Times New Roman"/>
          <w:sz w:val="28"/>
          <w:szCs w:val="28"/>
        </w:rPr>
        <w:t xml:space="preserve"> графики распределения плотности коэффициентов корреляции</w:t>
      </w:r>
      <w:r w:rsidR="008B78CE" w:rsidRPr="0016416C">
        <w:rPr>
          <w:rFonts w:ascii="Times New Roman" w:hAnsi="Times New Roman" w:cs="Times New Roman"/>
          <w:sz w:val="28"/>
          <w:szCs w:val="28"/>
        </w:rPr>
        <w:t xml:space="preserve"> за 10 лет для обеих бирж сильно отличаются, их графики за двухлетние </w:t>
      </w:r>
      <w:r w:rsidR="00C86346" w:rsidRPr="0016416C">
        <w:rPr>
          <w:rFonts w:ascii="Times New Roman" w:hAnsi="Times New Roman" w:cs="Times New Roman"/>
          <w:sz w:val="28"/>
          <w:szCs w:val="28"/>
        </w:rPr>
        <w:t xml:space="preserve">периоды имеют куда меньше различий, более того, динамика их изменений с течением времени очень схожа. </w:t>
      </w:r>
      <w:r w:rsidR="00370D85" w:rsidRPr="0016416C">
        <w:rPr>
          <w:rFonts w:ascii="Times New Roman" w:hAnsi="Times New Roman" w:cs="Times New Roman"/>
          <w:sz w:val="28"/>
          <w:szCs w:val="28"/>
        </w:rPr>
        <w:t>Это позволяет сделать вывод о сильном влиянии глобальных экономических событий на экономические сети, именно они во многом определяют динамику изменения цен акций компаний по всему миру.</w:t>
      </w:r>
    </w:p>
    <w:p w:rsidR="00285ADF" w:rsidRPr="0016416C" w:rsidRDefault="00285ADF" w:rsidP="00BA3827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Задачи курсовой работы считаю выполненными, а цели достигнутыми.</w:t>
      </w:r>
    </w:p>
    <w:p w:rsidR="00370D85" w:rsidRPr="0016416C" w:rsidRDefault="00370D85" w:rsidP="00BA3827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Дальнейшим этапом данного исследования может послужить проведение кластеризации полученных моделей графов рынков. Фирмы, составляющие полученные таким образом кластеры могут быть проверены на предмет принадлежности к одной отрасли, что послужит очередным доказательством повышенной корреляции </w:t>
      </w:r>
      <w:r w:rsidR="00285ADF" w:rsidRPr="0016416C">
        <w:rPr>
          <w:rFonts w:ascii="Times New Roman" w:hAnsi="Times New Roman" w:cs="Times New Roman"/>
          <w:sz w:val="28"/>
          <w:szCs w:val="28"/>
        </w:rPr>
        <w:t>фирм одной сферы деятельности. Даже если ожидания не подтвердятся, то кластеризация в любом случае позволит получить новую информацию о взаимосвязи цен акций фирм на биржах.</w:t>
      </w:r>
    </w:p>
    <w:p w:rsidR="00BA3827" w:rsidRPr="0016416C" w:rsidRDefault="00BA3827" w:rsidP="006648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NewBaskervilleC" w:hAnsi="Times New Roman" w:cs="Times New Roman"/>
          <w:i/>
          <w:sz w:val="28"/>
          <w:szCs w:val="28"/>
        </w:rPr>
      </w:pPr>
    </w:p>
    <w:p w:rsidR="00BA3827" w:rsidRPr="0016416C" w:rsidRDefault="00BA3827" w:rsidP="00BA3827">
      <w:pPr>
        <w:rPr>
          <w:rFonts w:ascii="Times New Roman" w:eastAsia="NewBaskervilleC" w:hAnsi="Times New Roman" w:cs="Times New Roman"/>
          <w:i/>
          <w:sz w:val="28"/>
          <w:szCs w:val="28"/>
        </w:rPr>
      </w:pPr>
      <w:r w:rsidRPr="0016416C">
        <w:rPr>
          <w:rFonts w:ascii="Times New Roman" w:eastAsia="NewBaskervilleC" w:hAnsi="Times New Roman" w:cs="Times New Roman"/>
          <w:i/>
          <w:sz w:val="28"/>
          <w:szCs w:val="28"/>
        </w:rPr>
        <w:br w:type="page"/>
      </w:r>
    </w:p>
    <w:p w:rsidR="00285ADF" w:rsidRPr="0016416C" w:rsidRDefault="00285ADF" w:rsidP="006648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NewBaskervilleC" w:hAnsi="Times New Roman" w:cs="Times New Roman"/>
          <w:i/>
          <w:sz w:val="28"/>
          <w:szCs w:val="28"/>
        </w:rPr>
      </w:pPr>
      <w:r w:rsidRPr="0016416C">
        <w:rPr>
          <w:rFonts w:ascii="Times New Roman" w:eastAsia="NewBaskervilleC" w:hAnsi="Times New Roman" w:cs="Times New Roman"/>
          <w:i/>
          <w:sz w:val="28"/>
          <w:szCs w:val="28"/>
        </w:rPr>
        <w:lastRenderedPageBreak/>
        <w:t>Список литературы</w:t>
      </w:r>
    </w:p>
    <w:p w:rsidR="00285ADF" w:rsidRPr="0016416C" w:rsidRDefault="00285ADF" w:rsidP="00664838">
      <w:pPr>
        <w:pStyle w:val="1"/>
        <w:shd w:val="clear" w:color="auto" w:fill="FFFFFF"/>
        <w:spacing w:after="0" w:afterAutospacing="0" w:line="360" w:lineRule="atLeast"/>
        <w:rPr>
          <w:b w:val="0"/>
          <w:bCs w:val="0"/>
          <w:sz w:val="28"/>
          <w:szCs w:val="28"/>
        </w:rPr>
      </w:pPr>
      <w:r w:rsidRPr="0016416C">
        <w:rPr>
          <w:b w:val="0"/>
          <w:bCs w:val="0"/>
          <w:sz w:val="28"/>
          <w:szCs w:val="28"/>
        </w:rPr>
        <w:t>[1</w:t>
      </w:r>
      <w:proofErr w:type="gramStart"/>
      <w:r w:rsidRPr="0016416C">
        <w:rPr>
          <w:b w:val="0"/>
          <w:bCs w:val="0"/>
          <w:sz w:val="28"/>
          <w:szCs w:val="28"/>
        </w:rPr>
        <w:t>].</w:t>
      </w:r>
      <w:proofErr w:type="spellStart"/>
      <w:r w:rsidRPr="0016416C">
        <w:rPr>
          <w:b w:val="0"/>
          <w:bCs w:val="0"/>
          <w:sz w:val="28"/>
          <w:szCs w:val="28"/>
        </w:rPr>
        <w:t>Берзон</w:t>
      </w:r>
      <w:proofErr w:type="spellEnd"/>
      <w:proofErr w:type="gramEnd"/>
      <w:r w:rsidRPr="0016416C">
        <w:rPr>
          <w:b w:val="0"/>
          <w:bCs w:val="0"/>
          <w:sz w:val="28"/>
          <w:szCs w:val="28"/>
        </w:rPr>
        <w:t xml:space="preserve"> Н.И., </w:t>
      </w:r>
      <w:proofErr w:type="spellStart"/>
      <w:r w:rsidRPr="0016416C">
        <w:rPr>
          <w:b w:val="0"/>
          <w:bCs w:val="0"/>
          <w:sz w:val="28"/>
          <w:szCs w:val="28"/>
        </w:rPr>
        <w:t>Буянова</w:t>
      </w:r>
      <w:proofErr w:type="spellEnd"/>
      <w:r w:rsidRPr="0016416C">
        <w:rPr>
          <w:b w:val="0"/>
          <w:bCs w:val="0"/>
          <w:sz w:val="28"/>
          <w:szCs w:val="28"/>
        </w:rPr>
        <w:t xml:space="preserve"> </w:t>
      </w:r>
      <w:proofErr w:type="spellStart"/>
      <w:r w:rsidRPr="0016416C">
        <w:rPr>
          <w:b w:val="0"/>
          <w:bCs w:val="0"/>
          <w:sz w:val="28"/>
          <w:szCs w:val="28"/>
        </w:rPr>
        <w:t>Е.А.,Кожевников</w:t>
      </w:r>
      <w:proofErr w:type="spellEnd"/>
      <w:r w:rsidRPr="0016416C">
        <w:rPr>
          <w:b w:val="0"/>
          <w:bCs w:val="0"/>
          <w:sz w:val="28"/>
          <w:szCs w:val="28"/>
        </w:rPr>
        <w:t xml:space="preserve"> М.А., Чаленко А.В. Фондовый рынок: Учебное пособие для высших учебных заведений экономического профиля. — М.: Вита-Пресс,1998. - 400 с.</w:t>
      </w:r>
    </w:p>
    <w:p w:rsidR="00285ADF" w:rsidRPr="0016416C" w:rsidRDefault="00285ADF" w:rsidP="00664838">
      <w:pPr>
        <w:pStyle w:val="1"/>
        <w:spacing w:after="0" w:afterAutospacing="0" w:line="360" w:lineRule="auto"/>
        <w:rPr>
          <w:b w:val="0"/>
          <w:sz w:val="28"/>
          <w:szCs w:val="28"/>
          <w:lang w:val="en-US"/>
        </w:rPr>
      </w:pPr>
      <w:r w:rsidRPr="0016416C">
        <w:rPr>
          <w:b w:val="0"/>
          <w:sz w:val="28"/>
          <w:szCs w:val="28"/>
          <w:lang w:val="en-US"/>
        </w:rPr>
        <w:t xml:space="preserve">[2]. </w:t>
      </w:r>
      <w:proofErr w:type="spellStart"/>
      <w:r w:rsidRPr="0016416C">
        <w:rPr>
          <w:b w:val="0"/>
          <w:sz w:val="28"/>
          <w:szCs w:val="28"/>
          <w:lang w:val="en-US"/>
        </w:rPr>
        <w:t>Boginski</w:t>
      </w:r>
      <w:proofErr w:type="spellEnd"/>
      <w:r w:rsidRPr="0016416C">
        <w:rPr>
          <w:b w:val="0"/>
          <w:sz w:val="28"/>
          <w:szCs w:val="28"/>
          <w:lang w:val="en-US"/>
        </w:rPr>
        <w:t xml:space="preserve"> V., </w:t>
      </w:r>
      <w:proofErr w:type="spellStart"/>
      <w:r w:rsidRPr="0016416C">
        <w:rPr>
          <w:b w:val="0"/>
          <w:sz w:val="28"/>
          <w:szCs w:val="28"/>
          <w:lang w:val="en-US"/>
        </w:rPr>
        <w:t>Butenko</w:t>
      </w:r>
      <w:proofErr w:type="spellEnd"/>
      <w:r w:rsidRPr="0016416C">
        <w:rPr>
          <w:b w:val="0"/>
          <w:sz w:val="28"/>
          <w:szCs w:val="28"/>
          <w:lang w:val="en-US"/>
        </w:rPr>
        <w:t xml:space="preserve"> S., </w:t>
      </w:r>
      <w:proofErr w:type="spellStart"/>
      <w:r w:rsidRPr="0016416C">
        <w:rPr>
          <w:b w:val="0"/>
          <w:sz w:val="28"/>
          <w:szCs w:val="28"/>
          <w:lang w:val="en-US"/>
        </w:rPr>
        <w:t>Pardalos</w:t>
      </w:r>
      <w:proofErr w:type="spellEnd"/>
      <w:r w:rsidRPr="0016416C">
        <w:rPr>
          <w:b w:val="0"/>
          <w:sz w:val="28"/>
          <w:szCs w:val="28"/>
          <w:lang w:val="en-US"/>
        </w:rPr>
        <w:t xml:space="preserve"> P.M. (2006). Mining Market Data: A Network Approach</w:t>
      </w:r>
    </w:p>
    <w:p w:rsidR="00285ADF" w:rsidRPr="0016416C" w:rsidRDefault="00285ADF" w:rsidP="00664838">
      <w:pPr>
        <w:pStyle w:val="1"/>
        <w:spacing w:after="0" w:afterAutospacing="0" w:line="360" w:lineRule="auto"/>
        <w:rPr>
          <w:b w:val="0"/>
          <w:sz w:val="28"/>
          <w:szCs w:val="28"/>
        </w:rPr>
      </w:pPr>
      <w:r w:rsidRPr="0016416C">
        <w:rPr>
          <w:b w:val="0"/>
          <w:sz w:val="28"/>
          <w:szCs w:val="28"/>
          <w:lang w:val="en-US"/>
        </w:rPr>
        <w:t xml:space="preserve">[3]. </w:t>
      </w:r>
      <w:r w:rsidRPr="0016416C">
        <w:rPr>
          <w:b w:val="0"/>
          <w:sz w:val="28"/>
          <w:szCs w:val="28"/>
        </w:rPr>
        <w:t>А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Н</w:t>
      </w:r>
      <w:r w:rsidRPr="0016416C">
        <w:rPr>
          <w:b w:val="0"/>
          <w:sz w:val="28"/>
          <w:szCs w:val="28"/>
          <w:lang w:val="en-US"/>
        </w:rPr>
        <w:t xml:space="preserve">. </w:t>
      </w:r>
      <w:r w:rsidRPr="0016416C">
        <w:rPr>
          <w:b w:val="0"/>
          <w:sz w:val="28"/>
          <w:szCs w:val="28"/>
        </w:rPr>
        <w:t>Визгунов</w:t>
      </w:r>
      <w:r w:rsidRPr="0016416C">
        <w:rPr>
          <w:b w:val="0"/>
          <w:sz w:val="28"/>
          <w:szCs w:val="28"/>
          <w:lang w:val="en-US"/>
        </w:rPr>
        <w:t xml:space="preserve">, </w:t>
      </w:r>
      <w:r w:rsidRPr="0016416C">
        <w:rPr>
          <w:b w:val="0"/>
          <w:sz w:val="28"/>
          <w:szCs w:val="28"/>
        </w:rPr>
        <w:t>Б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И</w:t>
      </w:r>
      <w:r w:rsidRPr="0016416C">
        <w:rPr>
          <w:b w:val="0"/>
          <w:sz w:val="28"/>
          <w:szCs w:val="28"/>
          <w:lang w:val="en-US"/>
        </w:rPr>
        <w:t xml:space="preserve">. </w:t>
      </w:r>
      <w:proofErr w:type="spellStart"/>
      <w:r w:rsidRPr="0016416C">
        <w:rPr>
          <w:b w:val="0"/>
          <w:sz w:val="28"/>
          <w:szCs w:val="28"/>
        </w:rPr>
        <w:t>Гольденгорин</w:t>
      </w:r>
      <w:proofErr w:type="spellEnd"/>
      <w:r w:rsidRPr="0016416C">
        <w:rPr>
          <w:b w:val="0"/>
          <w:sz w:val="28"/>
          <w:szCs w:val="28"/>
          <w:lang w:val="en-US"/>
        </w:rPr>
        <w:t xml:space="preserve">, </w:t>
      </w:r>
      <w:r w:rsidRPr="0016416C">
        <w:rPr>
          <w:b w:val="0"/>
          <w:sz w:val="28"/>
          <w:szCs w:val="28"/>
        </w:rPr>
        <w:t>В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А</w:t>
      </w:r>
      <w:r w:rsidRPr="0016416C">
        <w:rPr>
          <w:b w:val="0"/>
          <w:sz w:val="28"/>
          <w:szCs w:val="28"/>
          <w:lang w:val="en-US"/>
        </w:rPr>
        <w:t xml:space="preserve">. </w:t>
      </w:r>
      <w:r w:rsidRPr="0016416C">
        <w:rPr>
          <w:b w:val="0"/>
          <w:sz w:val="28"/>
          <w:szCs w:val="28"/>
        </w:rPr>
        <w:t>Замараев</w:t>
      </w:r>
      <w:r w:rsidRPr="0016416C">
        <w:rPr>
          <w:b w:val="0"/>
          <w:sz w:val="28"/>
          <w:szCs w:val="28"/>
          <w:lang w:val="en-US"/>
        </w:rPr>
        <w:t xml:space="preserve">, </w:t>
      </w:r>
      <w:r w:rsidRPr="0016416C">
        <w:rPr>
          <w:b w:val="0"/>
          <w:sz w:val="28"/>
          <w:szCs w:val="28"/>
        </w:rPr>
        <w:t>В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А</w:t>
      </w:r>
      <w:r w:rsidRPr="0016416C">
        <w:rPr>
          <w:b w:val="0"/>
          <w:sz w:val="28"/>
          <w:szCs w:val="28"/>
          <w:lang w:val="en-US"/>
        </w:rPr>
        <w:t xml:space="preserve">. </w:t>
      </w:r>
      <w:r w:rsidRPr="0016416C">
        <w:rPr>
          <w:b w:val="0"/>
          <w:sz w:val="28"/>
          <w:szCs w:val="28"/>
        </w:rPr>
        <w:t>Калягин</w:t>
      </w:r>
      <w:r w:rsidRPr="0016416C">
        <w:rPr>
          <w:b w:val="0"/>
          <w:sz w:val="28"/>
          <w:szCs w:val="28"/>
          <w:lang w:val="en-US"/>
        </w:rPr>
        <w:t xml:space="preserve">, </w:t>
      </w:r>
      <w:r w:rsidRPr="0016416C">
        <w:rPr>
          <w:b w:val="0"/>
          <w:sz w:val="28"/>
          <w:szCs w:val="28"/>
        </w:rPr>
        <w:t>А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П</w:t>
      </w:r>
      <w:r w:rsidRPr="0016416C">
        <w:rPr>
          <w:b w:val="0"/>
          <w:sz w:val="28"/>
          <w:szCs w:val="28"/>
          <w:lang w:val="en-US"/>
        </w:rPr>
        <w:t xml:space="preserve">. </w:t>
      </w:r>
      <w:proofErr w:type="spellStart"/>
      <w:r w:rsidRPr="0016416C">
        <w:rPr>
          <w:b w:val="0"/>
          <w:sz w:val="28"/>
          <w:szCs w:val="28"/>
        </w:rPr>
        <w:t>Колданов</w:t>
      </w:r>
      <w:proofErr w:type="spellEnd"/>
      <w:r w:rsidRPr="0016416C">
        <w:rPr>
          <w:b w:val="0"/>
          <w:sz w:val="28"/>
          <w:szCs w:val="28"/>
          <w:lang w:val="en-US"/>
        </w:rPr>
        <w:t xml:space="preserve">, </w:t>
      </w:r>
      <w:r w:rsidRPr="0016416C">
        <w:rPr>
          <w:b w:val="0"/>
          <w:sz w:val="28"/>
          <w:szCs w:val="28"/>
        </w:rPr>
        <w:t>П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А</w:t>
      </w:r>
      <w:r w:rsidRPr="0016416C">
        <w:rPr>
          <w:b w:val="0"/>
          <w:sz w:val="28"/>
          <w:szCs w:val="28"/>
          <w:lang w:val="en-US"/>
        </w:rPr>
        <w:t xml:space="preserve">. </w:t>
      </w:r>
      <w:proofErr w:type="spellStart"/>
      <w:r w:rsidRPr="0016416C">
        <w:rPr>
          <w:b w:val="0"/>
          <w:sz w:val="28"/>
          <w:szCs w:val="28"/>
        </w:rPr>
        <w:t>Колданов</w:t>
      </w:r>
      <w:proofErr w:type="spellEnd"/>
      <w:r w:rsidRPr="0016416C">
        <w:rPr>
          <w:b w:val="0"/>
          <w:sz w:val="28"/>
          <w:szCs w:val="28"/>
          <w:lang w:val="en-US"/>
        </w:rPr>
        <w:t xml:space="preserve">, </w:t>
      </w:r>
      <w:r w:rsidRPr="0016416C">
        <w:rPr>
          <w:b w:val="0"/>
          <w:sz w:val="28"/>
          <w:szCs w:val="28"/>
        </w:rPr>
        <w:t>П</w:t>
      </w:r>
      <w:r w:rsidRPr="0016416C">
        <w:rPr>
          <w:b w:val="0"/>
          <w:sz w:val="28"/>
          <w:szCs w:val="28"/>
          <w:lang w:val="en-US"/>
        </w:rPr>
        <w:t>.</w:t>
      </w:r>
      <w:r w:rsidRPr="0016416C">
        <w:rPr>
          <w:b w:val="0"/>
          <w:sz w:val="28"/>
          <w:szCs w:val="28"/>
        </w:rPr>
        <w:t>М</w:t>
      </w:r>
      <w:r w:rsidRPr="0016416C">
        <w:rPr>
          <w:b w:val="0"/>
          <w:sz w:val="28"/>
          <w:szCs w:val="28"/>
          <w:lang w:val="en-US"/>
        </w:rPr>
        <w:t xml:space="preserve">. </w:t>
      </w:r>
      <w:proofErr w:type="spellStart"/>
      <w:r w:rsidRPr="0016416C">
        <w:rPr>
          <w:b w:val="0"/>
          <w:sz w:val="28"/>
          <w:szCs w:val="28"/>
        </w:rPr>
        <w:t>Пардалос</w:t>
      </w:r>
      <w:proofErr w:type="spellEnd"/>
      <w:r w:rsidRPr="0016416C">
        <w:rPr>
          <w:b w:val="0"/>
          <w:sz w:val="28"/>
          <w:szCs w:val="28"/>
          <w:lang w:val="en-US"/>
        </w:rPr>
        <w:t xml:space="preserve">. </w:t>
      </w:r>
      <w:r w:rsidRPr="0016416C">
        <w:rPr>
          <w:b w:val="0"/>
          <w:sz w:val="28"/>
          <w:szCs w:val="28"/>
        </w:rPr>
        <w:t>Применение рыночных графов к анализу фондового рынка России.//</w:t>
      </w:r>
      <w:r w:rsidRPr="0016416C">
        <w:t xml:space="preserve"> </w:t>
      </w:r>
      <w:r w:rsidRPr="0016416C">
        <w:rPr>
          <w:b w:val="0"/>
          <w:sz w:val="28"/>
          <w:szCs w:val="28"/>
        </w:rPr>
        <w:t>Журнал Новой экономической ассоциации №3 (15), C. 66–81</w:t>
      </w:r>
    </w:p>
    <w:p w:rsidR="00285ADF" w:rsidRPr="0016416C" w:rsidRDefault="00285ADF" w:rsidP="00664838">
      <w:pPr>
        <w:pStyle w:val="1"/>
        <w:shd w:val="clear" w:color="auto" w:fill="FFFFFF"/>
        <w:spacing w:before="0" w:beforeAutospacing="0" w:after="0" w:afterAutospacing="0" w:line="360" w:lineRule="atLeast"/>
        <w:rPr>
          <w:b w:val="0"/>
          <w:bCs w:val="0"/>
          <w:sz w:val="28"/>
          <w:szCs w:val="28"/>
          <w:lang w:val="en-US"/>
        </w:rPr>
      </w:pPr>
      <w:r w:rsidRPr="0016416C">
        <w:rPr>
          <w:b w:val="0"/>
          <w:bCs w:val="0"/>
          <w:sz w:val="28"/>
          <w:szCs w:val="28"/>
        </w:rPr>
        <w:t xml:space="preserve">[4]. Ричард </w:t>
      </w:r>
      <w:proofErr w:type="spellStart"/>
      <w:r w:rsidRPr="0016416C">
        <w:rPr>
          <w:b w:val="0"/>
          <w:bCs w:val="0"/>
          <w:sz w:val="28"/>
          <w:szCs w:val="28"/>
        </w:rPr>
        <w:t>Тьюлз</w:t>
      </w:r>
      <w:proofErr w:type="spellEnd"/>
      <w:r w:rsidRPr="0016416C">
        <w:rPr>
          <w:b w:val="0"/>
          <w:bCs w:val="0"/>
          <w:sz w:val="28"/>
          <w:szCs w:val="28"/>
        </w:rPr>
        <w:t xml:space="preserve">, Эдвард Брэдли, </w:t>
      </w:r>
      <w:proofErr w:type="spellStart"/>
      <w:r w:rsidRPr="0016416C">
        <w:rPr>
          <w:b w:val="0"/>
          <w:bCs w:val="0"/>
          <w:sz w:val="28"/>
          <w:szCs w:val="28"/>
        </w:rPr>
        <w:t>Тэд</w:t>
      </w:r>
      <w:proofErr w:type="spellEnd"/>
      <w:r w:rsidRPr="0016416C">
        <w:rPr>
          <w:b w:val="0"/>
          <w:bCs w:val="0"/>
          <w:sz w:val="28"/>
          <w:szCs w:val="28"/>
        </w:rPr>
        <w:t xml:space="preserve"> </w:t>
      </w:r>
      <w:proofErr w:type="spellStart"/>
      <w:r w:rsidRPr="0016416C">
        <w:rPr>
          <w:b w:val="0"/>
          <w:bCs w:val="0"/>
          <w:sz w:val="28"/>
          <w:szCs w:val="28"/>
        </w:rPr>
        <w:t>Тьюлз</w:t>
      </w:r>
      <w:proofErr w:type="spellEnd"/>
      <w:r w:rsidRPr="0016416C">
        <w:rPr>
          <w:b w:val="0"/>
          <w:bCs w:val="0"/>
          <w:sz w:val="28"/>
          <w:szCs w:val="28"/>
        </w:rPr>
        <w:t xml:space="preserve">. Фондовый </w:t>
      </w:r>
      <w:proofErr w:type="gramStart"/>
      <w:r w:rsidRPr="0016416C">
        <w:rPr>
          <w:b w:val="0"/>
          <w:bCs w:val="0"/>
          <w:sz w:val="28"/>
          <w:szCs w:val="28"/>
        </w:rPr>
        <w:t>рынок.-</w:t>
      </w:r>
      <w:proofErr w:type="gramEnd"/>
      <w:r w:rsidRPr="0016416C">
        <w:rPr>
          <w:b w:val="0"/>
          <w:bCs w:val="0"/>
          <w:sz w:val="28"/>
          <w:szCs w:val="28"/>
        </w:rPr>
        <w:t xml:space="preserve"> 6-е изд. :Пер. с англ.- М</w:t>
      </w:r>
      <w:r w:rsidRPr="0016416C">
        <w:rPr>
          <w:b w:val="0"/>
          <w:bCs w:val="0"/>
          <w:sz w:val="28"/>
          <w:szCs w:val="28"/>
          <w:lang w:val="en-US"/>
        </w:rPr>
        <w:t>.:</w:t>
      </w:r>
      <w:r w:rsidRPr="0016416C">
        <w:rPr>
          <w:b w:val="0"/>
          <w:bCs w:val="0"/>
          <w:sz w:val="28"/>
          <w:szCs w:val="28"/>
        </w:rPr>
        <w:t>Инфра</w:t>
      </w:r>
      <w:r w:rsidRPr="0016416C">
        <w:rPr>
          <w:b w:val="0"/>
          <w:bCs w:val="0"/>
          <w:sz w:val="28"/>
          <w:szCs w:val="28"/>
          <w:lang w:val="en-US"/>
        </w:rPr>
        <w:t>-</w:t>
      </w:r>
      <w:r w:rsidRPr="0016416C">
        <w:rPr>
          <w:b w:val="0"/>
          <w:bCs w:val="0"/>
          <w:sz w:val="28"/>
          <w:szCs w:val="28"/>
        </w:rPr>
        <w:t>М</w:t>
      </w:r>
      <w:r w:rsidRPr="0016416C">
        <w:rPr>
          <w:b w:val="0"/>
          <w:bCs w:val="0"/>
          <w:sz w:val="28"/>
          <w:szCs w:val="28"/>
          <w:lang w:val="en-US"/>
        </w:rPr>
        <w:t>, 2000.-VIII+648c.-(</w:t>
      </w:r>
      <w:r w:rsidRPr="0016416C">
        <w:rPr>
          <w:b w:val="0"/>
          <w:bCs w:val="0"/>
          <w:sz w:val="28"/>
          <w:szCs w:val="28"/>
        </w:rPr>
        <w:t>Университетский</w:t>
      </w:r>
      <w:r w:rsidRPr="0016416C">
        <w:rPr>
          <w:b w:val="0"/>
          <w:bCs w:val="0"/>
          <w:sz w:val="28"/>
          <w:szCs w:val="28"/>
          <w:lang w:val="en-US"/>
        </w:rPr>
        <w:t xml:space="preserve"> </w:t>
      </w:r>
      <w:r w:rsidRPr="0016416C">
        <w:rPr>
          <w:b w:val="0"/>
          <w:bCs w:val="0"/>
          <w:sz w:val="28"/>
          <w:szCs w:val="28"/>
        </w:rPr>
        <w:t>учебник</w:t>
      </w:r>
      <w:r w:rsidRPr="0016416C">
        <w:rPr>
          <w:b w:val="0"/>
          <w:bCs w:val="0"/>
          <w:sz w:val="28"/>
          <w:szCs w:val="28"/>
          <w:lang w:val="en-US"/>
        </w:rPr>
        <w:t>).</w:t>
      </w:r>
    </w:p>
    <w:p w:rsidR="00285ADF" w:rsidRPr="0016416C" w:rsidRDefault="00285ADF" w:rsidP="00664838">
      <w:pPr>
        <w:pStyle w:val="1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16416C">
        <w:rPr>
          <w:rFonts w:eastAsia="NewBaskervilleC"/>
          <w:b w:val="0"/>
          <w:sz w:val="28"/>
          <w:szCs w:val="28"/>
          <w:lang w:val="en-US"/>
        </w:rPr>
        <w:t>[5].</w:t>
      </w:r>
      <w:proofErr w:type="spellStart"/>
      <w:r w:rsidRPr="0016416C">
        <w:rPr>
          <w:rFonts w:eastAsia="NewBaskervilleC"/>
          <w:b w:val="0"/>
          <w:sz w:val="28"/>
          <w:szCs w:val="28"/>
          <w:lang w:val="en-US"/>
        </w:rPr>
        <w:t>Duntonse</w:t>
      </w:r>
      <w:proofErr w:type="spellEnd"/>
      <w:r w:rsidRPr="0016416C">
        <w:rPr>
          <w:rFonts w:eastAsia="NewBaskervilleC"/>
          <w:b w:val="0"/>
          <w:sz w:val="28"/>
          <w:szCs w:val="28"/>
          <w:lang w:val="en-US"/>
        </w:rPr>
        <w:t xml:space="preserve"> </w:t>
      </w:r>
      <w:proofErr w:type="gramStart"/>
      <w:r w:rsidRPr="0016416C">
        <w:rPr>
          <w:rFonts w:eastAsia="NewBaskervilleC"/>
          <w:b w:val="0"/>
          <w:sz w:val="28"/>
          <w:szCs w:val="28"/>
          <w:lang w:val="en-US"/>
        </w:rPr>
        <w:t>investment  company</w:t>
      </w:r>
      <w:proofErr w:type="gramEnd"/>
      <w:r w:rsidRPr="0016416C">
        <w:rPr>
          <w:rFonts w:eastAsia="NewBaskervilleC"/>
          <w:b w:val="0"/>
          <w:sz w:val="28"/>
          <w:szCs w:val="28"/>
          <w:lang w:val="en-US"/>
        </w:rPr>
        <w:t>.</w:t>
      </w:r>
      <w:r w:rsidRPr="0016416C">
        <w:rPr>
          <w:b w:val="0"/>
          <w:bCs w:val="0"/>
          <w:sz w:val="28"/>
          <w:szCs w:val="28"/>
          <w:lang w:val="en-US"/>
        </w:rPr>
        <w:t xml:space="preserve"> London Stock Exchange.  </w:t>
      </w:r>
      <w:r w:rsidRPr="0016416C">
        <w:rPr>
          <w:b w:val="0"/>
          <w:sz w:val="28"/>
          <w:szCs w:val="28"/>
        </w:rPr>
        <w:t>[Электронный ресурс</w:t>
      </w:r>
      <w:proofErr w:type="gramStart"/>
      <w:r w:rsidRPr="0016416C">
        <w:rPr>
          <w:b w:val="0"/>
          <w:sz w:val="28"/>
          <w:szCs w:val="28"/>
        </w:rPr>
        <w:t>].-</w:t>
      </w:r>
      <w:proofErr w:type="gramEnd"/>
      <w:r w:rsidRPr="0016416C">
        <w:rPr>
          <w:b w:val="0"/>
          <w:sz w:val="28"/>
          <w:szCs w:val="28"/>
        </w:rPr>
        <w:t xml:space="preserve"> режим доступа:</w:t>
      </w:r>
      <w:r w:rsidRPr="0016416C">
        <w:rPr>
          <w:b w:val="0"/>
          <w:bCs w:val="0"/>
          <w:sz w:val="28"/>
          <w:szCs w:val="28"/>
        </w:rPr>
        <w:t xml:space="preserve">  http://www.duntonse.com/Information/LSE/</w:t>
      </w:r>
    </w:p>
    <w:p w:rsidR="00285ADF" w:rsidRPr="0016416C" w:rsidRDefault="003B57D5" w:rsidP="00664838">
      <w:pPr>
        <w:pStyle w:val="1"/>
        <w:spacing w:after="0" w:afterAutospacing="0" w:line="360" w:lineRule="auto"/>
      </w:pPr>
      <w:r w:rsidRPr="0016416C">
        <w:rPr>
          <w:b w:val="0"/>
          <w:sz w:val="28"/>
          <w:szCs w:val="28"/>
        </w:rPr>
        <w:t xml:space="preserve"> </w:t>
      </w:r>
      <w:r w:rsidR="00285ADF" w:rsidRPr="0016416C">
        <w:rPr>
          <w:b w:val="0"/>
          <w:sz w:val="28"/>
          <w:szCs w:val="28"/>
        </w:rPr>
        <w:t>[</w:t>
      </w:r>
      <w:r w:rsidRPr="0016416C">
        <w:rPr>
          <w:b w:val="0"/>
          <w:sz w:val="28"/>
          <w:szCs w:val="28"/>
        </w:rPr>
        <w:t>6</w:t>
      </w:r>
      <w:r w:rsidR="00285ADF" w:rsidRPr="0016416C">
        <w:rPr>
          <w:b w:val="0"/>
          <w:sz w:val="28"/>
          <w:szCs w:val="28"/>
        </w:rPr>
        <w:t xml:space="preserve">]. </w:t>
      </w:r>
      <w:proofErr w:type="spellStart"/>
      <w:r w:rsidR="00285ADF" w:rsidRPr="0016416C">
        <w:rPr>
          <w:b w:val="0"/>
          <w:sz w:val="28"/>
          <w:szCs w:val="28"/>
          <w:lang w:val="en-US"/>
        </w:rPr>
        <w:t>SMGroup</w:t>
      </w:r>
      <w:proofErr w:type="spellEnd"/>
      <w:r w:rsidR="00285ADF" w:rsidRPr="0016416C">
        <w:rPr>
          <w:b w:val="0"/>
          <w:sz w:val="28"/>
          <w:szCs w:val="28"/>
        </w:rPr>
        <w:t>.</w:t>
      </w:r>
      <w:r w:rsidR="00285ADF" w:rsidRPr="0016416C">
        <w:rPr>
          <w:b w:val="0"/>
          <w:bCs w:val="0"/>
          <w:sz w:val="28"/>
          <w:szCs w:val="28"/>
        </w:rPr>
        <w:t xml:space="preserve"> </w:t>
      </w:r>
      <w:r w:rsidR="00285ADF" w:rsidRPr="0016416C">
        <w:rPr>
          <w:rStyle w:val="a7"/>
          <w:sz w:val="28"/>
          <w:szCs w:val="28"/>
        </w:rPr>
        <w:t xml:space="preserve">Фондовый </w:t>
      </w:r>
      <w:proofErr w:type="gramStart"/>
      <w:r w:rsidR="00285ADF" w:rsidRPr="0016416C">
        <w:rPr>
          <w:rStyle w:val="a7"/>
          <w:sz w:val="28"/>
          <w:szCs w:val="28"/>
        </w:rPr>
        <w:t>рынок</w:t>
      </w:r>
      <w:r w:rsidR="00285ADF" w:rsidRPr="0016416C">
        <w:rPr>
          <w:b w:val="0"/>
          <w:bCs w:val="0"/>
          <w:sz w:val="28"/>
          <w:szCs w:val="28"/>
        </w:rPr>
        <w:t xml:space="preserve">:   </w:t>
      </w:r>
      <w:proofErr w:type="gramEnd"/>
      <w:r w:rsidR="00285ADF" w:rsidRPr="0016416C">
        <w:rPr>
          <w:b w:val="0"/>
          <w:sz w:val="28"/>
          <w:szCs w:val="28"/>
        </w:rPr>
        <w:t xml:space="preserve">[Электронный ресурс].- режим доступа:  </w:t>
      </w:r>
      <w:r w:rsidR="00285ADF" w:rsidRPr="0016416C">
        <w:rPr>
          <w:b w:val="0"/>
          <w:sz w:val="28"/>
          <w:szCs w:val="28"/>
          <w:lang w:val="en-US"/>
        </w:rPr>
        <w:t>h</w:t>
      </w:r>
      <w:r w:rsidR="00285ADF" w:rsidRPr="0016416C">
        <w:rPr>
          <w:b w:val="0"/>
          <w:sz w:val="28"/>
          <w:szCs w:val="28"/>
        </w:rPr>
        <w:t>ttp://stock-maks.com/fr.html</w:t>
      </w:r>
    </w:p>
    <w:p w:rsidR="00285ADF" w:rsidRPr="0016416C" w:rsidRDefault="00285ADF" w:rsidP="00664838">
      <w:pPr>
        <w:pStyle w:val="1"/>
        <w:spacing w:after="0" w:afterAutospacing="0" w:line="360" w:lineRule="auto"/>
        <w:rPr>
          <w:b w:val="0"/>
          <w:sz w:val="28"/>
          <w:szCs w:val="28"/>
        </w:rPr>
      </w:pPr>
      <w:r w:rsidRPr="0016416C">
        <w:rPr>
          <w:b w:val="0"/>
          <w:sz w:val="28"/>
          <w:szCs w:val="28"/>
        </w:rPr>
        <w:t>[</w:t>
      </w:r>
      <w:r w:rsidR="003B57D5" w:rsidRPr="0016416C">
        <w:rPr>
          <w:b w:val="0"/>
          <w:sz w:val="28"/>
          <w:szCs w:val="28"/>
        </w:rPr>
        <w:t>7</w:t>
      </w:r>
      <w:r w:rsidRPr="0016416C">
        <w:rPr>
          <w:b w:val="0"/>
          <w:sz w:val="28"/>
          <w:szCs w:val="28"/>
        </w:rPr>
        <w:t>]. Ликвидные ценные бумаги. [Электронный ресурс</w:t>
      </w:r>
      <w:proofErr w:type="gramStart"/>
      <w:r w:rsidRPr="0016416C">
        <w:rPr>
          <w:b w:val="0"/>
          <w:sz w:val="28"/>
          <w:szCs w:val="28"/>
        </w:rPr>
        <w:t>].-</w:t>
      </w:r>
      <w:proofErr w:type="gramEnd"/>
      <w:r w:rsidRPr="0016416C">
        <w:rPr>
          <w:b w:val="0"/>
          <w:sz w:val="28"/>
          <w:szCs w:val="28"/>
        </w:rPr>
        <w:t xml:space="preserve"> режим доступа: http://dengifinance.ru/cennye-bumagi/likvidnye-cennye-bumagi.html  </w:t>
      </w:r>
    </w:p>
    <w:p w:rsidR="003B57D5" w:rsidRPr="0016416C" w:rsidRDefault="009C770C" w:rsidP="00664838">
      <w:pPr>
        <w:pStyle w:val="1"/>
        <w:spacing w:after="0" w:afterAutospacing="0" w:line="360" w:lineRule="auto"/>
        <w:rPr>
          <w:b w:val="0"/>
          <w:sz w:val="28"/>
          <w:szCs w:val="28"/>
          <w:lang w:val="en-US"/>
        </w:rPr>
      </w:pPr>
      <w:r w:rsidRPr="0016416C">
        <w:rPr>
          <w:b w:val="0"/>
          <w:sz w:val="28"/>
          <w:szCs w:val="28"/>
          <w:lang w:val="en-US"/>
        </w:rPr>
        <w:t xml:space="preserve">[8] Frank Schweitzer, Science (2009). Economic Networks: The New Challenges </w:t>
      </w:r>
    </w:p>
    <w:p w:rsidR="009C770C" w:rsidRPr="0016416C" w:rsidRDefault="009C770C" w:rsidP="00664838">
      <w:pPr>
        <w:pStyle w:val="1"/>
        <w:spacing w:after="0" w:afterAutospacing="0" w:line="360" w:lineRule="auto"/>
        <w:rPr>
          <w:b w:val="0"/>
          <w:sz w:val="28"/>
          <w:szCs w:val="28"/>
          <w:lang w:val="en-US"/>
        </w:rPr>
      </w:pPr>
      <w:r w:rsidRPr="0016416C">
        <w:rPr>
          <w:b w:val="0"/>
          <w:sz w:val="28"/>
          <w:szCs w:val="28"/>
          <w:lang w:val="en-US"/>
        </w:rPr>
        <w:t>[9]</w:t>
      </w:r>
      <w:r w:rsidRPr="0016416C">
        <w:rPr>
          <w:sz w:val="28"/>
          <w:szCs w:val="28"/>
          <w:lang w:val="en-US"/>
        </w:rPr>
        <w:t xml:space="preserve"> </w:t>
      </w:r>
      <w:proofErr w:type="spellStart"/>
      <w:r w:rsidRPr="0016416C">
        <w:rPr>
          <w:b w:val="0"/>
          <w:sz w:val="28"/>
          <w:szCs w:val="28"/>
          <w:lang w:val="en-US"/>
        </w:rPr>
        <w:t>Stefania</w:t>
      </w:r>
      <w:proofErr w:type="spellEnd"/>
      <w:r w:rsidRPr="0016416C">
        <w:rPr>
          <w:b w:val="0"/>
          <w:sz w:val="28"/>
          <w:szCs w:val="28"/>
          <w:lang w:val="en-US"/>
        </w:rPr>
        <w:t xml:space="preserve"> </w:t>
      </w:r>
      <w:proofErr w:type="spellStart"/>
      <w:r w:rsidRPr="0016416C">
        <w:rPr>
          <w:b w:val="0"/>
          <w:sz w:val="28"/>
          <w:szCs w:val="28"/>
          <w:lang w:val="en-US"/>
        </w:rPr>
        <w:t>Vitali</w:t>
      </w:r>
      <w:proofErr w:type="spellEnd"/>
      <w:r w:rsidRPr="0016416C">
        <w:rPr>
          <w:b w:val="0"/>
          <w:sz w:val="28"/>
          <w:szCs w:val="28"/>
          <w:lang w:val="en-US"/>
        </w:rPr>
        <w:t xml:space="preserve">, James B. </w:t>
      </w:r>
      <w:proofErr w:type="spellStart"/>
      <w:r w:rsidRPr="0016416C">
        <w:rPr>
          <w:b w:val="0"/>
          <w:sz w:val="28"/>
          <w:szCs w:val="28"/>
          <w:lang w:val="en-US"/>
        </w:rPr>
        <w:t>Glattfelder</w:t>
      </w:r>
      <w:proofErr w:type="spellEnd"/>
      <w:r w:rsidRPr="0016416C">
        <w:rPr>
          <w:b w:val="0"/>
          <w:sz w:val="28"/>
          <w:szCs w:val="28"/>
          <w:lang w:val="en-US"/>
        </w:rPr>
        <w:t xml:space="preserve">, Stefano </w:t>
      </w:r>
      <w:proofErr w:type="spellStart"/>
      <w:r w:rsidRPr="0016416C">
        <w:rPr>
          <w:b w:val="0"/>
          <w:sz w:val="28"/>
          <w:szCs w:val="28"/>
          <w:lang w:val="en-US"/>
        </w:rPr>
        <w:t>Battiston</w:t>
      </w:r>
      <w:proofErr w:type="spellEnd"/>
      <w:r w:rsidRPr="0016416C">
        <w:rPr>
          <w:b w:val="0"/>
          <w:sz w:val="28"/>
          <w:szCs w:val="28"/>
          <w:lang w:val="en-US"/>
        </w:rPr>
        <w:t xml:space="preserve"> (2011)</w:t>
      </w:r>
      <w:r w:rsidRPr="0016416C">
        <w:rPr>
          <w:b w:val="0"/>
          <w:sz w:val="28"/>
          <w:szCs w:val="28"/>
          <w:u w:val="single"/>
          <w:lang w:val="en-US"/>
        </w:rPr>
        <w:t xml:space="preserve">. </w:t>
      </w:r>
      <w:r w:rsidRPr="0016416C">
        <w:rPr>
          <w:b w:val="0"/>
          <w:sz w:val="28"/>
          <w:szCs w:val="28"/>
          <w:lang w:val="en-US"/>
        </w:rPr>
        <w:t>The Network of Global Corporate Control</w:t>
      </w:r>
    </w:p>
    <w:p w:rsidR="00837C62" w:rsidRPr="0016416C" w:rsidRDefault="00837C62" w:rsidP="00664838">
      <w:pPr>
        <w:pStyle w:val="1"/>
        <w:spacing w:after="0" w:afterAutospacing="0" w:line="360" w:lineRule="auto"/>
        <w:rPr>
          <w:b w:val="0"/>
          <w:sz w:val="28"/>
          <w:szCs w:val="28"/>
          <w:u w:val="single"/>
          <w:lang w:val="en-US"/>
        </w:rPr>
      </w:pPr>
      <w:r w:rsidRPr="0016416C">
        <w:rPr>
          <w:b w:val="0"/>
          <w:sz w:val="28"/>
          <w:szCs w:val="28"/>
          <w:u w:val="single"/>
          <w:lang w:val="en-US"/>
        </w:rPr>
        <w:t>[10]</w:t>
      </w:r>
      <w:r w:rsidRPr="0016416C">
        <w:rPr>
          <w:rStyle w:val="apple-converted-space"/>
          <w:rFonts w:ascii="Georgia" w:hAnsi="Georgia"/>
          <w:i/>
          <w:iCs/>
          <w:sz w:val="20"/>
          <w:szCs w:val="20"/>
          <w:shd w:val="clear" w:color="auto" w:fill="FFFFFF"/>
          <w:lang w:val="en-US"/>
        </w:rPr>
        <w:t xml:space="preserve"> </w:t>
      </w:r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Глава</w:t>
      </w:r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 </w:t>
      </w:r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книги</w:t>
      </w:r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>Lozgacheva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 N. N.,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>Koldanov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 A. P. Analysis of Russian Industries in the Stock Market, in: Models, Algorithms and Technologies for Network Analysis /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Науч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ред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.: M. V.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>Batsyn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, V. A.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>Kalyagin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, P. M.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>Pardalos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Vol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 xml:space="preserve">. 104. L., NY,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Dordrecht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Heidelberg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 xml:space="preserve"> :</w:t>
      </w:r>
      <w:proofErr w:type="gramEnd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Springer</w:t>
      </w:r>
      <w:proofErr w:type="spellEnd"/>
      <w:r w:rsidRPr="0016416C">
        <w:rPr>
          <w:rStyle w:val="i"/>
          <w:b w:val="0"/>
          <w:iCs/>
          <w:sz w:val="28"/>
          <w:szCs w:val="28"/>
          <w:shd w:val="clear" w:color="auto" w:fill="FFFFFF"/>
        </w:rPr>
        <w:t>, 2014. P. 55-68.</w:t>
      </w:r>
    </w:p>
    <w:sectPr w:rsidR="00837C62" w:rsidRPr="0016416C" w:rsidSect="00664838">
      <w:footerReference w:type="default" r:id="rId3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D0" w:rsidRDefault="007132D0" w:rsidP="00682EC6">
      <w:pPr>
        <w:spacing w:after="0" w:line="240" w:lineRule="auto"/>
      </w:pPr>
      <w:r>
        <w:separator/>
      </w:r>
    </w:p>
  </w:endnote>
  <w:endnote w:type="continuationSeparator" w:id="0">
    <w:p w:rsidR="007132D0" w:rsidRDefault="007132D0" w:rsidP="0068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113355"/>
      <w:docPartObj>
        <w:docPartGallery w:val="Page Numbers (Bottom of Page)"/>
        <w:docPartUnique/>
      </w:docPartObj>
    </w:sdtPr>
    <w:sdtEndPr/>
    <w:sdtContent>
      <w:p w:rsidR="00BA3827" w:rsidRDefault="00BA382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706">
          <w:rPr>
            <w:noProof/>
          </w:rPr>
          <w:t>13</w:t>
        </w:r>
        <w:r>
          <w:fldChar w:fldCharType="end"/>
        </w:r>
      </w:p>
    </w:sdtContent>
  </w:sdt>
  <w:p w:rsidR="00BA3827" w:rsidRDefault="00BA382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D0" w:rsidRDefault="007132D0" w:rsidP="00682EC6">
      <w:pPr>
        <w:spacing w:after="0" w:line="240" w:lineRule="auto"/>
      </w:pPr>
      <w:r>
        <w:separator/>
      </w:r>
    </w:p>
  </w:footnote>
  <w:footnote w:type="continuationSeparator" w:id="0">
    <w:p w:rsidR="007132D0" w:rsidRDefault="007132D0" w:rsidP="0068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1757"/>
    <w:multiLevelType w:val="hybridMultilevel"/>
    <w:tmpl w:val="3BCA00BA"/>
    <w:lvl w:ilvl="0" w:tplc="627A6CE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F34332E"/>
    <w:multiLevelType w:val="hybridMultilevel"/>
    <w:tmpl w:val="650E5B1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F8C66CD"/>
    <w:multiLevelType w:val="multilevel"/>
    <w:tmpl w:val="2048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C4DA4"/>
    <w:multiLevelType w:val="hybridMultilevel"/>
    <w:tmpl w:val="C84A6EE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3FE613B4"/>
    <w:multiLevelType w:val="hybridMultilevel"/>
    <w:tmpl w:val="2410D0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6B00411"/>
    <w:multiLevelType w:val="multilevel"/>
    <w:tmpl w:val="3C8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5B41BA"/>
    <w:multiLevelType w:val="multilevel"/>
    <w:tmpl w:val="7D1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E5"/>
    <w:rsid w:val="000319D5"/>
    <w:rsid w:val="000418D9"/>
    <w:rsid w:val="000472A1"/>
    <w:rsid w:val="000574A7"/>
    <w:rsid w:val="00080648"/>
    <w:rsid w:val="00081866"/>
    <w:rsid w:val="0008539C"/>
    <w:rsid w:val="000B156D"/>
    <w:rsid w:val="000C1181"/>
    <w:rsid w:val="000D376A"/>
    <w:rsid w:val="000D7A10"/>
    <w:rsid w:val="000E5775"/>
    <w:rsid w:val="000E619F"/>
    <w:rsid w:val="00102682"/>
    <w:rsid w:val="001062F6"/>
    <w:rsid w:val="0016416C"/>
    <w:rsid w:val="00170526"/>
    <w:rsid w:val="00185F22"/>
    <w:rsid w:val="001C1AF2"/>
    <w:rsid w:val="001C72F6"/>
    <w:rsid w:val="00235025"/>
    <w:rsid w:val="00247B3E"/>
    <w:rsid w:val="00251CC2"/>
    <w:rsid w:val="00285ADF"/>
    <w:rsid w:val="002B004F"/>
    <w:rsid w:val="002B0F43"/>
    <w:rsid w:val="002D1FD2"/>
    <w:rsid w:val="002D4A63"/>
    <w:rsid w:val="002F0A30"/>
    <w:rsid w:val="002F7B82"/>
    <w:rsid w:val="00315A76"/>
    <w:rsid w:val="00370D85"/>
    <w:rsid w:val="003B15AB"/>
    <w:rsid w:val="003B33DF"/>
    <w:rsid w:val="003B57D5"/>
    <w:rsid w:val="003D00F1"/>
    <w:rsid w:val="003E16C2"/>
    <w:rsid w:val="003E1E67"/>
    <w:rsid w:val="003E6EEF"/>
    <w:rsid w:val="003F1120"/>
    <w:rsid w:val="00400CAE"/>
    <w:rsid w:val="00423866"/>
    <w:rsid w:val="00437FB7"/>
    <w:rsid w:val="00457F7E"/>
    <w:rsid w:val="004A0D8A"/>
    <w:rsid w:val="004B4706"/>
    <w:rsid w:val="004C01A5"/>
    <w:rsid w:val="004D7EFE"/>
    <w:rsid w:val="005035B6"/>
    <w:rsid w:val="0051264C"/>
    <w:rsid w:val="0052554E"/>
    <w:rsid w:val="005474BA"/>
    <w:rsid w:val="005722E5"/>
    <w:rsid w:val="005B0387"/>
    <w:rsid w:val="005D1953"/>
    <w:rsid w:val="00602E48"/>
    <w:rsid w:val="006137CE"/>
    <w:rsid w:val="006177A1"/>
    <w:rsid w:val="006475FD"/>
    <w:rsid w:val="00647B20"/>
    <w:rsid w:val="00647EF3"/>
    <w:rsid w:val="00664838"/>
    <w:rsid w:val="00665AC5"/>
    <w:rsid w:val="00682EC6"/>
    <w:rsid w:val="006B07D3"/>
    <w:rsid w:val="006B332E"/>
    <w:rsid w:val="006C044E"/>
    <w:rsid w:val="006C7CEF"/>
    <w:rsid w:val="006D2A02"/>
    <w:rsid w:val="006F5EB2"/>
    <w:rsid w:val="006F7F64"/>
    <w:rsid w:val="007132D0"/>
    <w:rsid w:val="00747433"/>
    <w:rsid w:val="007477F4"/>
    <w:rsid w:val="00767FEE"/>
    <w:rsid w:val="0077445D"/>
    <w:rsid w:val="00793F50"/>
    <w:rsid w:val="007D2B8A"/>
    <w:rsid w:val="007E0B27"/>
    <w:rsid w:val="007E2D45"/>
    <w:rsid w:val="008318B4"/>
    <w:rsid w:val="00837C62"/>
    <w:rsid w:val="008435B9"/>
    <w:rsid w:val="008523D3"/>
    <w:rsid w:val="00887B8A"/>
    <w:rsid w:val="008B78CE"/>
    <w:rsid w:val="008C03D9"/>
    <w:rsid w:val="008F744C"/>
    <w:rsid w:val="00903D35"/>
    <w:rsid w:val="00922314"/>
    <w:rsid w:val="00935020"/>
    <w:rsid w:val="00943465"/>
    <w:rsid w:val="00954C74"/>
    <w:rsid w:val="00985963"/>
    <w:rsid w:val="00997654"/>
    <w:rsid w:val="009A4DA1"/>
    <w:rsid w:val="009B6D01"/>
    <w:rsid w:val="009C770C"/>
    <w:rsid w:val="009F2E7A"/>
    <w:rsid w:val="009F4C2E"/>
    <w:rsid w:val="009F7B86"/>
    <w:rsid w:val="00A019DC"/>
    <w:rsid w:val="00A34E34"/>
    <w:rsid w:val="00A74934"/>
    <w:rsid w:val="00A74DDF"/>
    <w:rsid w:val="00A90B80"/>
    <w:rsid w:val="00AB0CD7"/>
    <w:rsid w:val="00B01D23"/>
    <w:rsid w:val="00B204EF"/>
    <w:rsid w:val="00B538DE"/>
    <w:rsid w:val="00B66680"/>
    <w:rsid w:val="00B66D07"/>
    <w:rsid w:val="00B7490C"/>
    <w:rsid w:val="00B74DF4"/>
    <w:rsid w:val="00B91314"/>
    <w:rsid w:val="00B94F29"/>
    <w:rsid w:val="00BA3827"/>
    <w:rsid w:val="00BE5060"/>
    <w:rsid w:val="00BF0107"/>
    <w:rsid w:val="00BF018D"/>
    <w:rsid w:val="00C01AAC"/>
    <w:rsid w:val="00C022E4"/>
    <w:rsid w:val="00C0655A"/>
    <w:rsid w:val="00C15011"/>
    <w:rsid w:val="00C2068A"/>
    <w:rsid w:val="00C47628"/>
    <w:rsid w:val="00C50C13"/>
    <w:rsid w:val="00C86346"/>
    <w:rsid w:val="00CA51CA"/>
    <w:rsid w:val="00CB4B34"/>
    <w:rsid w:val="00CC7646"/>
    <w:rsid w:val="00CD774D"/>
    <w:rsid w:val="00CE6C99"/>
    <w:rsid w:val="00CE75D4"/>
    <w:rsid w:val="00D22FAE"/>
    <w:rsid w:val="00D46FAA"/>
    <w:rsid w:val="00D56EB0"/>
    <w:rsid w:val="00D9321B"/>
    <w:rsid w:val="00DB0A9D"/>
    <w:rsid w:val="00DD7C1F"/>
    <w:rsid w:val="00E0162B"/>
    <w:rsid w:val="00E82A62"/>
    <w:rsid w:val="00E84542"/>
    <w:rsid w:val="00EB1EE7"/>
    <w:rsid w:val="00F005BC"/>
    <w:rsid w:val="00F05046"/>
    <w:rsid w:val="00F05DD5"/>
    <w:rsid w:val="00F1295A"/>
    <w:rsid w:val="00F13082"/>
    <w:rsid w:val="00F16941"/>
    <w:rsid w:val="00F21EC8"/>
    <w:rsid w:val="00F25203"/>
    <w:rsid w:val="00F57151"/>
    <w:rsid w:val="00F627E5"/>
    <w:rsid w:val="00F6419B"/>
    <w:rsid w:val="00F651AE"/>
    <w:rsid w:val="00F702AB"/>
    <w:rsid w:val="00FA3041"/>
    <w:rsid w:val="00FA6FBD"/>
    <w:rsid w:val="00FB256C"/>
    <w:rsid w:val="00FB355D"/>
    <w:rsid w:val="00FC0F89"/>
    <w:rsid w:val="00FC4C06"/>
    <w:rsid w:val="00FC5AF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81CA4D-AE50-4552-ACFB-498B3082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5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2E7A"/>
  </w:style>
  <w:style w:type="paragraph" w:styleId="a3">
    <w:name w:val="Normal (Web)"/>
    <w:basedOn w:val="a"/>
    <w:uiPriority w:val="99"/>
    <w:unhideWhenUsed/>
    <w:rsid w:val="009F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F2E7A"/>
    <w:rPr>
      <w:color w:val="0000FF"/>
      <w:u w:val="single"/>
    </w:rPr>
  </w:style>
  <w:style w:type="table" w:styleId="a5">
    <w:name w:val="Table Grid"/>
    <w:basedOn w:val="a1"/>
    <w:uiPriority w:val="59"/>
    <w:rsid w:val="00A74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51CC2"/>
    <w:pPr>
      <w:spacing w:after="200" w:line="276" w:lineRule="auto"/>
      <w:ind w:left="720"/>
      <w:contextualSpacing/>
    </w:pPr>
  </w:style>
  <w:style w:type="character" w:styleId="a7">
    <w:name w:val="Strong"/>
    <w:basedOn w:val="a0"/>
    <w:uiPriority w:val="22"/>
    <w:qFormat/>
    <w:rsid w:val="00251CC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5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285ADF"/>
  </w:style>
  <w:style w:type="character" w:customStyle="1" w:styleId="nowrap">
    <w:name w:val="nowrap"/>
    <w:basedOn w:val="a0"/>
    <w:rsid w:val="003B57D5"/>
  </w:style>
  <w:style w:type="character" w:customStyle="1" w:styleId="i">
    <w:name w:val="i"/>
    <w:basedOn w:val="a0"/>
    <w:rsid w:val="00837C62"/>
  </w:style>
  <w:style w:type="paragraph" w:styleId="a8">
    <w:name w:val="header"/>
    <w:basedOn w:val="a"/>
    <w:link w:val="a9"/>
    <w:uiPriority w:val="99"/>
    <w:unhideWhenUsed/>
    <w:rsid w:val="00682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82EC6"/>
  </w:style>
  <w:style w:type="paragraph" w:styleId="aa">
    <w:name w:val="footer"/>
    <w:basedOn w:val="a"/>
    <w:link w:val="ab"/>
    <w:uiPriority w:val="99"/>
    <w:unhideWhenUsed/>
    <w:rsid w:val="00682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ublications.hse.ru/view/13952916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87A2-141F-43A6-9D76-16EF62E4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42</Pages>
  <Words>6640</Words>
  <Characters>37848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Tarasov</cp:lastModifiedBy>
  <cp:revision>3</cp:revision>
  <dcterms:created xsi:type="dcterms:W3CDTF">2016-05-12T11:09:00Z</dcterms:created>
  <dcterms:modified xsi:type="dcterms:W3CDTF">2016-05-12T11:21:00Z</dcterms:modified>
</cp:coreProperties>
</file>