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F85E39">
      <w:pPr>
        <w:pStyle w:val="4"/>
        <w:spacing w:before="0" w:beforeAutospacing="0" w:after="0" w:afterAutospacing="0" w:line="579" w:lineRule="exact"/>
        <w:jc w:val="both"/>
        <w:rPr>
          <w:rFonts w:hint="eastAsia" w:cs="Arial"/>
          <w:color w:val="000000"/>
          <w:sz w:val="32"/>
          <w:szCs w:val="32"/>
        </w:rPr>
      </w:pPr>
      <w:bookmarkStart w:id="0" w:name="_GoBack"/>
      <w:bookmarkEnd w:id="0"/>
    </w:p>
    <w:p w14:paraId="3D43A8AB">
      <w:pPr>
        <w:adjustRightInd w:val="0"/>
        <w:snapToGrid w:val="0"/>
        <w:spacing w:line="360" w:lineRule="auto"/>
        <w:jc w:val="center"/>
        <w:rPr>
          <w:rFonts w:hint="eastAsia" w:ascii="宋体" w:hAnsi="宋体"/>
          <w:szCs w:val="21"/>
        </w:rPr>
      </w:pPr>
      <w:r>
        <w:rPr>
          <w:rFonts w:hint="eastAsia" w:ascii="黑体" w:eastAsia="黑体"/>
          <w:sz w:val="48"/>
          <w:szCs w:val="48"/>
        </w:rPr>
        <w:drawing>
          <wp:inline distT="0" distB="0" distL="114300" distR="114300">
            <wp:extent cx="2823210" cy="719455"/>
            <wp:effectExtent l="0" t="0" r="3810" b="4445"/>
            <wp:docPr id="8" name="图片 8"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jlogo"/>
                    <pic:cNvPicPr>
                      <a:picLocks noChangeAspect="1"/>
                    </pic:cNvPicPr>
                  </pic:nvPicPr>
                  <pic:blipFill>
                    <a:blip r:embed="rId4"/>
                    <a:stretch>
                      <a:fillRect/>
                    </a:stretch>
                  </pic:blipFill>
                  <pic:spPr>
                    <a:xfrm>
                      <a:off x="0" y="0"/>
                      <a:ext cx="2823210" cy="719455"/>
                    </a:xfrm>
                    <a:prstGeom prst="rect">
                      <a:avLst/>
                    </a:prstGeom>
                    <a:noFill/>
                    <a:ln>
                      <a:noFill/>
                    </a:ln>
                  </pic:spPr>
                </pic:pic>
              </a:graphicData>
            </a:graphic>
          </wp:inline>
        </w:drawing>
      </w:r>
    </w:p>
    <w:p w14:paraId="67AA7A9D">
      <w:pPr>
        <w:adjustRightInd w:val="0"/>
        <w:snapToGrid w:val="0"/>
        <w:spacing w:line="360" w:lineRule="auto"/>
        <w:jc w:val="center"/>
        <w:rPr>
          <w:rFonts w:hint="eastAsia" w:ascii="宋体" w:hAnsi="宋体"/>
          <w:kern w:val="0"/>
          <w:szCs w:val="21"/>
        </w:rPr>
      </w:pPr>
      <w:r>
        <w:rPr>
          <w:rFonts w:hint="eastAsia" w:ascii="宋体" w:hAnsi="宋体"/>
          <w:kern w:val="0"/>
          <w:szCs w:val="21"/>
        </w:rPr>
        <w:t xml:space="preserve">  </w:t>
      </w:r>
    </w:p>
    <w:p w14:paraId="122ED8B7">
      <w:pPr>
        <w:adjustRightInd w:val="0"/>
        <w:snapToGrid w:val="0"/>
        <w:spacing w:line="360" w:lineRule="auto"/>
        <w:jc w:val="center"/>
        <w:rPr>
          <w:rFonts w:hint="eastAsia" w:ascii="宋体" w:hAnsi="宋体"/>
          <w:kern w:val="0"/>
          <w:szCs w:val="21"/>
        </w:rPr>
      </w:pPr>
    </w:p>
    <w:p w14:paraId="2A3CABBD">
      <w:pPr>
        <w:adjustRightInd w:val="0"/>
        <w:snapToGrid w:val="0"/>
        <w:spacing w:line="360" w:lineRule="auto"/>
        <w:rPr>
          <w:rFonts w:hint="eastAsia" w:ascii="宋体" w:hAnsi="宋体"/>
          <w:kern w:val="0"/>
          <w:szCs w:val="21"/>
        </w:rPr>
      </w:pPr>
    </w:p>
    <w:p w14:paraId="74954188">
      <w:pPr>
        <w:adjustRightInd w:val="0"/>
        <w:snapToGrid w:val="0"/>
        <w:spacing w:line="360" w:lineRule="auto"/>
        <w:jc w:val="center"/>
        <w:rPr>
          <w:rFonts w:hint="eastAsia" w:ascii="宋体" w:hAnsi="宋体"/>
          <w:kern w:val="0"/>
          <w:szCs w:val="21"/>
        </w:rPr>
      </w:pPr>
    </w:p>
    <w:p w14:paraId="1CFFF060">
      <w:pPr>
        <w:adjustRightInd w:val="0"/>
        <w:snapToGrid w:val="0"/>
        <w:spacing w:line="360" w:lineRule="auto"/>
        <w:jc w:val="center"/>
        <w:rPr>
          <w:rFonts w:hint="eastAsia" w:ascii="宋体" w:hAnsi="宋体"/>
          <w:kern w:val="0"/>
          <w:szCs w:val="21"/>
        </w:rPr>
      </w:pPr>
      <w:r>
        <w:rPr>
          <w:rFonts w:hint="eastAsia" w:ascii="宋体" w:hAnsi="宋体"/>
          <w:kern w:val="0"/>
          <w:szCs w:val="21"/>
        </w:rPr>
        <w:t xml:space="preserve"> </w:t>
      </w:r>
    </w:p>
    <w:p w14:paraId="21B550FE">
      <w:pPr>
        <w:adjustRightInd w:val="0"/>
        <w:snapToGrid w:val="0"/>
        <w:spacing w:line="360" w:lineRule="auto"/>
        <w:jc w:val="center"/>
        <w:rPr>
          <w:rFonts w:hint="eastAsia" w:ascii="宋体" w:hAnsi="宋体" w:eastAsia="宋体"/>
          <w:b/>
          <w:color w:val="000000"/>
          <w:sz w:val="52"/>
          <w:szCs w:val="52"/>
        </w:rPr>
      </w:pPr>
      <w:r>
        <w:rPr>
          <w:rFonts w:hint="eastAsia" w:ascii="宋体" w:hAnsi="宋体" w:eastAsia="宋体"/>
          <w:b/>
          <w:color w:val="000000"/>
          <w:sz w:val="52"/>
          <w:szCs w:val="52"/>
        </w:rPr>
        <w:t>社会实践调研报告</w:t>
      </w:r>
    </w:p>
    <w:p w14:paraId="43F0EA01">
      <w:pPr>
        <w:adjustRightInd w:val="0"/>
        <w:snapToGrid w:val="0"/>
        <w:spacing w:line="360" w:lineRule="auto"/>
        <w:jc w:val="center"/>
        <w:rPr>
          <w:rFonts w:hint="eastAsia" w:ascii="宋体" w:hAnsi="宋体" w:eastAsia="宋体"/>
          <w:b/>
          <w:color w:val="000000"/>
          <w:szCs w:val="21"/>
        </w:rPr>
      </w:pPr>
    </w:p>
    <w:p w14:paraId="0C4DF804">
      <w:pPr>
        <w:adjustRightInd w:val="0"/>
        <w:snapToGrid w:val="0"/>
        <w:spacing w:line="360" w:lineRule="auto"/>
        <w:rPr>
          <w:rFonts w:hint="eastAsia" w:ascii="宋体" w:hAnsi="宋体" w:eastAsia="宋体"/>
          <w:b/>
          <w:color w:val="000000"/>
          <w:szCs w:val="21"/>
        </w:rPr>
      </w:pPr>
    </w:p>
    <w:p w14:paraId="26306827">
      <w:pPr>
        <w:adjustRightInd w:val="0"/>
        <w:snapToGrid w:val="0"/>
        <w:spacing w:line="360" w:lineRule="auto"/>
        <w:jc w:val="center"/>
        <w:rPr>
          <w:rFonts w:hint="eastAsia" w:ascii="宋体" w:hAnsi="宋体" w:eastAsia="宋体"/>
          <w:b/>
          <w:color w:val="000000"/>
          <w:szCs w:val="21"/>
        </w:rPr>
      </w:pPr>
    </w:p>
    <w:p w14:paraId="2A186A93">
      <w:pPr>
        <w:adjustRightInd w:val="0"/>
        <w:snapToGrid w:val="0"/>
        <w:spacing w:line="360" w:lineRule="auto"/>
        <w:rPr>
          <w:rFonts w:hint="eastAsia" w:ascii="宋体" w:hAnsi="宋体" w:eastAsia="宋体"/>
          <w:b/>
          <w:color w:val="000000"/>
          <w:szCs w:val="21"/>
          <w:u w:val="single"/>
        </w:rPr>
      </w:pPr>
    </w:p>
    <w:p w14:paraId="05BD4B0B">
      <w:pPr>
        <w:adjustRightInd w:val="0"/>
        <w:snapToGrid w:val="0"/>
        <w:spacing w:line="360" w:lineRule="auto"/>
        <w:jc w:val="center"/>
        <w:rPr>
          <w:rFonts w:hint="eastAsia" w:ascii="宋体" w:hAnsi="宋体" w:eastAsia="宋体"/>
          <w:b/>
          <w:color w:val="000000"/>
          <w:sz w:val="44"/>
          <w:szCs w:val="44"/>
        </w:rPr>
      </w:pPr>
      <w:r>
        <w:rPr>
          <w:rFonts w:hint="eastAsia" w:ascii="宋体" w:hAnsi="宋体" w:eastAsia="宋体"/>
          <w:b/>
          <w:sz w:val="44"/>
          <w:szCs w:val="44"/>
          <w:u w:val="single"/>
        </w:rPr>
        <w:t>济梦助学实践调研报告</w:t>
      </w:r>
    </w:p>
    <w:p w14:paraId="49F49CF8">
      <w:pPr>
        <w:adjustRightInd w:val="0"/>
        <w:snapToGrid w:val="0"/>
        <w:spacing w:line="360" w:lineRule="auto"/>
        <w:ind w:left="540" w:leftChars="257"/>
        <w:rPr>
          <w:rFonts w:hint="eastAsia" w:ascii="宋体" w:hAnsi="宋体" w:eastAsia="宋体"/>
          <w:b/>
          <w:szCs w:val="21"/>
        </w:rPr>
      </w:pPr>
    </w:p>
    <w:p w14:paraId="4836A3DF">
      <w:pPr>
        <w:adjustRightInd w:val="0"/>
        <w:snapToGrid w:val="0"/>
        <w:spacing w:line="360" w:lineRule="auto"/>
        <w:ind w:left="540" w:leftChars="257"/>
        <w:rPr>
          <w:rFonts w:hint="eastAsia" w:ascii="宋体" w:hAnsi="宋体" w:eastAsia="宋体"/>
          <w:b/>
          <w:szCs w:val="21"/>
        </w:rPr>
      </w:pPr>
    </w:p>
    <w:p w14:paraId="73396A51">
      <w:pPr>
        <w:adjustRightInd w:val="0"/>
        <w:snapToGrid w:val="0"/>
        <w:spacing w:line="360" w:lineRule="auto"/>
        <w:ind w:left="540" w:leftChars="257"/>
        <w:rPr>
          <w:rFonts w:hint="eastAsia" w:ascii="宋体" w:hAnsi="宋体" w:eastAsia="宋体"/>
          <w:b/>
          <w:szCs w:val="21"/>
        </w:rPr>
      </w:pPr>
    </w:p>
    <w:p w14:paraId="7CB08A20">
      <w:pPr>
        <w:tabs>
          <w:tab w:val="left" w:pos="2100"/>
          <w:tab w:val="left" w:pos="4410"/>
        </w:tabs>
        <w:adjustRightInd w:val="0"/>
        <w:snapToGrid w:val="0"/>
        <w:spacing w:line="360" w:lineRule="auto"/>
        <w:jc w:val="left"/>
        <w:rPr>
          <w:rFonts w:hint="eastAsia" w:ascii="宋体" w:hAnsi="宋体" w:eastAsia="宋体"/>
          <w:b/>
          <w:sz w:val="32"/>
          <w:szCs w:val="32"/>
          <w:u w:val="single"/>
        </w:rPr>
      </w:pPr>
      <w:r>
        <w:rPr>
          <w:rFonts w:hint="eastAsia" w:ascii="宋体" w:hAnsi="宋体" w:eastAsia="宋体"/>
          <w:b/>
          <w:sz w:val="32"/>
          <w:szCs w:val="32"/>
        </w:rPr>
        <w:tab/>
      </w:r>
      <w:r>
        <w:rPr>
          <w:rFonts w:hint="eastAsia" w:ascii="宋体" w:hAnsi="宋体" w:eastAsia="宋体"/>
          <w:b/>
          <w:sz w:val="32"/>
          <w:szCs w:val="32"/>
        </w:rPr>
        <w:t xml:space="preserve">负 责 人： </w:t>
      </w:r>
      <w:r>
        <w:rPr>
          <w:rFonts w:ascii="宋体" w:hAnsi="宋体" w:eastAsia="宋体"/>
          <w:b/>
          <w:sz w:val="32"/>
          <w:szCs w:val="32"/>
        </w:rPr>
        <w:t xml:space="preserve"> </w:t>
      </w:r>
      <w:r>
        <w:rPr>
          <w:rFonts w:hint="eastAsia" w:ascii="宋体" w:hAnsi="宋体" w:eastAsia="宋体"/>
          <w:b/>
          <w:sz w:val="32"/>
          <w:szCs w:val="32"/>
        </w:rPr>
        <w:tab/>
      </w:r>
      <w:r>
        <w:rPr>
          <w:rFonts w:hint="eastAsia" w:ascii="宋体" w:hAnsi="宋体" w:eastAsia="宋体"/>
          <w:b/>
          <w:sz w:val="32"/>
          <w:szCs w:val="32"/>
          <w:u w:val="single"/>
        </w:rPr>
        <w:t xml:space="preserve"> 陈灏航         </w:t>
      </w:r>
    </w:p>
    <w:p w14:paraId="1BAFF2A0">
      <w:pPr>
        <w:tabs>
          <w:tab w:val="left" w:pos="2100"/>
          <w:tab w:val="left" w:pos="4410"/>
        </w:tabs>
        <w:adjustRightInd w:val="0"/>
        <w:snapToGrid w:val="0"/>
        <w:spacing w:line="360" w:lineRule="auto"/>
        <w:jc w:val="left"/>
        <w:rPr>
          <w:rFonts w:hint="eastAsia" w:ascii="宋体" w:hAnsi="宋体" w:eastAsia="宋体"/>
          <w:b/>
          <w:sz w:val="32"/>
          <w:szCs w:val="32"/>
          <w:u w:val="single"/>
        </w:rPr>
      </w:pPr>
      <w:r>
        <w:rPr>
          <w:rFonts w:hint="eastAsia" w:ascii="宋体" w:hAnsi="宋体" w:eastAsia="宋体"/>
          <w:b/>
          <w:sz w:val="32"/>
          <w:szCs w:val="32"/>
        </w:rPr>
        <w:tab/>
      </w:r>
      <w:r>
        <w:rPr>
          <w:rFonts w:hint="eastAsia" w:ascii="宋体" w:hAnsi="宋体" w:eastAsia="宋体"/>
          <w:b/>
          <w:sz w:val="32"/>
          <w:szCs w:val="32"/>
        </w:rPr>
        <w:t xml:space="preserve">学 </w:t>
      </w:r>
      <w:r>
        <w:rPr>
          <w:rFonts w:ascii="宋体" w:hAnsi="宋体" w:eastAsia="宋体"/>
          <w:b/>
          <w:sz w:val="32"/>
          <w:szCs w:val="32"/>
        </w:rPr>
        <w:t xml:space="preserve">   </w:t>
      </w:r>
      <w:r>
        <w:rPr>
          <w:rFonts w:hint="eastAsia" w:ascii="宋体" w:hAnsi="宋体" w:eastAsia="宋体"/>
          <w:b/>
          <w:sz w:val="32"/>
          <w:szCs w:val="32"/>
        </w:rPr>
        <w:t>院：</w:t>
      </w:r>
      <w:r>
        <w:rPr>
          <w:rFonts w:ascii="宋体" w:hAnsi="宋体" w:eastAsia="宋体"/>
          <w:b/>
          <w:sz w:val="32"/>
          <w:szCs w:val="32"/>
        </w:rPr>
        <w:t xml:space="preserve"> </w:t>
      </w:r>
      <w:r>
        <w:rPr>
          <w:rFonts w:hint="eastAsia" w:ascii="宋体" w:hAnsi="宋体" w:eastAsia="宋体"/>
          <w:b/>
          <w:sz w:val="32"/>
          <w:szCs w:val="32"/>
        </w:rPr>
        <w:tab/>
      </w:r>
      <w:r>
        <w:rPr>
          <w:rFonts w:hint="eastAsia" w:ascii="宋体" w:hAnsi="宋体" w:eastAsia="宋体"/>
          <w:b/>
          <w:sz w:val="32"/>
          <w:szCs w:val="32"/>
          <w:u w:val="single"/>
        </w:rPr>
        <w:t xml:space="preserve">计算机学院      </w:t>
      </w:r>
    </w:p>
    <w:p w14:paraId="47FBA77C">
      <w:pPr>
        <w:tabs>
          <w:tab w:val="left" w:pos="2100"/>
          <w:tab w:val="left" w:pos="4410"/>
        </w:tabs>
        <w:adjustRightInd w:val="0"/>
        <w:snapToGrid w:val="0"/>
        <w:spacing w:line="360" w:lineRule="auto"/>
        <w:jc w:val="left"/>
        <w:rPr>
          <w:rFonts w:hint="eastAsia" w:ascii="宋体" w:hAnsi="宋体" w:eastAsia="宋体"/>
          <w:b/>
          <w:sz w:val="32"/>
          <w:szCs w:val="32"/>
          <w:u w:val="single"/>
        </w:rPr>
      </w:pPr>
      <w:r>
        <w:rPr>
          <w:rFonts w:hint="eastAsia" w:ascii="宋体" w:hAnsi="宋体" w:eastAsia="宋体"/>
          <w:b/>
          <w:sz w:val="32"/>
          <w:szCs w:val="32"/>
        </w:rPr>
        <w:tab/>
      </w:r>
      <w:r>
        <w:rPr>
          <w:rFonts w:hint="eastAsia" w:ascii="宋体" w:hAnsi="宋体" w:eastAsia="宋体"/>
          <w:b/>
          <w:sz w:val="32"/>
          <w:szCs w:val="32"/>
        </w:rPr>
        <w:t xml:space="preserve">年 </w:t>
      </w:r>
      <w:r>
        <w:rPr>
          <w:rFonts w:ascii="宋体" w:hAnsi="宋体" w:eastAsia="宋体"/>
          <w:b/>
          <w:sz w:val="32"/>
          <w:szCs w:val="32"/>
        </w:rPr>
        <w:t xml:space="preserve"> </w:t>
      </w:r>
      <w:r>
        <w:rPr>
          <w:rFonts w:hint="eastAsia" w:ascii="宋体" w:hAnsi="宋体" w:eastAsia="宋体"/>
          <w:b/>
          <w:sz w:val="32"/>
          <w:szCs w:val="32"/>
        </w:rPr>
        <w:t xml:space="preserve"> </w:t>
      </w:r>
      <w:r>
        <w:rPr>
          <w:rFonts w:ascii="宋体" w:hAnsi="宋体" w:eastAsia="宋体"/>
          <w:b/>
          <w:sz w:val="32"/>
          <w:szCs w:val="32"/>
        </w:rPr>
        <w:t xml:space="preserve"> </w:t>
      </w:r>
      <w:r>
        <w:rPr>
          <w:rFonts w:hint="eastAsia" w:ascii="宋体" w:hAnsi="宋体" w:eastAsia="宋体"/>
          <w:b/>
          <w:sz w:val="32"/>
          <w:szCs w:val="32"/>
        </w:rPr>
        <w:t>级：</w:t>
      </w:r>
      <w:r>
        <w:rPr>
          <w:rFonts w:ascii="宋体" w:hAnsi="宋体" w:eastAsia="宋体"/>
          <w:b/>
          <w:sz w:val="32"/>
          <w:szCs w:val="32"/>
        </w:rPr>
        <w:t xml:space="preserve"> </w:t>
      </w:r>
      <w:r>
        <w:rPr>
          <w:rFonts w:hint="eastAsia" w:ascii="宋体" w:hAnsi="宋体" w:eastAsia="宋体"/>
          <w:b/>
          <w:sz w:val="32"/>
          <w:szCs w:val="32"/>
        </w:rPr>
        <w:tab/>
      </w:r>
      <w:r>
        <w:rPr>
          <w:rFonts w:hint="eastAsia" w:ascii="宋体" w:hAnsi="宋体" w:eastAsia="宋体"/>
          <w:b/>
          <w:sz w:val="32"/>
          <w:szCs w:val="32"/>
          <w:u w:val="single"/>
        </w:rPr>
        <w:t xml:space="preserve">23级           </w:t>
      </w:r>
    </w:p>
    <w:p w14:paraId="0980F79D">
      <w:pPr>
        <w:tabs>
          <w:tab w:val="left" w:pos="2100"/>
          <w:tab w:val="left" w:pos="4410"/>
        </w:tabs>
        <w:adjustRightInd w:val="0"/>
        <w:snapToGrid w:val="0"/>
        <w:spacing w:line="360" w:lineRule="auto"/>
        <w:jc w:val="left"/>
        <w:rPr>
          <w:rFonts w:hint="eastAsia" w:ascii="宋体" w:hAnsi="宋体" w:eastAsia="宋体"/>
          <w:b/>
          <w:sz w:val="32"/>
          <w:szCs w:val="32"/>
          <w:u w:val="single"/>
        </w:rPr>
      </w:pPr>
      <w:r>
        <w:rPr>
          <w:rFonts w:hint="eastAsia" w:ascii="宋体" w:hAnsi="宋体" w:eastAsia="宋体"/>
          <w:b/>
          <w:sz w:val="32"/>
          <w:szCs w:val="32"/>
        </w:rPr>
        <w:tab/>
      </w:r>
      <w:r>
        <w:rPr>
          <w:rFonts w:hint="eastAsia" w:ascii="宋体" w:hAnsi="宋体" w:eastAsia="宋体"/>
          <w:b/>
          <w:sz w:val="32"/>
          <w:szCs w:val="32"/>
        </w:rPr>
        <w:t xml:space="preserve">指导教师： </w:t>
      </w:r>
      <w:r>
        <w:rPr>
          <w:rFonts w:hint="eastAsia" w:ascii="宋体" w:hAnsi="宋体" w:eastAsia="宋体"/>
          <w:b/>
          <w:sz w:val="32"/>
          <w:szCs w:val="32"/>
        </w:rPr>
        <w:tab/>
      </w:r>
      <w:r>
        <w:rPr>
          <w:rFonts w:hint="eastAsia" w:ascii="宋体" w:hAnsi="宋体" w:eastAsia="宋体"/>
          <w:b/>
          <w:sz w:val="32"/>
          <w:szCs w:val="32"/>
          <w:u w:val="single"/>
        </w:rPr>
        <w:t xml:space="preserve">孙秋楠          </w:t>
      </w:r>
    </w:p>
    <w:p w14:paraId="33A7EC98">
      <w:pPr>
        <w:adjustRightInd w:val="0"/>
        <w:snapToGrid w:val="0"/>
        <w:spacing w:line="360" w:lineRule="auto"/>
        <w:jc w:val="center"/>
        <w:rPr>
          <w:rFonts w:hint="eastAsia" w:ascii="宋体" w:hAnsi="宋体" w:eastAsia="宋体"/>
          <w:b/>
          <w:color w:val="000000"/>
          <w:szCs w:val="21"/>
        </w:rPr>
      </w:pPr>
    </w:p>
    <w:p w14:paraId="4C2C63A7">
      <w:pPr>
        <w:adjustRightInd w:val="0"/>
        <w:snapToGrid w:val="0"/>
        <w:spacing w:line="360" w:lineRule="auto"/>
        <w:jc w:val="center"/>
        <w:rPr>
          <w:rFonts w:hint="eastAsia" w:ascii="宋体" w:hAnsi="宋体" w:eastAsia="宋体"/>
          <w:b/>
          <w:color w:val="000000"/>
          <w:szCs w:val="21"/>
        </w:rPr>
      </w:pPr>
    </w:p>
    <w:p w14:paraId="5DF7CEBD">
      <w:pPr>
        <w:adjustRightInd w:val="0"/>
        <w:snapToGrid w:val="0"/>
        <w:spacing w:line="360" w:lineRule="auto"/>
        <w:rPr>
          <w:rFonts w:hint="eastAsia" w:ascii="宋体" w:hAnsi="宋体" w:eastAsia="宋体"/>
          <w:b/>
          <w:color w:val="000000"/>
          <w:szCs w:val="21"/>
        </w:rPr>
      </w:pPr>
    </w:p>
    <w:p w14:paraId="06C31709">
      <w:pPr>
        <w:tabs>
          <w:tab w:val="left" w:pos="1134"/>
        </w:tabs>
        <w:ind w:firstLine="643" w:firstLineChars="200"/>
        <w:rPr>
          <w:rFonts w:hint="eastAsia" w:ascii="宋体" w:hAnsi="宋体" w:eastAsia="仿宋_GB2312" w:cs="Times New Roman"/>
          <w:b/>
          <w:bCs/>
          <w:sz w:val="32"/>
          <w:szCs w:val="32"/>
        </w:rPr>
      </w:pPr>
    </w:p>
    <w:p w14:paraId="1F3D79C8">
      <w:pPr>
        <w:tabs>
          <w:tab w:val="left" w:pos="1134"/>
        </w:tabs>
        <w:spacing w:line="360" w:lineRule="auto"/>
        <w:rPr>
          <w:rFonts w:hint="eastAsia" w:ascii="宋体" w:hAnsi="宋体" w:eastAsia="宋体" w:cs="Times New Roman"/>
          <w:b/>
          <w:bCs/>
          <w:sz w:val="28"/>
          <w:szCs w:val="28"/>
        </w:rPr>
      </w:pPr>
    </w:p>
    <w:p w14:paraId="034285D6">
      <w:pPr>
        <w:tabs>
          <w:tab w:val="left" w:pos="1134"/>
        </w:tabs>
        <w:spacing w:line="360" w:lineRule="auto"/>
        <w:rPr>
          <w:rFonts w:hint="eastAsia" w:ascii="宋体" w:hAnsi="宋体" w:eastAsia="宋体" w:cs="Times New Roman"/>
          <w:b/>
          <w:bCs/>
          <w:sz w:val="28"/>
          <w:szCs w:val="28"/>
        </w:rPr>
      </w:pPr>
      <w:r>
        <w:rPr>
          <w:rFonts w:hint="eastAsia" w:ascii="宋体" w:hAnsi="宋体" w:eastAsia="宋体" w:cs="Times New Roman"/>
          <w:b/>
          <w:bCs/>
          <w:sz w:val="28"/>
          <w:szCs w:val="28"/>
        </w:rPr>
        <w:t>团队成员：2351100陈灏航、2351136李盛鹏</w:t>
      </w:r>
    </w:p>
    <w:p w14:paraId="1475ADB9">
      <w:pPr>
        <w:tabs>
          <w:tab w:val="left" w:pos="1134"/>
        </w:tabs>
        <w:spacing w:line="360" w:lineRule="auto"/>
        <w:jc w:val="center"/>
        <w:rPr>
          <w:rFonts w:hint="eastAsia" w:ascii="宋体" w:hAnsi="宋体" w:eastAsia="宋体" w:cs="Times New Roman"/>
          <w:b/>
          <w:bCs/>
          <w:sz w:val="24"/>
          <w:szCs w:val="24"/>
        </w:rPr>
      </w:pPr>
    </w:p>
    <w:p w14:paraId="0196514D">
      <w:pPr>
        <w:spacing w:line="360" w:lineRule="auto"/>
        <w:jc w:val="center"/>
        <w:rPr>
          <w:rFonts w:hint="eastAsia" w:ascii="宋体" w:hAnsi="宋体" w:eastAsia="宋体"/>
          <w:b/>
          <w:bCs/>
          <w:sz w:val="28"/>
          <w:szCs w:val="28"/>
        </w:rPr>
      </w:pPr>
      <w:r>
        <w:rPr>
          <w:rFonts w:hint="eastAsia" w:ascii="宋体" w:hAnsi="宋体" w:eastAsia="宋体"/>
          <w:b/>
          <w:bCs/>
          <w:sz w:val="28"/>
          <w:szCs w:val="28"/>
        </w:rPr>
        <w:t xml:space="preserve">一 </w:t>
      </w:r>
      <w:r>
        <w:rPr>
          <w:rFonts w:ascii="宋体" w:hAnsi="宋体" w:eastAsia="宋体"/>
          <w:b/>
          <w:bCs/>
          <w:sz w:val="28"/>
          <w:szCs w:val="28"/>
        </w:rPr>
        <w:t>调研方法与地点</w:t>
      </w:r>
    </w:p>
    <w:p w14:paraId="7EB9A832">
      <w:pPr>
        <w:spacing w:line="360" w:lineRule="auto"/>
        <w:jc w:val="center"/>
        <w:rPr>
          <w:rFonts w:hint="eastAsia" w:ascii="宋体" w:hAnsi="宋体" w:eastAsia="宋体"/>
          <w:b/>
          <w:bCs/>
          <w:sz w:val="28"/>
          <w:szCs w:val="28"/>
        </w:rPr>
      </w:pPr>
    </w:p>
    <w:p w14:paraId="33769355">
      <w:pPr>
        <w:spacing w:line="360" w:lineRule="auto"/>
        <w:ind w:firstLine="482" w:firstLineChars="200"/>
        <w:rPr>
          <w:rFonts w:hint="eastAsia" w:ascii="宋体" w:hAnsi="宋体" w:eastAsia="宋体"/>
          <w:sz w:val="24"/>
          <w:szCs w:val="24"/>
        </w:rPr>
      </w:pPr>
      <w:r>
        <w:rPr>
          <w:rFonts w:hint="eastAsia" w:ascii="宋体" w:hAnsi="宋体" w:eastAsia="宋体"/>
          <w:b/>
          <w:bCs/>
          <w:sz w:val="24"/>
          <w:szCs w:val="24"/>
        </w:rPr>
        <w:t>（一）</w:t>
      </w:r>
      <w:r>
        <w:rPr>
          <w:rFonts w:ascii="宋体" w:hAnsi="宋体" w:eastAsia="宋体"/>
          <w:b/>
          <w:bCs/>
          <w:sz w:val="24"/>
          <w:szCs w:val="24"/>
        </w:rPr>
        <w:t>调研方法</w:t>
      </w:r>
      <w:r>
        <w:rPr>
          <w:rFonts w:ascii="宋体" w:hAnsi="宋体" w:eastAsia="宋体"/>
          <w:sz w:val="24"/>
          <w:szCs w:val="24"/>
        </w:rPr>
        <w:t>：</w:t>
      </w:r>
    </w:p>
    <w:p w14:paraId="2BB80EB8">
      <w:pPr>
        <w:spacing w:line="360" w:lineRule="auto"/>
        <w:ind w:firstLine="482" w:firstLineChars="200"/>
        <w:rPr>
          <w:rFonts w:hint="eastAsia" w:ascii="宋体" w:hAnsi="宋体" w:eastAsia="楷体"/>
          <w:sz w:val="24"/>
          <w:szCs w:val="24"/>
        </w:rPr>
      </w:pPr>
      <w:r>
        <w:rPr>
          <w:rFonts w:hint="eastAsia" w:ascii="楷体" w:hAnsi="楷体" w:eastAsia="楷体"/>
          <w:b/>
          <w:bCs/>
          <w:sz w:val="24"/>
          <w:szCs w:val="24"/>
        </w:rPr>
        <w:t>·</w:t>
      </w:r>
      <w:r>
        <w:rPr>
          <w:rFonts w:ascii="宋体" w:hAnsi="宋体" w:eastAsia="宋体"/>
          <w:sz w:val="24"/>
          <w:szCs w:val="24"/>
        </w:rPr>
        <w:t>探资助脉络：走访属地资助中心，梳理政策脉络，探基层落实实效</w:t>
      </w:r>
      <w:r>
        <w:rPr>
          <w:rFonts w:hint="eastAsia" w:ascii="宋体" w:hAnsi="宋体" w:eastAsia="宋体"/>
          <w:sz w:val="24"/>
          <w:szCs w:val="24"/>
        </w:rPr>
        <w:t>。</w:t>
      </w:r>
    </w:p>
    <w:p w14:paraId="4F197D83">
      <w:pPr>
        <w:spacing w:line="360" w:lineRule="auto"/>
        <w:ind w:firstLine="482" w:firstLineChars="200"/>
        <w:rPr>
          <w:rFonts w:hint="eastAsia" w:ascii="宋体" w:hAnsi="宋体" w:eastAsia="楷体"/>
          <w:sz w:val="24"/>
          <w:szCs w:val="24"/>
        </w:rPr>
      </w:pPr>
      <w:r>
        <w:rPr>
          <w:rFonts w:hint="eastAsia" w:ascii="楷体" w:hAnsi="楷体" w:eastAsia="楷体"/>
          <w:b/>
          <w:bCs/>
          <w:sz w:val="24"/>
          <w:szCs w:val="24"/>
        </w:rPr>
        <w:t>·</w:t>
      </w:r>
      <w:r>
        <w:rPr>
          <w:rFonts w:ascii="宋体" w:hAnsi="宋体" w:eastAsia="宋体"/>
          <w:sz w:val="24"/>
          <w:szCs w:val="24"/>
        </w:rPr>
        <w:t>传助学强音：走进县域中学，以案例解政策、用互动消顾虑，播撒“求学有路”的希望种子</w:t>
      </w:r>
      <w:r>
        <w:rPr>
          <w:rFonts w:hint="eastAsia" w:ascii="宋体" w:hAnsi="宋体" w:eastAsia="宋体"/>
          <w:sz w:val="24"/>
          <w:szCs w:val="24"/>
        </w:rPr>
        <w:t>。</w:t>
      </w:r>
    </w:p>
    <w:p w14:paraId="66FEEAFC">
      <w:pPr>
        <w:spacing w:line="360" w:lineRule="auto"/>
        <w:ind w:firstLine="482" w:firstLineChars="200"/>
        <w:rPr>
          <w:rFonts w:hint="eastAsia" w:ascii="宋体" w:hAnsi="宋体" w:eastAsia="宋体"/>
          <w:sz w:val="24"/>
          <w:szCs w:val="24"/>
        </w:rPr>
      </w:pPr>
      <w:r>
        <w:rPr>
          <w:rFonts w:hint="eastAsia" w:ascii="楷体" w:hAnsi="楷体" w:eastAsia="楷体"/>
          <w:b/>
          <w:bCs/>
          <w:sz w:val="24"/>
          <w:szCs w:val="24"/>
        </w:rPr>
        <w:t>·</w:t>
      </w:r>
      <w:r>
        <w:rPr>
          <w:rFonts w:ascii="宋体" w:hAnsi="宋体" w:eastAsia="宋体"/>
          <w:sz w:val="24"/>
          <w:szCs w:val="24"/>
        </w:rPr>
        <w:t>续红色薪火：漫步本地红色街区，触摸革命印记，让精神力量穿透时光、照亮当下</w:t>
      </w:r>
      <w:r>
        <w:rPr>
          <w:rFonts w:hint="eastAsia" w:ascii="宋体" w:hAnsi="宋体" w:eastAsia="宋体"/>
          <w:sz w:val="24"/>
          <w:szCs w:val="24"/>
        </w:rPr>
        <w:t>。</w:t>
      </w:r>
    </w:p>
    <w:p w14:paraId="28DF31AE">
      <w:pPr>
        <w:spacing w:line="360" w:lineRule="auto"/>
        <w:ind w:firstLine="482" w:firstLineChars="200"/>
        <w:rPr>
          <w:rFonts w:hint="eastAsia" w:ascii="宋体" w:hAnsi="宋体" w:eastAsia="宋体"/>
          <w:b/>
          <w:bCs/>
          <w:sz w:val="24"/>
          <w:szCs w:val="24"/>
        </w:rPr>
      </w:pPr>
      <w:r>
        <w:rPr>
          <w:rFonts w:hint="eastAsia" w:ascii="宋体" w:hAnsi="宋体" w:eastAsia="宋体"/>
          <w:b/>
          <w:bCs/>
          <w:sz w:val="24"/>
          <w:szCs w:val="24"/>
        </w:rPr>
        <w:t>（二）</w:t>
      </w:r>
      <w:r>
        <w:rPr>
          <w:rFonts w:ascii="宋体" w:hAnsi="宋体" w:eastAsia="宋体"/>
          <w:b/>
          <w:bCs/>
          <w:sz w:val="24"/>
          <w:szCs w:val="24"/>
        </w:rPr>
        <w:t>调研地点：</w:t>
      </w:r>
    </w:p>
    <w:p w14:paraId="15819D81">
      <w:pPr>
        <w:spacing w:line="360" w:lineRule="auto"/>
        <w:ind w:firstLine="482" w:firstLineChars="200"/>
        <w:rPr>
          <w:rFonts w:hint="eastAsia" w:ascii="宋体" w:hAnsi="宋体" w:eastAsia="楷体"/>
          <w:sz w:val="24"/>
          <w:szCs w:val="24"/>
        </w:rPr>
      </w:pPr>
      <w:r>
        <w:rPr>
          <w:rFonts w:hint="eastAsia" w:ascii="楷体" w:hAnsi="楷体" w:eastAsia="楷体"/>
          <w:b/>
          <w:bCs/>
          <w:sz w:val="24"/>
          <w:szCs w:val="24"/>
        </w:rPr>
        <w:t>·</w:t>
      </w:r>
      <w:r>
        <w:rPr>
          <w:rFonts w:hint="eastAsia" w:ascii="宋体" w:hAnsi="宋体" w:eastAsia="宋体"/>
          <w:sz w:val="24"/>
          <w:szCs w:val="24"/>
        </w:rPr>
        <w:t>玉林市学生资助中心</w:t>
      </w:r>
    </w:p>
    <w:p w14:paraId="288427AB">
      <w:pPr>
        <w:spacing w:line="360" w:lineRule="auto"/>
        <w:ind w:firstLine="482" w:firstLineChars="200"/>
        <w:rPr>
          <w:rFonts w:hint="eastAsia" w:ascii="宋体" w:hAnsi="宋体" w:eastAsia="楷体"/>
          <w:sz w:val="24"/>
          <w:szCs w:val="24"/>
        </w:rPr>
      </w:pPr>
      <w:r>
        <w:rPr>
          <w:rFonts w:hint="eastAsia" w:ascii="楷体" w:hAnsi="楷体" w:eastAsia="楷体"/>
          <w:b/>
          <w:bCs/>
          <w:sz w:val="24"/>
          <w:szCs w:val="24"/>
        </w:rPr>
        <w:t>·</w:t>
      </w:r>
      <w:r>
        <w:rPr>
          <w:rFonts w:hint="eastAsia" w:ascii="宋体" w:hAnsi="宋体" w:eastAsia="宋体"/>
          <w:sz w:val="24"/>
          <w:szCs w:val="24"/>
        </w:rPr>
        <w:t>广西玉林高中</w:t>
      </w:r>
    </w:p>
    <w:p w14:paraId="70F2A1BC">
      <w:pPr>
        <w:spacing w:line="360" w:lineRule="auto"/>
        <w:ind w:firstLine="482" w:firstLineChars="200"/>
        <w:rPr>
          <w:rFonts w:hint="eastAsia" w:ascii="宋体" w:hAnsi="宋体" w:eastAsia="宋体"/>
          <w:sz w:val="24"/>
          <w:szCs w:val="24"/>
        </w:rPr>
      </w:pPr>
      <w:r>
        <w:rPr>
          <w:rFonts w:hint="eastAsia" w:ascii="楷体" w:hAnsi="楷体" w:eastAsia="楷体"/>
          <w:b/>
          <w:bCs/>
          <w:sz w:val="24"/>
          <w:szCs w:val="24"/>
        </w:rPr>
        <w:t>·</w:t>
      </w:r>
      <w:r>
        <w:rPr>
          <w:rFonts w:hint="eastAsia" w:ascii="宋体" w:hAnsi="宋体" w:eastAsia="宋体"/>
          <w:sz w:val="24"/>
          <w:szCs w:val="24"/>
        </w:rPr>
        <w:t>玉州区西就社区红色街区、陈子涛故居、</w:t>
      </w:r>
      <w:r>
        <w:rPr>
          <w:rFonts w:ascii="宋体" w:hAnsi="宋体" w:eastAsia="宋体"/>
          <w:sz w:val="24"/>
          <w:szCs w:val="24"/>
        </w:rPr>
        <w:t>朱锡昂烈士陵园</w:t>
      </w:r>
    </w:p>
    <w:p w14:paraId="2733A89A">
      <w:pPr>
        <w:spacing w:line="360" w:lineRule="auto"/>
        <w:jc w:val="center"/>
        <w:rPr>
          <w:rFonts w:hint="eastAsia" w:ascii="宋体" w:hAnsi="宋体" w:eastAsia="宋体"/>
          <w:b/>
          <w:bCs/>
          <w:sz w:val="28"/>
          <w:szCs w:val="28"/>
        </w:rPr>
      </w:pPr>
      <w:r>
        <w:rPr>
          <w:rFonts w:hint="eastAsia" w:ascii="宋体" w:hAnsi="宋体" w:eastAsia="宋体"/>
          <w:b/>
          <w:bCs/>
          <w:sz w:val="28"/>
          <w:szCs w:val="28"/>
        </w:rPr>
        <w:t xml:space="preserve">二 </w:t>
      </w:r>
      <w:r>
        <w:rPr>
          <w:rFonts w:ascii="宋体" w:hAnsi="宋体" w:eastAsia="宋体"/>
          <w:b/>
          <w:bCs/>
          <w:sz w:val="28"/>
          <w:szCs w:val="28"/>
        </w:rPr>
        <w:t>调研内容</w:t>
      </w:r>
    </w:p>
    <w:p w14:paraId="0CBE0B8F">
      <w:pPr>
        <w:spacing w:line="360" w:lineRule="auto"/>
        <w:rPr>
          <w:rFonts w:hint="eastAsia" w:ascii="宋体" w:hAnsi="宋体" w:eastAsia="宋体"/>
          <w:b/>
          <w:bCs/>
          <w:sz w:val="24"/>
          <w:szCs w:val="24"/>
        </w:rPr>
      </w:pPr>
    </w:p>
    <w:p w14:paraId="71CE328E">
      <w:pPr>
        <w:spacing w:line="360" w:lineRule="auto"/>
        <w:rPr>
          <w:rFonts w:hint="eastAsia" w:ascii="宋体" w:hAnsi="宋体" w:eastAsia="宋体"/>
          <w:b/>
          <w:bCs/>
          <w:sz w:val="24"/>
          <w:szCs w:val="24"/>
        </w:rPr>
      </w:pPr>
      <w:r>
        <w:rPr>
          <w:rFonts w:hint="eastAsia" w:ascii="宋体" w:hAnsi="宋体" w:eastAsia="宋体"/>
          <w:b/>
          <w:bCs/>
          <w:sz w:val="24"/>
          <w:szCs w:val="24"/>
        </w:rPr>
        <w:t>1.</w:t>
      </w:r>
      <w:r>
        <w:rPr>
          <w:rFonts w:ascii="宋体" w:hAnsi="宋体" w:eastAsia="宋体"/>
          <w:b/>
          <w:bCs/>
          <w:sz w:val="24"/>
          <w:szCs w:val="24"/>
        </w:rPr>
        <w:t xml:space="preserve"> 探资助脉络</w:t>
      </w:r>
      <w:r>
        <w:rPr>
          <w:rFonts w:hint="eastAsia" w:ascii="宋体" w:hAnsi="宋体" w:eastAsia="宋体"/>
          <w:b/>
          <w:bCs/>
          <w:sz w:val="24"/>
          <w:szCs w:val="24"/>
        </w:rPr>
        <w:t>:玉林市学生资助中心</w:t>
      </w:r>
    </w:p>
    <w:p w14:paraId="0E7667FA">
      <w:pPr>
        <w:spacing w:line="360" w:lineRule="auto"/>
        <w:ind w:firstLine="480" w:firstLineChars="200"/>
        <w:rPr>
          <w:rFonts w:hint="eastAsia" w:ascii="宋体" w:hAnsi="宋体" w:eastAsia="宋体"/>
          <w:b/>
          <w:bCs/>
          <w:szCs w:val="21"/>
        </w:rPr>
      </w:pPr>
      <w:r>
        <w:rPr>
          <w:rFonts w:hint="eastAsia" w:ascii="宋体" w:hAnsi="宋体" w:eastAsia="宋体"/>
          <w:sz w:val="24"/>
          <w:szCs w:val="24"/>
        </w:rPr>
        <w:t>我们先前往玉林市学生资助中心展开了调研。</w:t>
      </w:r>
    </w:p>
    <w:p w14:paraId="2E183C0D">
      <w:pPr>
        <w:spacing w:line="360" w:lineRule="auto"/>
        <w:jc w:val="center"/>
        <w:rPr>
          <w:rFonts w:hint="eastAsia" w:ascii="宋体" w:hAnsi="宋体" w:eastAsia="宋体"/>
          <w:sz w:val="24"/>
          <w:szCs w:val="24"/>
        </w:rPr>
      </w:pPr>
      <w:r>
        <w:rPr>
          <w:rFonts w:ascii="宋体" w:hAnsi="宋体" w:eastAsia="宋体"/>
          <w:sz w:val="24"/>
          <w:szCs w:val="24"/>
        </w:rPr>
        <w:drawing>
          <wp:inline distT="0" distB="0" distL="0" distR="0">
            <wp:extent cx="4265295" cy="2964815"/>
            <wp:effectExtent l="0" t="0" r="1905" b="6985"/>
            <wp:docPr id="1416124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4584"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280301" cy="2975146"/>
                    </a:xfrm>
                    <a:prstGeom prst="rect">
                      <a:avLst/>
                    </a:prstGeom>
                    <a:noFill/>
                    <a:ln>
                      <a:noFill/>
                    </a:ln>
                  </pic:spPr>
                </pic:pic>
              </a:graphicData>
            </a:graphic>
          </wp:inline>
        </w:drawing>
      </w:r>
    </w:p>
    <w:p w14:paraId="72C49124">
      <w:pPr>
        <w:spacing w:line="360" w:lineRule="auto"/>
        <w:ind w:firstLine="480" w:firstLineChars="200"/>
        <w:rPr>
          <w:rFonts w:hint="eastAsia" w:ascii="宋体" w:hAnsi="宋体" w:eastAsia="宋体"/>
          <w:sz w:val="24"/>
          <w:szCs w:val="24"/>
        </w:rPr>
      </w:pPr>
      <w:r>
        <w:rPr>
          <w:rFonts w:ascii="宋体" w:hAnsi="宋体" w:eastAsia="宋体"/>
          <w:sz w:val="24"/>
          <w:szCs w:val="24"/>
        </w:rPr>
        <w:t>目前玉林已建立起以三项核心政策为主干的全学段教育资助系统，涵盖从学前教育至高等教育的完整阶段。</w:t>
      </w:r>
    </w:p>
    <w:p w14:paraId="7C5BA84E">
      <w:pPr>
        <w:spacing w:line="360" w:lineRule="auto"/>
        <w:ind w:firstLine="480" w:firstLineChars="200"/>
        <w:rPr>
          <w:rFonts w:hint="eastAsia" w:ascii="宋体" w:hAnsi="宋体" w:eastAsia="宋体"/>
          <w:sz w:val="24"/>
          <w:szCs w:val="24"/>
        </w:rPr>
      </w:pPr>
      <w:r>
        <w:rPr>
          <w:rFonts w:ascii="宋体" w:hAnsi="宋体" w:eastAsia="宋体"/>
          <w:sz w:val="24"/>
          <w:szCs w:val="24"/>
        </w:rPr>
        <w:t>在学前教育阶段，实施"免保教费"政策，面向建档立卡贫困户、城乡低保家庭、特困救助供养家庭及残疾儿童等特殊群体。该政策通过教育部门与扶贫、民政部门的协同数据比对，实现资助对象的精准识别，每学年为每位符合条件幼儿减免保教费，切实减轻困难家庭的教育负担。</w:t>
      </w:r>
    </w:p>
    <w:p w14:paraId="0E0C4F76">
      <w:pPr>
        <w:spacing w:line="360" w:lineRule="auto"/>
        <w:ind w:firstLine="480" w:firstLineChars="200"/>
        <w:rPr>
          <w:rFonts w:hint="eastAsia" w:ascii="宋体" w:hAnsi="宋体" w:eastAsia="宋体"/>
          <w:sz w:val="24"/>
          <w:szCs w:val="24"/>
        </w:rPr>
      </w:pPr>
      <w:r>
        <w:rPr>
          <w:rFonts w:ascii="宋体" w:hAnsi="宋体" w:eastAsia="宋体"/>
          <w:sz w:val="24"/>
          <w:szCs w:val="24"/>
        </w:rPr>
        <w:drawing>
          <wp:inline distT="0" distB="0" distL="0" distR="0">
            <wp:extent cx="4127500" cy="3250565"/>
            <wp:effectExtent l="0" t="0" r="6350" b="6985"/>
            <wp:docPr id="691065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65309"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t="33441" b="5169"/>
                    <a:stretch>
                      <a:fillRect/>
                    </a:stretch>
                  </pic:blipFill>
                  <pic:spPr>
                    <a:xfrm>
                      <a:off x="0" y="0"/>
                      <a:ext cx="4132771" cy="3254311"/>
                    </a:xfrm>
                    <a:prstGeom prst="rect">
                      <a:avLst/>
                    </a:prstGeom>
                    <a:noFill/>
                    <a:ln>
                      <a:noFill/>
                    </a:ln>
                  </pic:spPr>
                </pic:pic>
              </a:graphicData>
            </a:graphic>
          </wp:inline>
        </w:drawing>
      </w:r>
    </w:p>
    <w:p w14:paraId="268FA20D">
      <w:pPr>
        <w:spacing w:line="360" w:lineRule="auto"/>
        <w:ind w:firstLine="480" w:firstLineChars="200"/>
        <w:rPr>
          <w:rFonts w:hint="eastAsia" w:ascii="宋体" w:hAnsi="宋体" w:eastAsia="宋体"/>
          <w:sz w:val="24"/>
          <w:szCs w:val="24"/>
        </w:rPr>
      </w:pPr>
      <w:r>
        <w:rPr>
          <w:rFonts w:ascii="宋体" w:hAnsi="宋体" w:eastAsia="宋体"/>
          <w:sz w:val="24"/>
          <w:szCs w:val="24"/>
        </w:rPr>
        <w:t>义务教育阶段实行"家庭经济困难学生生活补助"政策，建立分级资助机制。寄宿生每人每年可获得1250元至1500元不等的生活补助，非寄宿生补助标准为每人每年500元至750元。资助对象涵盖建档立卡学生、低保家庭学生、特困救助供养学生和残疾学生等四类重点保障群体，通过"个人申请-班级评议-学校评审-校级公示"的规范化流程，确保资助工作公开透明、精准到位。</w:t>
      </w:r>
    </w:p>
    <w:p w14:paraId="16CBC2CE">
      <w:pPr>
        <w:spacing w:line="360" w:lineRule="auto"/>
        <w:ind w:firstLine="480" w:firstLineChars="200"/>
        <w:rPr>
          <w:rFonts w:hint="eastAsia" w:ascii="宋体" w:hAnsi="宋体" w:eastAsia="宋体"/>
          <w:sz w:val="24"/>
          <w:szCs w:val="24"/>
        </w:rPr>
      </w:pPr>
      <w:r>
        <w:rPr>
          <w:rFonts w:ascii="宋体" w:hAnsi="宋体" w:eastAsia="宋体"/>
          <w:sz w:val="24"/>
          <w:szCs w:val="24"/>
        </w:rPr>
        <w:drawing>
          <wp:inline distT="0" distB="0" distL="0" distR="0">
            <wp:extent cx="4015740" cy="2061210"/>
            <wp:effectExtent l="0" t="0" r="3810" b="0"/>
            <wp:docPr id="12217756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75632"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t="37335" b="37384"/>
                    <a:stretch>
                      <a:fillRect/>
                    </a:stretch>
                  </pic:blipFill>
                  <pic:spPr>
                    <a:xfrm>
                      <a:off x="0" y="0"/>
                      <a:ext cx="4025015" cy="2066020"/>
                    </a:xfrm>
                    <a:prstGeom prst="rect">
                      <a:avLst/>
                    </a:prstGeom>
                    <a:noFill/>
                    <a:ln>
                      <a:noFill/>
                    </a:ln>
                  </pic:spPr>
                </pic:pic>
              </a:graphicData>
            </a:graphic>
          </wp:inline>
        </w:drawing>
      </w:r>
    </w:p>
    <w:p w14:paraId="63649248">
      <w:pPr>
        <w:spacing w:line="360" w:lineRule="auto"/>
        <w:ind w:firstLine="480" w:firstLineChars="200"/>
        <w:rPr>
          <w:rFonts w:hint="eastAsia" w:ascii="宋体" w:hAnsi="宋体" w:eastAsia="宋体"/>
          <w:sz w:val="24"/>
          <w:szCs w:val="24"/>
        </w:rPr>
      </w:pPr>
      <w:r>
        <w:rPr>
          <w:rFonts w:ascii="宋体" w:hAnsi="宋体" w:eastAsia="宋体"/>
          <w:sz w:val="24"/>
          <w:szCs w:val="24"/>
        </w:rPr>
        <w:t>高等教育阶段推出"生源地信用助学贷款"制度，贷款额度为本专科生每年最高12000元，研究生每年最高16000元。该贷款享受财政贴息政策，学生在校期间无需支付利息。资助中心每年7月至9月集中开展受理工作，提供从政策咨询、申请指导到合同签订的一站式服务。</w:t>
      </w:r>
    </w:p>
    <w:p w14:paraId="244CCC7E">
      <w:pPr>
        <w:spacing w:line="360" w:lineRule="auto"/>
        <w:ind w:firstLine="480" w:firstLineChars="200"/>
        <w:rPr>
          <w:rFonts w:hint="eastAsia" w:ascii="宋体" w:hAnsi="宋体" w:eastAsia="宋体"/>
          <w:sz w:val="24"/>
          <w:szCs w:val="24"/>
        </w:rPr>
      </w:pPr>
      <w:r>
        <w:rPr>
          <w:rFonts w:ascii="宋体" w:hAnsi="宋体" w:eastAsia="宋体"/>
          <w:sz w:val="24"/>
          <w:szCs w:val="24"/>
        </w:rPr>
        <w:t>这三项政策相互衔接，形成了"学前免学费、义务教育补生活、高等教育助贷款"的全程资助模式。资助中心通过建立电子化管理平台，实现资助信息的动态管理和实时监控，确保各项资助资金及时、准确发放。</w:t>
      </w:r>
    </w:p>
    <w:p w14:paraId="01FDC3EC">
      <w:pPr>
        <w:spacing w:line="360" w:lineRule="auto"/>
        <w:ind w:firstLine="480" w:firstLineChars="200"/>
        <w:rPr>
          <w:rFonts w:hint="eastAsia" w:ascii="宋体" w:hAnsi="宋体" w:eastAsia="宋体"/>
          <w:sz w:val="24"/>
          <w:szCs w:val="24"/>
        </w:rPr>
      </w:pPr>
      <w:r>
        <w:rPr>
          <w:rFonts w:ascii="宋体" w:hAnsi="宋体" w:eastAsia="宋体"/>
          <w:sz w:val="24"/>
          <w:szCs w:val="24"/>
        </w:rPr>
        <w:drawing>
          <wp:inline distT="0" distB="0" distL="0" distR="0">
            <wp:extent cx="5031740" cy="2435225"/>
            <wp:effectExtent l="0" t="0" r="0" b="3175"/>
            <wp:docPr id="10787579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57988"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032439" cy="2435513"/>
                    </a:xfrm>
                    <a:prstGeom prst="rect">
                      <a:avLst/>
                    </a:prstGeom>
                    <a:noFill/>
                    <a:ln>
                      <a:noFill/>
                    </a:ln>
                  </pic:spPr>
                </pic:pic>
              </a:graphicData>
            </a:graphic>
          </wp:inline>
        </w:drawing>
      </w:r>
    </w:p>
    <w:p w14:paraId="314DCCAD">
      <w:pPr>
        <w:spacing w:line="360" w:lineRule="auto"/>
        <w:ind w:firstLine="480" w:firstLineChars="200"/>
        <w:rPr>
          <w:rFonts w:hint="eastAsia" w:ascii="宋体" w:hAnsi="宋体" w:eastAsia="宋体"/>
          <w:sz w:val="24"/>
          <w:szCs w:val="24"/>
        </w:rPr>
      </w:pPr>
      <w:r>
        <w:rPr>
          <w:rFonts w:ascii="宋体" w:hAnsi="宋体" w:eastAsia="宋体"/>
          <w:sz w:val="24"/>
          <w:szCs w:val="24"/>
        </w:rPr>
        <w:t>玉林市学生资助工作不仅体现了教育公平的价值追求，更通过精准化的资助体系和人性化的服务方式，为家庭经济困难学生构建起一道完整的成长保障体系，真正实现了"不让一个学生因家庭经济困难而失学"的庄严承诺。</w:t>
      </w:r>
    </w:p>
    <w:p w14:paraId="10B1C697">
      <w:pPr>
        <w:rPr>
          <w:rFonts w:hint="eastAsia" w:ascii="宋体" w:hAnsi="宋体" w:eastAsia="宋体"/>
          <w:sz w:val="24"/>
          <w:szCs w:val="24"/>
        </w:rPr>
      </w:pPr>
    </w:p>
    <w:p w14:paraId="0F1C5C1C">
      <w:pPr>
        <w:jc w:val="center"/>
        <w:rPr>
          <w:rFonts w:hint="eastAsia" w:ascii="宋体" w:hAnsi="宋体" w:eastAsia="宋体"/>
          <w:sz w:val="24"/>
          <w:szCs w:val="24"/>
        </w:rPr>
      </w:pPr>
    </w:p>
    <w:p w14:paraId="4E065C10">
      <w:pPr>
        <w:spacing w:line="360" w:lineRule="auto"/>
        <w:rPr>
          <w:rFonts w:hint="eastAsia" w:ascii="宋体" w:hAnsi="宋体" w:eastAsia="宋体"/>
          <w:b/>
          <w:bCs/>
          <w:sz w:val="24"/>
          <w:szCs w:val="24"/>
        </w:rPr>
      </w:pPr>
      <w:r>
        <w:rPr>
          <w:rFonts w:hint="eastAsia" w:ascii="宋体" w:hAnsi="宋体" w:eastAsia="宋体"/>
          <w:b/>
          <w:bCs/>
          <w:sz w:val="24"/>
          <w:szCs w:val="24"/>
        </w:rPr>
        <w:t>2.</w:t>
      </w:r>
      <w:r>
        <w:rPr>
          <w:rFonts w:ascii="宋体" w:hAnsi="宋体" w:eastAsia="宋体"/>
          <w:b/>
          <w:bCs/>
          <w:sz w:val="24"/>
          <w:szCs w:val="24"/>
        </w:rPr>
        <w:t xml:space="preserve"> 传助学强音</w:t>
      </w:r>
      <w:r>
        <w:rPr>
          <w:rFonts w:hint="eastAsia" w:ascii="宋体" w:hAnsi="宋体" w:eastAsia="宋体"/>
          <w:b/>
          <w:bCs/>
          <w:sz w:val="24"/>
          <w:szCs w:val="24"/>
        </w:rPr>
        <w:t>:广西玉林高中</w:t>
      </w:r>
    </w:p>
    <w:p w14:paraId="62B1EDC5">
      <w:pPr>
        <w:spacing w:line="360" w:lineRule="auto"/>
        <w:ind w:firstLine="480"/>
        <w:rPr>
          <w:rFonts w:hint="eastAsia" w:ascii="宋体" w:hAnsi="宋体" w:eastAsia="宋体"/>
          <w:sz w:val="24"/>
          <w:szCs w:val="24"/>
        </w:rPr>
      </w:pPr>
      <w:r>
        <w:rPr>
          <w:rFonts w:ascii="宋体" w:hAnsi="宋体" w:eastAsia="宋体"/>
          <w:sz w:val="24"/>
          <w:szCs w:val="24"/>
        </w:rPr>
        <w:t>8月20日晚，团队前往玉林高级中学开展资助政策宣讲活动。作为成员曾就读的母校，红墙绿树与琅琅书声交织的校园环境，既承载着熟悉的青春记忆，也因深植于心的归属感强化了本次实践的责任分量——不仅要完成政策宣讲任务，更要通过切实有效的信息传递，为正处于备考关键期的学生群体化解求学顾虑、坚定升学信心。</w:t>
      </w:r>
    </w:p>
    <w:p w14:paraId="4B97A452">
      <w:pPr>
        <w:spacing w:line="360" w:lineRule="auto"/>
        <w:ind w:firstLine="480"/>
        <w:rPr>
          <w:rFonts w:hint="eastAsia" w:ascii="宋体" w:hAnsi="宋体" w:eastAsia="宋体"/>
          <w:sz w:val="24"/>
          <w:szCs w:val="24"/>
        </w:rPr>
      </w:pPr>
      <w:r>
        <w:rPr>
          <w:rFonts w:ascii="宋体" w:hAnsi="宋体" w:eastAsia="宋体"/>
          <w:sz w:val="24"/>
          <w:szCs w:val="24"/>
        </w:rPr>
        <w:drawing>
          <wp:inline distT="0" distB="0" distL="0" distR="0">
            <wp:extent cx="4812665" cy="3213100"/>
            <wp:effectExtent l="0" t="0" r="6985" b="6350"/>
            <wp:docPr id="6006646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64692"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827649" cy="3223342"/>
                    </a:xfrm>
                    <a:prstGeom prst="rect">
                      <a:avLst/>
                    </a:prstGeom>
                    <a:noFill/>
                    <a:ln>
                      <a:noFill/>
                    </a:ln>
                  </pic:spPr>
                </pic:pic>
              </a:graphicData>
            </a:graphic>
          </wp:inline>
        </w:drawing>
      </w:r>
    </w:p>
    <w:p w14:paraId="5EFB8824">
      <w:pPr>
        <w:spacing w:line="360" w:lineRule="auto"/>
        <w:ind w:firstLine="480"/>
        <w:rPr>
          <w:rFonts w:hint="eastAsia" w:ascii="宋体" w:hAnsi="宋体" w:eastAsia="宋体"/>
          <w:sz w:val="24"/>
          <w:szCs w:val="24"/>
        </w:rPr>
      </w:pPr>
      <w:r>
        <w:rPr>
          <w:rFonts w:ascii="宋体" w:hAnsi="宋体" w:eastAsia="宋体"/>
          <w:sz w:val="24"/>
          <w:szCs w:val="24"/>
        </w:rPr>
        <w:t>前期通过线上渠道与校方及高三年级组对接，最终选定一个刚结束校内模拟考试的高三班级作为宣讲对象。进入教室时，学生正三三两两围聚讨论试题答案，空气中弥漫着纸墨气息与考后情绪碰撞的张力——有人因答对题目眼含雀跃，有人因失误流露不甘，这些鲜活的表情折射出高三学子特有的紧张与期待。作为宣讲者，</w:t>
      </w:r>
      <w:r>
        <w:rPr>
          <w:rFonts w:hint="eastAsia" w:ascii="宋体" w:hAnsi="宋体" w:eastAsia="宋体"/>
          <w:sz w:val="24"/>
          <w:szCs w:val="24"/>
        </w:rPr>
        <w:t>我们</w:t>
      </w:r>
      <w:r>
        <w:rPr>
          <w:rFonts w:ascii="宋体" w:hAnsi="宋体" w:eastAsia="宋体"/>
          <w:sz w:val="24"/>
          <w:szCs w:val="24"/>
        </w:rPr>
        <w:t>不禁思考：在这个优秀生源集中的班级中，有多少学生具备冲击同济大学的潜力？其中又有多少人可能因经济因素，在追求高等教育机会时产生犹豫？</w:t>
      </w:r>
    </w:p>
    <w:p w14:paraId="64687BE2">
      <w:pPr>
        <w:spacing w:line="360" w:lineRule="auto"/>
        <w:ind w:firstLine="480"/>
        <w:rPr>
          <w:rFonts w:hint="eastAsia" w:ascii="宋体" w:hAnsi="宋体" w:eastAsia="宋体"/>
          <w:sz w:val="24"/>
          <w:szCs w:val="24"/>
        </w:rPr>
      </w:pPr>
      <w:r>
        <w:rPr>
          <w:rFonts w:ascii="宋体" w:hAnsi="宋体" w:eastAsia="宋体"/>
          <w:sz w:val="24"/>
          <w:szCs w:val="24"/>
        </w:rPr>
        <w:drawing>
          <wp:inline distT="0" distB="0" distL="0" distR="0">
            <wp:extent cx="2468245" cy="1955165"/>
            <wp:effectExtent l="0" t="0" r="8255" b="6985"/>
            <wp:docPr id="15065889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88920"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492069" cy="1974530"/>
                    </a:xfrm>
                    <a:prstGeom prst="rect">
                      <a:avLst/>
                    </a:prstGeom>
                    <a:noFill/>
                    <a:ln>
                      <a:noFill/>
                    </a:ln>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r>
        <w:rPr>
          <w:rFonts w:ascii="宋体" w:hAnsi="宋体" w:eastAsia="宋体"/>
          <w:sz w:val="24"/>
          <w:szCs w:val="24"/>
        </w:rPr>
        <w:drawing>
          <wp:inline distT="0" distB="0" distL="0" distR="0">
            <wp:extent cx="2441575" cy="1962150"/>
            <wp:effectExtent l="0" t="0" r="0" b="0"/>
            <wp:docPr id="12566734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3405"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461129" cy="1978068"/>
                    </a:xfrm>
                    <a:prstGeom prst="rect">
                      <a:avLst/>
                    </a:prstGeom>
                    <a:noFill/>
                    <a:ln>
                      <a:noFill/>
                    </a:ln>
                  </pic:spPr>
                </pic:pic>
              </a:graphicData>
            </a:graphic>
          </wp:inline>
        </w:drawing>
      </w:r>
    </w:p>
    <w:p w14:paraId="5636FBFD">
      <w:pPr>
        <w:spacing w:line="360" w:lineRule="auto"/>
        <w:ind w:firstLine="480"/>
        <w:rPr>
          <w:rFonts w:hint="eastAsia" w:ascii="宋体" w:hAnsi="宋体" w:eastAsia="宋体"/>
          <w:sz w:val="24"/>
          <w:szCs w:val="24"/>
        </w:rPr>
      </w:pPr>
      <w:r>
        <w:rPr>
          <w:rFonts w:ascii="宋体" w:hAnsi="宋体" w:eastAsia="宋体"/>
          <w:sz w:val="24"/>
          <w:szCs w:val="24"/>
        </w:rPr>
        <w:t>宣讲初始聚焦同济大学的学术实力与校园文化，结合团队成员在校期间的成长轨迹——从入学初期的适应探索到逐步明确发展方向，从课堂学习延伸至科研实践参与……通过具象化的校园生活描述，向学生勾勒真实可感的高等教育图景。台下学生反应积极，惊叹声频现，多数目光中透露出对更广阔发展平台的向往。</w:t>
      </w:r>
    </w:p>
    <w:p w14:paraId="6485BB91">
      <w:pPr>
        <w:spacing w:line="360" w:lineRule="auto"/>
        <w:ind w:firstLine="480"/>
        <w:rPr>
          <w:rFonts w:hint="eastAsia" w:ascii="宋体" w:hAnsi="宋体" w:eastAsia="宋体"/>
          <w:sz w:val="24"/>
          <w:szCs w:val="24"/>
        </w:rPr>
      </w:pPr>
      <w:r>
        <w:rPr>
          <w:rFonts w:ascii="宋体" w:hAnsi="宋体" w:eastAsia="宋体"/>
          <w:sz w:val="24"/>
          <w:szCs w:val="24"/>
        </w:rPr>
        <w:t>随着宣讲推进，部分学生逐渐显露出隐性顾虑。一名男生主动提问：“学长，上海的生活成本是不是很高？像我这样的家庭，会不会负担不起？”</w:t>
      </w:r>
      <w:r>
        <w:rPr>
          <w:rFonts w:hint="eastAsia" w:ascii="宋体" w:hAnsi="宋体" w:eastAsia="宋体"/>
          <w:sz w:val="24"/>
          <w:szCs w:val="24"/>
        </w:rPr>
        <w:t>一句平平淡淡的话语</w:t>
      </w:r>
      <w:r>
        <w:rPr>
          <w:rFonts w:ascii="宋体" w:hAnsi="宋体" w:eastAsia="宋体"/>
          <w:sz w:val="24"/>
          <w:szCs w:val="24"/>
        </w:rPr>
        <w:t>，却引发</w:t>
      </w:r>
      <w:r>
        <w:rPr>
          <w:rFonts w:hint="eastAsia" w:ascii="宋体" w:hAnsi="宋体" w:eastAsia="宋体"/>
          <w:sz w:val="24"/>
          <w:szCs w:val="24"/>
        </w:rPr>
        <w:t>了我们</w:t>
      </w:r>
      <w:r>
        <w:rPr>
          <w:rFonts w:ascii="宋体" w:hAnsi="宋体" w:eastAsia="宋体"/>
          <w:sz w:val="24"/>
          <w:szCs w:val="24"/>
        </w:rPr>
        <w:t>的强烈共鸣。此时PPT恰好切换至“资助体系”页面，</w:t>
      </w:r>
      <w:r>
        <w:rPr>
          <w:rFonts w:hint="eastAsia" w:ascii="宋体" w:hAnsi="宋体" w:eastAsia="宋体"/>
          <w:sz w:val="24"/>
          <w:szCs w:val="24"/>
        </w:rPr>
        <w:t>我们便</w:t>
      </w:r>
      <w:r>
        <w:rPr>
          <w:rFonts w:ascii="宋体" w:hAnsi="宋体" w:eastAsia="宋体"/>
          <w:sz w:val="24"/>
          <w:szCs w:val="24"/>
        </w:rPr>
        <w:t>顺势将话题转向资助政策解读。</w:t>
      </w:r>
    </w:p>
    <w:p w14:paraId="7979A049">
      <w:pPr>
        <w:spacing w:line="360" w:lineRule="auto"/>
        <w:ind w:firstLine="480"/>
        <w:rPr>
          <w:rFonts w:hint="eastAsia" w:ascii="宋体" w:hAnsi="宋体" w:eastAsia="宋体"/>
          <w:sz w:val="24"/>
          <w:szCs w:val="24"/>
        </w:rPr>
      </w:pPr>
      <w:r>
        <w:rPr>
          <w:rFonts w:ascii="宋体" w:hAnsi="宋体" w:eastAsia="宋体"/>
          <w:sz w:val="24"/>
          <w:szCs w:val="24"/>
        </w:rPr>
        <w:t>针对经济顾虑，</w:t>
      </w:r>
      <w:r>
        <w:rPr>
          <w:rFonts w:hint="eastAsia" w:ascii="宋体" w:hAnsi="宋体" w:eastAsia="宋体"/>
          <w:sz w:val="24"/>
          <w:szCs w:val="24"/>
        </w:rPr>
        <w:t>我们</w:t>
      </w:r>
      <w:r>
        <w:rPr>
          <w:rFonts w:ascii="宋体" w:hAnsi="宋体" w:eastAsia="宋体"/>
          <w:sz w:val="24"/>
          <w:szCs w:val="24"/>
        </w:rPr>
        <w:t>首先明确回应：“同济大学绝不会让任何一位同学因经济困难失学。”随后系统阐释“奖、助、贷、勤、免、补、偿”七位一体资助体系的具体构成：通过国家助学贷款解决入学缴费难题，依托国家奖助学金提供常态化经济支持，结合校内勤工助学岗位培养自立能力，设置临时困难补助应对突发需求，落实学费补偿代偿政策减轻家庭负担。特别强调“绿色通道”机制——学生持录取通知书即可先办理入学手续，后续由学校资助管理中心主动对接需求，确保“入学有保障”的承诺落地。</w:t>
      </w:r>
    </w:p>
    <w:p w14:paraId="63B52EE5">
      <w:pPr>
        <w:spacing w:line="360" w:lineRule="auto"/>
        <w:ind w:firstLine="480"/>
        <w:rPr>
          <w:rFonts w:hint="eastAsia" w:ascii="宋体" w:hAnsi="宋体" w:eastAsia="宋体"/>
          <w:sz w:val="24"/>
          <w:szCs w:val="24"/>
        </w:rPr>
      </w:pPr>
      <w:r>
        <w:rPr>
          <w:rFonts w:ascii="宋体" w:hAnsi="宋体" w:eastAsia="宋体"/>
          <w:sz w:val="24"/>
          <w:szCs w:val="24"/>
        </w:rPr>
        <w:drawing>
          <wp:inline distT="0" distB="0" distL="0" distR="0">
            <wp:extent cx="3636010" cy="2605405"/>
            <wp:effectExtent l="0" t="0" r="2540" b="4445"/>
            <wp:docPr id="7570896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89609" name="图片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644679" cy="2611295"/>
                    </a:xfrm>
                    <a:prstGeom prst="rect">
                      <a:avLst/>
                    </a:prstGeom>
                    <a:noFill/>
                    <a:ln>
                      <a:noFill/>
                    </a:ln>
                  </pic:spPr>
                </pic:pic>
              </a:graphicData>
            </a:graphic>
          </wp:inline>
        </w:drawing>
      </w:r>
    </w:p>
    <w:p w14:paraId="35CED572">
      <w:pPr>
        <w:spacing w:line="360" w:lineRule="auto"/>
        <w:ind w:firstLine="480"/>
        <w:rPr>
          <w:rFonts w:hint="eastAsia" w:ascii="宋体" w:hAnsi="宋体" w:eastAsia="宋体"/>
          <w:sz w:val="24"/>
          <w:szCs w:val="24"/>
        </w:rPr>
      </w:pPr>
      <w:r>
        <w:rPr>
          <w:rFonts w:ascii="宋体" w:hAnsi="宋体" w:eastAsia="宋体"/>
          <w:sz w:val="24"/>
          <w:szCs w:val="24"/>
        </w:rPr>
        <w:t>除基础保障型资助外，重点介绍同济大学发展型资助举措，包括“家庭经济困难学生能力建设计划”等特色项目。通过海外交流项目资助拓宽国际视野、创新创业实践基金培育实践能力、职业技能培训补贴提升就业竞争力等多元形式，助力学生全面发展。其中，“筑梦计划”针对中西部及农村地区学生提供个性化支持，如学术导师一对一指导、知名企业实习机会推荐等，进一步强化对特殊群体的精准帮扶。</w:t>
      </w:r>
    </w:p>
    <w:p w14:paraId="1D814BC8">
      <w:pPr>
        <w:spacing w:line="360" w:lineRule="auto"/>
        <w:ind w:firstLine="480"/>
        <w:rPr>
          <w:rFonts w:hint="eastAsia" w:ascii="宋体" w:hAnsi="宋体" w:eastAsia="宋体"/>
          <w:sz w:val="24"/>
          <w:szCs w:val="24"/>
        </w:rPr>
      </w:pPr>
      <w:r>
        <w:rPr>
          <w:rFonts w:ascii="宋体" w:hAnsi="宋体" w:eastAsia="宋体"/>
          <w:sz w:val="24"/>
          <w:szCs w:val="24"/>
        </w:rPr>
        <w:drawing>
          <wp:inline distT="0" distB="0" distL="0" distR="0">
            <wp:extent cx="3641725" cy="2626360"/>
            <wp:effectExtent l="0" t="0" r="0" b="2540"/>
            <wp:docPr id="17174715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71540" name="图片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654277" cy="2635972"/>
                    </a:xfrm>
                    <a:prstGeom prst="rect">
                      <a:avLst/>
                    </a:prstGeom>
                    <a:noFill/>
                    <a:ln>
                      <a:noFill/>
                    </a:ln>
                  </pic:spPr>
                </pic:pic>
              </a:graphicData>
            </a:graphic>
          </wp:inline>
        </w:drawing>
      </w:r>
    </w:p>
    <w:p w14:paraId="1D0521DA">
      <w:pPr>
        <w:spacing w:line="360" w:lineRule="auto"/>
        <w:ind w:firstLine="480"/>
        <w:rPr>
          <w:rFonts w:hint="eastAsia" w:ascii="宋体" w:hAnsi="宋体" w:eastAsia="宋体"/>
          <w:sz w:val="24"/>
          <w:szCs w:val="24"/>
        </w:rPr>
      </w:pPr>
      <w:r>
        <w:rPr>
          <w:rFonts w:hint="eastAsia" w:ascii="宋体" w:hAnsi="宋体" w:eastAsia="宋体"/>
          <w:sz w:val="24"/>
          <w:szCs w:val="24"/>
        </w:rPr>
        <w:t>通过对体系完善的宣讲政策的细致解读</w:t>
      </w:r>
      <w:r>
        <w:rPr>
          <w:rFonts w:ascii="宋体" w:hAnsi="宋体" w:eastAsia="宋体"/>
          <w:sz w:val="24"/>
          <w:szCs w:val="24"/>
        </w:rPr>
        <w:t>，学生</w:t>
      </w:r>
      <w:r>
        <w:rPr>
          <w:rFonts w:hint="eastAsia" w:ascii="宋体" w:hAnsi="宋体" w:eastAsia="宋体"/>
          <w:sz w:val="24"/>
          <w:szCs w:val="24"/>
        </w:rPr>
        <w:t>们的</w:t>
      </w:r>
      <w:r>
        <w:rPr>
          <w:rFonts w:ascii="宋体" w:hAnsi="宋体" w:eastAsia="宋体"/>
          <w:sz w:val="24"/>
          <w:szCs w:val="24"/>
        </w:rPr>
        <w:t>眉头逐渐舒展</w:t>
      </w:r>
      <w:r>
        <w:rPr>
          <w:rFonts w:hint="eastAsia" w:ascii="宋体" w:hAnsi="宋体" w:eastAsia="宋体"/>
          <w:sz w:val="24"/>
          <w:szCs w:val="24"/>
        </w:rPr>
        <w:t>起来</w:t>
      </w:r>
      <w:r>
        <w:rPr>
          <w:rFonts w:ascii="宋体" w:hAnsi="宋体" w:eastAsia="宋体"/>
          <w:sz w:val="24"/>
          <w:szCs w:val="24"/>
        </w:rPr>
        <w:t>，</w:t>
      </w:r>
      <w:r>
        <w:rPr>
          <w:rFonts w:hint="eastAsia" w:ascii="宋体" w:hAnsi="宋体" w:eastAsia="宋体"/>
          <w:sz w:val="24"/>
          <w:szCs w:val="24"/>
        </w:rPr>
        <w:t>一些同学</w:t>
      </w:r>
      <w:r>
        <w:rPr>
          <w:rFonts w:ascii="宋体" w:hAnsi="宋体" w:eastAsia="宋体"/>
          <w:sz w:val="24"/>
          <w:szCs w:val="24"/>
        </w:rPr>
        <w:t>原本紧绷的坐姿明显放松，</w:t>
      </w:r>
      <w:r>
        <w:rPr>
          <w:rFonts w:hint="eastAsia" w:ascii="宋体" w:hAnsi="宋体" w:eastAsia="宋体"/>
          <w:sz w:val="24"/>
          <w:szCs w:val="24"/>
        </w:rPr>
        <w:t>他们的</w:t>
      </w:r>
      <w:r>
        <w:rPr>
          <w:rFonts w:ascii="宋体" w:hAnsi="宋体" w:eastAsia="宋体"/>
          <w:sz w:val="24"/>
          <w:szCs w:val="24"/>
        </w:rPr>
        <w:t>经济焦虑</w:t>
      </w:r>
      <w:r>
        <w:rPr>
          <w:rFonts w:hint="eastAsia" w:ascii="宋体" w:hAnsi="宋体" w:eastAsia="宋体"/>
          <w:sz w:val="24"/>
          <w:szCs w:val="24"/>
        </w:rPr>
        <w:t>也一一被打消</w:t>
      </w:r>
      <w:r>
        <w:rPr>
          <w:rFonts w:ascii="宋体" w:hAnsi="宋体" w:eastAsia="宋体"/>
          <w:sz w:val="24"/>
          <w:szCs w:val="24"/>
        </w:rPr>
        <w:t>。在后续交流环节，团队结合自身在同济参与的社团活动、文化演出及学术实践经历，生动呈现校园生活的丰富性与人文关怀，现场氛围趋于活跃，学生提问积极性显著提升，多名同学主动表达对同济大学的向往。</w:t>
      </w:r>
    </w:p>
    <w:p w14:paraId="68F0694E">
      <w:pPr>
        <w:spacing w:line="360" w:lineRule="auto"/>
        <w:ind w:firstLine="480"/>
        <w:rPr>
          <w:rFonts w:hint="eastAsia" w:ascii="宋体" w:hAnsi="宋体" w:eastAsia="宋体"/>
          <w:sz w:val="24"/>
          <w:szCs w:val="24"/>
        </w:rPr>
      </w:pPr>
      <w:r>
        <w:rPr>
          <w:rFonts w:ascii="宋体" w:hAnsi="宋体" w:eastAsia="宋体"/>
          <w:sz w:val="24"/>
          <w:szCs w:val="24"/>
        </w:rPr>
        <w:t>活动尾声，与十余名表现出强烈报考意向且家庭经济条件需关注的学生互留联系方式，建立初步沟通渠道。此举既为后续持续提供招生咨询、志愿填报指导等精准服务奠定基础，亦通过情感联结增强了政策宣讲的延续性与实效性。</w:t>
      </w:r>
    </w:p>
    <w:p w14:paraId="1FC7A692">
      <w:pPr>
        <w:spacing w:line="360" w:lineRule="auto"/>
        <w:ind w:firstLine="480"/>
        <w:rPr>
          <w:rFonts w:hint="eastAsia" w:ascii="宋体" w:hAnsi="宋体" w:eastAsia="宋体"/>
          <w:sz w:val="24"/>
          <w:szCs w:val="24"/>
        </w:rPr>
      </w:pPr>
    </w:p>
    <w:p w14:paraId="494DEA88">
      <w:pPr>
        <w:spacing w:line="360" w:lineRule="auto"/>
        <w:rPr>
          <w:rFonts w:hint="eastAsia" w:ascii="宋体" w:hAnsi="宋体" w:eastAsia="宋体"/>
          <w:b/>
          <w:bCs/>
          <w:sz w:val="24"/>
          <w:szCs w:val="24"/>
        </w:rPr>
      </w:pPr>
      <w:r>
        <w:rPr>
          <w:rFonts w:hint="eastAsia" w:ascii="宋体" w:hAnsi="宋体" w:eastAsia="宋体"/>
          <w:b/>
          <w:bCs/>
          <w:sz w:val="24"/>
          <w:szCs w:val="24"/>
        </w:rPr>
        <w:t>3.</w:t>
      </w:r>
      <w:r>
        <w:rPr>
          <w:rFonts w:ascii="宋体" w:hAnsi="宋体" w:eastAsia="宋体"/>
          <w:b/>
          <w:bCs/>
          <w:sz w:val="24"/>
          <w:szCs w:val="24"/>
        </w:rPr>
        <w:t>续红色薪火</w:t>
      </w:r>
      <w:r>
        <w:rPr>
          <w:rFonts w:hint="eastAsia" w:ascii="宋体" w:hAnsi="宋体" w:eastAsia="宋体"/>
          <w:b/>
          <w:bCs/>
          <w:sz w:val="24"/>
          <w:szCs w:val="24"/>
        </w:rPr>
        <w:t>:纪念抗日战争胜利80周年</w:t>
      </w:r>
    </w:p>
    <w:p w14:paraId="5722807B">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t>为深切纪念抗日战争胜利80周年，团队专程赴玉州区西就社区红色街区开展专题走访调研。这片承载着厚重革命记忆的土地，通过青石板路串联起的中共鬱林中心县委旧址、陈子涛烈士故居与朱锡昂烈士陵园，构建起一座跨越时空的革命精神殿堂。</w:t>
      </w:r>
    </w:p>
    <w:p w14:paraId="51E15D7B">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drawing>
          <wp:inline distT="0" distB="0" distL="0" distR="0">
            <wp:extent cx="4640580" cy="2473325"/>
            <wp:effectExtent l="0" t="0" r="7620" b="3175"/>
            <wp:docPr id="21002621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62196" name="图片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650713" cy="2478655"/>
                    </a:xfrm>
                    <a:prstGeom prst="rect">
                      <a:avLst/>
                    </a:prstGeom>
                    <a:noFill/>
                    <a:ln>
                      <a:noFill/>
                    </a:ln>
                  </pic:spPr>
                </pic:pic>
              </a:graphicData>
            </a:graphic>
          </wp:inline>
        </w:drawing>
      </w:r>
    </w:p>
    <w:p w14:paraId="61471230">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drawing>
          <wp:inline distT="0" distB="0" distL="0" distR="0">
            <wp:extent cx="4603115" cy="3028315"/>
            <wp:effectExtent l="0" t="0" r="6985" b="635"/>
            <wp:docPr id="12629924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92462" name="图片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608272" cy="3031313"/>
                    </a:xfrm>
                    <a:prstGeom prst="rect">
                      <a:avLst/>
                    </a:prstGeom>
                    <a:noFill/>
                    <a:ln>
                      <a:noFill/>
                    </a:ln>
                  </pic:spPr>
                </pic:pic>
              </a:graphicData>
            </a:graphic>
          </wp:inline>
        </w:drawing>
      </w:r>
    </w:p>
    <w:p w14:paraId="58DD6957">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t>步入</w:t>
      </w:r>
      <w:r>
        <w:rPr>
          <w:rFonts w:ascii="宋体" w:hAnsi="宋体" w:eastAsia="宋体"/>
          <w:b/>
          <w:bCs/>
          <w:sz w:val="24"/>
          <w:szCs w:val="24"/>
        </w:rPr>
        <w:t>中共鬱林中心县委旧址</w:t>
      </w:r>
      <w:r>
        <w:rPr>
          <w:rFonts w:ascii="宋体" w:hAnsi="宋体" w:eastAsia="宋体"/>
          <w:sz w:val="24"/>
          <w:szCs w:val="24"/>
        </w:rPr>
        <w:t>，斑驳的青砖墙体与泛黄的历史照片共同构筑起立体的时空隧道。1939年的烽火岁月在此具象化——展柜中陈列的油印传单、会议记录手稿及复原的秘密联络点场景，生动再现了党组织在日军铁蹄逼近、白色恐怖笼罩的危局下，如何秘密发动群众、组织抗日武装的艰难历程。</w:t>
      </w:r>
    </w:p>
    <w:p w14:paraId="0FB9B059">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drawing>
          <wp:inline distT="0" distB="0" distL="0" distR="0">
            <wp:extent cx="4011295" cy="2351405"/>
            <wp:effectExtent l="0" t="0" r="8255" b="0"/>
            <wp:docPr id="175908640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86408" name="图片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025976" cy="2360263"/>
                    </a:xfrm>
                    <a:prstGeom prst="rect">
                      <a:avLst/>
                    </a:prstGeom>
                    <a:noFill/>
                    <a:ln>
                      <a:noFill/>
                    </a:ln>
                  </pic:spPr>
                </pic:pic>
              </a:graphicData>
            </a:graphic>
          </wp:inline>
        </w:drawing>
      </w:r>
    </w:p>
    <w:p w14:paraId="097F6A7F">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drawing>
          <wp:inline distT="0" distB="0" distL="0" distR="0">
            <wp:extent cx="2436495" cy="1809750"/>
            <wp:effectExtent l="0" t="0" r="1905" b="0"/>
            <wp:docPr id="157761830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18301" name="图片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465127" cy="1831350"/>
                    </a:xfrm>
                    <a:prstGeom prst="rect">
                      <a:avLst/>
                    </a:prstGeom>
                    <a:noFill/>
                    <a:ln>
                      <a:noFill/>
                    </a:ln>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r>
        <w:rPr>
          <w:rFonts w:ascii="宋体" w:hAnsi="宋体" w:eastAsia="宋体"/>
          <w:sz w:val="24"/>
          <w:szCs w:val="24"/>
        </w:rPr>
        <w:drawing>
          <wp:inline distT="0" distB="0" distL="0" distR="0">
            <wp:extent cx="2468245" cy="1810385"/>
            <wp:effectExtent l="0" t="0" r="8255" b="0"/>
            <wp:docPr id="6658680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68022" name="图片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493739" cy="1829005"/>
                    </a:xfrm>
                    <a:prstGeom prst="rect">
                      <a:avLst/>
                    </a:prstGeom>
                    <a:noFill/>
                    <a:ln>
                      <a:noFill/>
                    </a:ln>
                  </pic:spPr>
                </pic:pic>
              </a:graphicData>
            </a:graphic>
          </wp:inline>
        </w:drawing>
      </w:r>
    </w:p>
    <w:p w14:paraId="61A7C24D">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t>通过讲解员对"鬱林五属抗日救亡运动"的深度阐释，团队成员不仅了解到党组织如何巧妙利用祠堂、茶馆等公共场所开展隐蔽斗争，更深刻体悟到革命先辈在危机四伏中坚守信仰的钢铁意志：他们白天以教师、商贩身份作掩护传递情报，夜间借煤油灯微光起草动员文件，用血肉之躯筑起抵御外侮的"地下长城"。</w:t>
      </w:r>
    </w:p>
    <w:p w14:paraId="3B7314EF">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drawing>
          <wp:inline distT="0" distB="0" distL="0" distR="0">
            <wp:extent cx="2578735" cy="1934210"/>
            <wp:effectExtent l="0" t="0" r="0" b="8890"/>
            <wp:docPr id="68099950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9504" name="图片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594491" cy="1945565"/>
                    </a:xfrm>
                    <a:prstGeom prst="rect">
                      <a:avLst/>
                    </a:prstGeom>
                    <a:noFill/>
                    <a:ln>
                      <a:noFill/>
                    </a:ln>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r>
        <w:rPr>
          <w:rFonts w:ascii="宋体" w:hAnsi="宋体" w:eastAsia="宋体"/>
          <w:sz w:val="24"/>
          <w:szCs w:val="24"/>
        </w:rPr>
        <w:drawing>
          <wp:inline distT="0" distB="0" distL="0" distR="0">
            <wp:extent cx="2341245" cy="1920240"/>
            <wp:effectExtent l="0" t="0" r="1905" b="3810"/>
            <wp:docPr id="8875810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81030" name="图片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362215" cy="1937633"/>
                    </a:xfrm>
                    <a:prstGeom prst="rect">
                      <a:avLst/>
                    </a:prstGeom>
                    <a:noFill/>
                    <a:ln>
                      <a:noFill/>
                    </a:ln>
                  </pic:spPr>
                </pic:pic>
              </a:graphicData>
            </a:graphic>
          </wp:inline>
        </w:drawing>
      </w:r>
    </w:p>
    <w:p w14:paraId="609EF78C">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t>移步至</w:t>
      </w:r>
      <w:r>
        <w:rPr>
          <w:rFonts w:ascii="宋体" w:hAnsi="宋体" w:eastAsia="宋体"/>
          <w:b/>
          <w:bCs/>
          <w:sz w:val="24"/>
          <w:szCs w:val="24"/>
        </w:rPr>
        <w:t>陈子涛烈士故居</w:t>
      </w:r>
      <w:r>
        <w:rPr>
          <w:rFonts w:ascii="宋体" w:hAnsi="宋体" w:eastAsia="宋体"/>
          <w:sz w:val="24"/>
          <w:szCs w:val="24"/>
        </w:rPr>
        <w:t>，展柜中静静陈列的钢笔、眼镜，将这位"新闻战线上的无畏战士"的形象具象化。泛黄的报纸版面上，"子涛"署名的社论与通讯依然锋芒毕露，那些在昏暗油灯下疾书的夜晚仿佛重现眼前：他以笔尖为刀枪，通过新闻报道揭露日寇暴行，用犀利文字唤醒民众觉醒，直至被捕前夜仍在赶写揭露投降主义的檄文。</w:t>
      </w:r>
    </w:p>
    <w:p w14:paraId="588775C8">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drawing>
          <wp:inline distT="0" distB="0" distL="0" distR="0">
            <wp:extent cx="4486910" cy="2795905"/>
            <wp:effectExtent l="0" t="0" r="8890" b="4445"/>
            <wp:docPr id="182897867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78673" name="图片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492888" cy="2799304"/>
                    </a:xfrm>
                    <a:prstGeom prst="rect">
                      <a:avLst/>
                    </a:prstGeom>
                    <a:noFill/>
                    <a:ln>
                      <a:noFill/>
                    </a:ln>
                  </pic:spPr>
                </pic:pic>
              </a:graphicData>
            </a:graphic>
          </wp:inline>
        </w:drawing>
      </w:r>
    </w:p>
    <w:p w14:paraId="46F02627">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drawing>
          <wp:inline distT="0" distB="0" distL="0" distR="0">
            <wp:extent cx="3408680" cy="3450590"/>
            <wp:effectExtent l="0" t="0" r="1270" b="0"/>
            <wp:docPr id="127702940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29405" name="图片 18"/>
                    <pic:cNvPicPr>
                      <a:picLocks noChangeAspect="1" noChangeArrowheads="1"/>
                    </pic:cNvPicPr>
                  </pic:nvPicPr>
                  <pic:blipFill>
                    <a:blip r:embed="rId22" cstate="print">
                      <a:extLst>
                        <a:ext uri="{28A0092B-C50C-407E-A947-70E740481C1C}">
                          <a14:useLocalDpi xmlns:a14="http://schemas.microsoft.com/office/drawing/2010/main" val="0"/>
                        </a:ext>
                      </a:extLst>
                    </a:blip>
                    <a:srcRect t="7876" b="14663"/>
                    <a:stretch>
                      <a:fillRect/>
                    </a:stretch>
                  </pic:blipFill>
                  <pic:spPr>
                    <a:xfrm>
                      <a:off x="0" y="0"/>
                      <a:ext cx="3423368" cy="3465456"/>
                    </a:xfrm>
                    <a:prstGeom prst="rect">
                      <a:avLst/>
                    </a:prstGeom>
                    <a:noFill/>
                    <a:ln>
                      <a:noFill/>
                    </a:ln>
                  </pic:spPr>
                </pic:pic>
              </a:graphicData>
            </a:graphic>
          </wp:inline>
        </w:drawing>
      </w:r>
    </w:p>
    <w:p w14:paraId="7BD5F915">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t>故居内复原的书房场景里，褪色的毛毡垫、磨破边的砚台与半开的《鲁迅全集》，无声诉说着知识分子在民族存亡之际的选择——当侵略者的炮火摧毁安宁，他毅然放下书斋理想，将文人的风骨转化为战斗的号角，直至生命最后一刻仍坚守"笔墨卫国"的誓言。</w:t>
      </w:r>
    </w:p>
    <w:p w14:paraId="09997420">
      <w:pPr>
        <w:tabs>
          <w:tab w:val="left" w:pos="1134"/>
        </w:tabs>
        <w:spacing w:line="360" w:lineRule="auto"/>
        <w:ind w:firstLine="480" w:firstLineChars="200"/>
        <w:rPr>
          <w:rFonts w:ascii="Times New Roman" w:hAnsi="Times New Roman" w:cs="Times New Roman" w:eastAsiaTheme="minorEastAsia"/>
          <w:snapToGrid w:val="0"/>
          <w:color w:val="000000"/>
          <w:w w:val="0"/>
          <w:kern w:val="0"/>
          <w:sz w:val="0"/>
          <w:szCs w:val="0"/>
          <w:u w:color="000000"/>
          <w:shd w:val="clear" w:color="000000" w:fill="000000"/>
          <w:lang w:val="zh-CN" w:bidi="zh-CN"/>
        </w:rPr>
      </w:pPr>
      <w:r>
        <w:rPr>
          <w:rFonts w:ascii="宋体" w:hAnsi="宋体" w:eastAsia="宋体"/>
          <w:sz w:val="24"/>
          <w:szCs w:val="24"/>
        </w:rPr>
        <w:drawing>
          <wp:inline distT="0" distB="0" distL="0" distR="0">
            <wp:extent cx="4227830" cy="2806065"/>
            <wp:effectExtent l="0" t="0" r="1270" b="0"/>
            <wp:docPr id="123963439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34391" name="图片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262694" cy="2828797"/>
                    </a:xfrm>
                    <a:prstGeom prst="rect">
                      <a:avLst/>
                    </a:prstGeom>
                    <a:noFill/>
                    <a:ln>
                      <a:noFill/>
                    </a:ln>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p>
    <w:p w14:paraId="724613E5">
      <w:pPr>
        <w:tabs>
          <w:tab w:val="left" w:pos="1134"/>
        </w:tabs>
        <w:spacing w:line="360" w:lineRule="auto"/>
        <w:ind w:firstLine="480" w:firstLineChars="200"/>
        <w:rPr>
          <w:rFonts w:hint="eastAsia" w:ascii="宋体" w:hAnsi="宋体" w:eastAsiaTheme="minorEastAsia"/>
          <w:sz w:val="24"/>
          <w:szCs w:val="24"/>
        </w:rPr>
      </w:pPr>
      <w:r>
        <w:rPr>
          <w:rFonts w:ascii="宋体" w:hAnsi="宋体" w:eastAsiaTheme="minorEastAsia"/>
          <w:sz w:val="24"/>
          <w:szCs w:val="24"/>
        </w:rPr>
        <w:drawing>
          <wp:inline distT="0" distB="0" distL="0" distR="0">
            <wp:extent cx="4248785" cy="2684780"/>
            <wp:effectExtent l="0" t="0" r="0" b="1270"/>
            <wp:docPr id="6512888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88830" name="图片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258914" cy="2691084"/>
                    </a:xfrm>
                    <a:prstGeom prst="rect">
                      <a:avLst/>
                    </a:prstGeom>
                    <a:noFill/>
                    <a:ln>
                      <a:noFill/>
                    </a:ln>
                  </pic:spPr>
                </pic:pic>
              </a:graphicData>
            </a:graphic>
          </wp:inline>
        </w:drawing>
      </w:r>
    </w:p>
    <w:p w14:paraId="5AC19729">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t>穿过镌刻着岁月痕迹的街巷，团队抵达庄严肃穆的</w:t>
      </w:r>
      <w:r>
        <w:rPr>
          <w:rFonts w:ascii="宋体" w:hAnsi="宋体" w:eastAsia="宋体"/>
          <w:b/>
          <w:bCs/>
          <w:sz w:val="24"/>
          <w:szCs w:val="24"/>
        </w:rPr>
        <w:t>朱锡昂烈士陵园</w:t>
      </w:r>
      <w:r>
        <w:rPr>
          <w:rFonts w:ascii="宋体" w:hAnsi="宋体" w:eastAsia="宋体"/>
          <w:sz w:val="24"/>
          <w:szCs w:val="24"/>
        </w:rPr>
        <w:t>。苍松翠柏环绕的纪念广场上，团队成员身着素服整齐列队，手持素菊缓步走向汉白玉墓碑。陵园讲解员动情讲述朱锡昂烈士的生平：这位广西早期党组织的领路人，曾在玉林组织农民运动、创办进步刊物，即便在狱中遭受酷刑仍坚持传播革命火种，最终在1929年英勇就义时年仅</w:t>
      </w:r>
      <w:r>
        <w:rPr>
          <w:rFonts w:hint="eastAsia" w:ascii="宋体" w:hAnsi="宋体" w:eastAsia="宋体"/>
          <w:sz w:val="24"/>
          <w:szCs w:val="24"/>
        </w:rPr>
        <w:t>42</w:t>
      </w:r>
      <w:r>
        <w:rPr>
          <w:rFonts w:ascii="宋体" w:hAnsi="宋体" w:eastAsia="宋体"/>
          <w:sz w:val="24"/>
          <w:szCs w:val="24"/>
        </w:rPr>
        <w:t>岁。</w:t>
      </w:r>
    </w:p>
    <w:p w14:paraId="711C01B9">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drawing>
          <wp:inline distT="0" distB="0" distL="0" distR="0">
            <wp:extent cx="4006215" cy="2769235"/>
            <wp:effectExtent l="0" t="0" r="0" b="0"/>
            <wp:docPr id="9626110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11053" name="图片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010565" cy="2772082"/>
                    </a:xfrm>
                    <a:prstGeom prst="rect">
                      <a:avLst/>
                    </a:prstGeom>
                    <a:noFill/>
                    <a:ln>
                      <a:noFill/>
                    </a:ln>
                  </pic:spPr>
                </pic:pic>
              </a:graphicData>
            </a:graphic>
          </wp:inline>
        </w:drawing>
      </w:r>
    </w:p>
    <w:p w14:paraId="52AD8073">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t>当《献花曲》旋律响起，众人俯身将鲜花轻置于碑前，集体默哀三分钟。阳光穿透云层洒落在"革命烈士永垂不朽"的鎏金碑文上，折射出跨越八十载依然炽热的精神光芒。</w:t>
      </w:r>
    </w:p>
    <w:p w14:paraId="1E2A8A00">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drawing>
          <wp:inline distT="0" distB="0" distL="0" distR="0">
            <wp:extent cx="4566285" cy="3096895"/>
            <wp:effectExtent l="0" t="0" r="5715" b="8255"/>
            <wp:docPr id="12704522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52245" name="图片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576631" cy="3103619"/>
                    </a:xfrm>
                    <a:prstGeom prst="rect">
                      <a:avLst/>
                    </a:prstGeom>
                    <a:noFill/>
                    <a:ln>
                      <a:noFill/>
                    </a:ln>
                  </pic:spPr>
                </pic:pic>
              </a:graphicData>
            </a:graphic>
          </wp:inline>
        </w:drawing>
      </w:r>
    </w:p>
    <w:p w14:paraId="561FC115">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t>此次实地走访形成多维度的认知升华：中共鬱林中心县委旧址揭示了地下斗争的隐秘与坚韧，陈子涛烈士故居彰显了文化战线的锋芒与担当，朱锡昂烈士陵园则承载着革命领袖的信仰与牺牲。</w:t>
      </w:r>
    </w:p>
    <w:p w14:paraId="31251AE7">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drawing>
          <wp:inline distT="0" distB="0" distL="0" distR="0">
            <wp:extent cx="3715385" cy="3477260"/>
            <wp:effectExtent l="0" t="0" r="0" b="8890"/>
            <wp:docPr id="10137820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82011" name="图片 24"/>
                    <pic:cNvPicPr>
                      <a:picLocks noChangeAspect="1" noChangeArrowheads="1"/>
                    </pic:cNvPicPr>
                  </pic:nvPicPr>
                  <pic:blipFill>
                    <a:blip r:embed="rId27" cstate="print">
                      <a:extLst>
                        <a:ext uri="{28A0092B-C50C-407E-A947-70E740481C1C}">
                          <a14:useLocalDpi xmlns:a14="http://schemas.microsoft.com/office/drawing/2010/main" val="0"/>
                        </a:ext>
                      </a:extLst>
                    </a:blip>
                    <a:srcRect t="10080" b="3774"/>
                    <a:stretch>
                      <a:fillRect/>
                    </a:stretch>
                  </pic:blipFill>
                  <pic:spPr>
                    <a:xfrm>
                      <a:off x="0" y="0"/>
                      <a:ext cx="3726661" cy="3487478"/>
                    </a:xfrm>
                    <a:prstGeom prst="rect">
                      <a:avLst/>
                    </a:prstGeom>
                    <a:noFill/>
                    <a:ln>
                      <a:noFill/>
                    </a:ln>
                  </pic:spPr>
                </pic:pic>
              </a:graphicData>
            </a:graphic>
          </wp:inline>
        </w:drawing>
      </w:r>
    </w:p>
    <w:p w14:paraId="4FD0D589">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t>这些红色遗址不仅是静态的历史见证，更是动态的精神传承载体</w:t>
      </w:r>
      <w:r>
        <w:rPr>
          <w:rFonts w:hint="eastAsia" w:ascii="宋体" w:hAnsi="宋体" w:eastAsia="宋体"/>
          <w:sz w:val="24"/>
          <w:szCs w:val="24"/>
        </w:rPr>
        <w:t>。</w:t>
      </w:r>
      <w:r>
        <w:rPr>
          <w:rFonts w:ascii="宋体" w:hAnsi="宋体" w:eastAsia="宋体"/>
          <w:sz w:val="24"/>
          <w:szCs w:val="24"/>
        </w:rPr>
        <w:t>青砖缝隙里的弹痕、烈士遗物上的指纹、纪念碑文中的铭文，共同编织成跨越时空的对话场域。当团队成员触摸那些带着历史温度的物件时，革命先辈们面对强敌时的从容、遭遇困境时的坚守、献身理想时的决绝，都化作震撼心灵的永恒启示。</w:t>
      </w:r>
    </w:p>
    <w:p w14:paraId="6EBDEAE3">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t>站在新时代的历史坐标上回望，这些镌刻着血与火的记忆碎片，恰是照亮前行之路的精神火炬。团队深刻认识到：抗日战争的伟大胜利不仅是军事层面的胜利，更是民族精神的涅槃重生；革命先辈用生命铸就的"天下兴亡、匹夫有责"的爱国情怀，"视死如归、宁死不屈"的民族气节，"百折不挠、坚忍不拔"的必胜信念，至今仍是应对风险挑战的精神铠甲。</w:t>
      </w:r>
    </w:p>
    <w:p w14:paraId="199CDA37">
      <w:pPr>
        <w:tabs>
          <w:tab w:val="left" w:pos="1134"/>
        </w:tabs>
        <w:spacing w:line="360" w:lineRule="auto"/>
        <w:ind w:firstLine="480" w:firstLineChars="200"/>
        <w:rPr>
          <w:rFonts w:hint="eastAsia" w:ascii="宋体" w:hAnsi="宋体" w:eastAsia="宋体"/>
          <w:sz w:val="24"/>
          <w:szCs w:val="24"/>
        </w:rPr>
      </w:pPr>
      <w:r>
        <w:rPr>
          <w:rFonts w:ascii="宋体" w:hAnsi="宋体" w:eastAsia="宋体"/>
          <w:sz w:val="24"/>
          <w:szCs w:val="24"/>
        </w:rPr>
        <w:t>作为新时代青年，我们当以此次走访为起点，将红色基因融入血脉，既要做革命历史的守护者，更要做时代使命的践行者，让抗战精神在实现中华民族伟大复兴的新征程中绽放新的光芒。</w:t>
      </w:r>
    </w:p>
    <w:p w14:paraId="3BE024DF">
      <w:pPr>
        <w:spacing w:line="360" w:lineRule="auto"/>
        <w:jc w:val="center"/>
        <w:rPr>
          <w:rFonts w:ascii="宋体" w:hAnsi="宋体" w:eastAsia="宋体"/>
          <w:b/>
          <w:bCs/>
          <w:sz w:val="28"/>
          <w:szCs w:val="28"/>
        </w:rPr>
      </w:pPr>
      <w:r>
        <w:rPr>
          <w:rFonts w:hint="eastAsia" w:ascii="宋体" w:hAnsi="宋体" w:eastAsia="宋体"/>
          <w:b/>
          <w:bCs/>
          <w:sz w:val="28"/>
          <w:szCs w:val="28"/>
        </w:rPr>
        <w:t>三 总结</w:t>
      </w:r>
    </w:p>
    <w:p w14:paraId="64FDA13C">
      <w:pPr>
        <w:spacing w:line="360" w:lineRule="auto"/>
        <w:ind w:firstLine="420"/>
        <w:rPr>
          <w:rFonts w:hint="eastAsia" w:ascii="宋体" w:hAnsi="宋体" w:eastAsia="宋体"/>
          <w:sz w:val="24"/>
          <w:szCs w:val="24"/>
        </w:rPr>
      </w:pPr>
      <w:r>
        <w:rPr>
          <w:rFonts w:ascii="宋体" w:hAnsi="宋体" w:eastAsia="宋体"/>
          <w:sz w:val="24"/>
          <w:szCs w:val="24"/>
        </w:rPr>
        <w:t>本次"济梦助学"社会实践调研活动，以教育公平与红色传承为双主线，通过"政策调研-校园宣讲-红色寻访"三位一体的实践模式，</w:t>
      </w:r>
      <w:r>
        <w:rPr>
          <w:rFonts w:hint="eastAsia" w:ascii="宋体" w:hAnsi="宋体" w:eastAsia="宋体"/>
          <w:sz w:val="24"/>
          <w:szCs w:val="24"/>
        </w:rPr>
        <w:t>圆满完成了同济大学资助政策宣讲活动，</w:t>
      </w:r>
      <w:r>
        <w:rPr>
          <w:rFonts w:ascii="宋体" w:hAnsi="宋体" w:eastAsia="宋体"/>
          <w:sz w:val="24"/>
          <w:szCs w:val="24"/>
        </w:rPr>
        <w:t>取得了丰硕成果。本次实践既是对国家资助政策的立体化解读，也是对红色基因的活化传承，团队成员在政策梳理中深化了对教育公平的理解，在互动宣讲中</w:t>
      </w:r>
      <w:r>
        <w:rPr>
          <w:rFonts w:hint="eastAsia" w:ascii="宋体" w:hAnsi="宋体" w:eastAsia="宋体"/>
          <w:sz w:val="24"/>
          <w:szCs w:val="24"/>
        </w:rPr>
        <w:t>提升了社会奉献意识</w:t>
      </w:r>
      <w:r>
        <w:rPr>
          <w:rFonts w:ascii="宋体" w:hAnsi="宋体" w:eastAsia="宋体"/>
          <w:sz w:val="24"/>
          <w:szCs w:val="24"/>
        </w:rPr>
        <w:t>，在红色寻访中汲取了奋进力量，实现了"助学"与"铸魂"的双重目标，为新时代青年如何将个人成长融入国家发展提供了生动注脚</w:t>
      </w:r>
      <w:r>
        <w:rPr>
          <w:rFonts w:hint="eastAsia" w:ascii="宋体" w:hAnsi="宋体" w:eastAsia="宋体"/>
          <w:sz w:val="24"/>
          <w:szCs w:val="24"/>
        </w:rPr>
        <w:t>，</w:t>
      </w:r>
      <w:r>
        <w:rPr>
          <w:rFonts w:ascii="宋体" w:hAnsi="宋体" w:eastAsia="宋体"/>
          <w:sz w:val="24"/>
          <w:szCs w:val="24"/>
        </w:rPr>
        <w:t>彰显</w:t>
      </w:r>
      <w:r>
        <w:rPr>
          <w:rFonts w:hint="eastAsia" w:ascii="宋体" w:hAnsi="宋体" w:eastAsia="宋体"/>
          <w:sz w:val="24"/>
          <w:szCs w:val="24"/>
        </w:rPr>
        <w:t>了同济学子</w:t>
      </w:r>
      <w:r>
        <w:rPr>
          <w:rFonts w:ascii="宋体" w:hAnsi="宋体" w:eastAsia="宋体"/>
          <w:sz w:val="24"/>
          <w:szCs w:val="24"/>
        </w:rPr>
        <w:t>的</w:t>
      </w:r>
      <w:r>
        <w:rPr>
          <w:rFonts w:hint="eastAsia" w:ascii="宋体" w:hAnsi="宋体" w:eastAsia="宋体"/>
          <w:sz w:val="24"/>
          <w:szCs w:val="24"/>
        </w:rPr>
        <w:t>责任与担当。</w:t>
      </w:r>
    </w:p>
    <w:p w14:paraId="5EFB0977">
      <w:pPr>
        <w:tabs>
          <w:tab w:val="left" w:pos="1134"/>
        </w:tabs>
        <w:spacing w:line="360" w:lineRule="auto"/>
        <w:rPr>
          <w:rFonts w:hint="eastAsia" w:ascii="宋体" w:hAnsi="宋体" w:eastAsia="宋体" w:cs="Times New Roman"/>
          <w:sz w:val="24"/>
          <w:szCs w:val="24"/>
        </w:rPr>
      </w:pPr>
    </w:p>
    <w:p w14:paraId="12AB3E4F">
      <w:pPr>
        <w:tabs>
          <w:tab w:val="left" w:pos="1134"/>
        </w:tabs>
        <w:spacing w:line="360" w:lineRule="auto"/>
        <w:rPr>
          <w:rFonts w:hint="eastAsia" w:ascii="宋体" w:hAnsi="宋体" w:eastAsia="宋体" w:cs="Times New Roman"/>
          <w:sz w:val="24"/>
          <w:szCs w:val="24"/>
        </w:rPr>
        <w:sectPr>
          <w:pgSz w:w="11906" w:h="16838"/>
          <w:pgMar w:top="1440" w:right="1800" w:bottom="1440" w:left="1800" w:header="851" w:footer="992" w:gutter="0"/>
          <w:cols w:space="425" w:num="1"/>
          <w:docGrid w:type="lines" w:linePitch="312" w:charSpace="0"/>
        </w:sectPr>
      </w:pPr>
    </w:p>
    <w:p w14:paraId="2C2DA18E">
      <w:pPr>
        <w:spacing w:line="360" w:lineRule="auto"/>
        <w:rPr>
          <w:rFonts w:hint="eastAsia" w:ascii="宋体" w:hAnsi="宋体" w:eastAsia="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dlNzc4OWQzM2U2N2Y3MmRkNzJhYzM1NmQ4NDdiNGYifQ=="/>
  </w:docVars>
  <w:rsids>
    <w:rsidRoot w:val="005101BA"/>
    <w:rsid w:val="000057A8"/>
    <w:rsid w:val="00005BE9"/>
    <w:rsid w:val="000A3A9B"/>
    <w:rsid w:val="000B4C28"/>
    <w:rsid w:val="000D1367"/>
    <w:rsid w:val="000D47C8"/>
    <w:rsid w:val="000F7714"/>
    <w:rsid w:val="0012483E"/>
    <w:rsid w:val="001762EE"/>
    <w:rsid w:val="00192C62"/>
    <w:rsid w:val="001A1C2F"/>
    <w:rsid w:val="001C53A5"/>
    <w:rsid w:val="001C55E8"/>
    <w:rsid w:val="001F0AE2"/>
    <w:rsid w:val="00216FEC"/>
    <w:rsid w:val="00232691"/>
    <w:rsid w:val="00236826"/>
    <w:rsid w:val="002D0A04"/>
    <w:rsid w:val="002F7B17"/>
    <w:rsid w:val="002F7EE4"/>
    <w:rsid w:val="003214D5"/>
    <w:rsid w:val="003A6FFE"/>
    <w:rsid w:val="003B0E45"/>
    <w:rsid w:val="003B2AE5"/>
    <w:rsid w:val="003C3626"/>
    <w:rsid w:val="003C6560"/>
    <w:rsid w:val="003E3868"/>
    <w:rsid w:val="004008E9"/>
    <w:rsid w:val="00426C96"/>
    <w:rsid w:val="00440F81"/>
    <w:rsid w:val="00466D39"/>
    <w:rsid w:val="00467D35"/>
    <w:rsid w:val="004D00C9"/>
    <w:rsid w:val="004D1440"/>
    <w:rsid w:val="004D25EA"/>
    <w:rsid w:val="004F55AA"/>
    <w:rsid w:val="005101BA"/>
    <w:rsid w:val="005179E2"/>
    <w:rsid w:val="005776B5"/>
    <w:rsid w:val="00602A96"/>
    <w:rsid w:val="0060617C"/>
    <w:rsid w:val="00634F72"/>
    <w:rsid w:val="00652B6B"/>
    <w:rsid w:val="006555EF"/>
    <w:rsid w:val="0067438D"/>
    <w:rsid w:val="0069114F"/>
    <w:rsid w:val="00696033"/>
    <w:rsid w:val="006B7A4E"/>
    <w:rsid w:val="006F18AD"/>
    <w:rsid w:val="00777FC9"/>
    <w:rsid w:val="007B33BB"/>
    <w:rsid w:val="008042D1"/>
    <w:rsid w:val="0084675B"/>
    <w:rsid w:val="00857B94"/>
    <w:rsid w:val="0086620E"/>
    <w:rsid w:val="0088695D"/>
    <w:rsid w:val="008A57B0"/>
    <w:rsid w:val="008B2521"/>
    <w:rsid w:val="008C1B2D"/>
    <w:rsid w:val="0091238C"/>
    <w:rsid w:val="009409A2"/>
    <w:rsid w:val="009A187E"/>
    <w:rsid w:val="009C38D9"/>
    <w:rsid w:val="009D18D7"/>
    <w:rsid w:val="009E4FA1"/>
    <w:rsid w:val="00A656AF"/>
    <w:rsid w:val="00A776F3"/>
    <w:rsid w:val="00A8203B"/>
    <w:rsid w:val="00A93732"/>
    <w:rsid w:val="00A9380E"/>
    <w:rsid w:val="00AC5852"/>
    <w:rsid w:val="00AD0A2D"/>
    <w:rsid w:val="00AD0FE7"/>
    <w:rsid w:val="00AF6A7A"/>
    <w:rsid w:val="00B10FE3"/>
    <w:rsid w:val="00B34A5E"/>
    <w:rsid w:val="00BB0B80"/>
    <w:rsid w:val="00C02D3A"/>
    <w:rsid w:val="00C324D2"/>
    <w:rsid w:val="00C4199F"/>
    <w:rsid w:val="00CE6ABC"/>
    <w:rsid w:val="00D05A98"/>
    <w:rsid w:val="00D33652"/>
    <w:rsid w:val="00D4788E"/>
    <w:rsid w:val="00D968B8"/>
    <w:rsid w:val="00DA5E57"/>
    <w:rsid w:val="00DD3F92"/>
    <w:rsid w:val="00EA68D9"/>
    <w:rsid w:val="00EB16C4"/>
    <w:rsid w:val="00F25BE7"/>
    <w:rsid w:val="00F44B30"/>
    <w:rsid w:val="00F722AD"/>
    <w:rsid w:val="00F91A55"/>
    <w:rsid w:val="00FE2206"/>
    <w:rsid w:val="026572FE"/>
    <w:rsid w:val="07977E2C"/>
    <w:rsid w:val="07D532E2"/>
    <w:rsid w:val="08AB153E"/>
    <w:rsid w:val="1CDE1F9B"/>
    <w:rsid w:val="228F4698"/>
    <w:rsid w:val="258D6A29"/>
    <w:rsid w:val="2A985CF6"/>
    <w:rsid w:val="365B11C1"/>
    <w:rsid w:val="382D3102"/>
    <w:rsid w:val="38E35187"/>
    <w:rsid w:val="3B2E0A9A"/>
    <w:rsid w:val="3E5E28AF"/>
    <w:rsid w:val="45EE1E34"/>
    <w:rsid w:val="48EA1ABC"/>
    <w:rsid w:val="492573C9"/>
    <w:rsid w:val="55B323B5"/>
    <w:rsid w:val="585F106A"/>
    <w:rsid w:val="58FD0A70"/>
    <w:rsid w:val="5A6D21F8"/>
    <w:rsid w:val="5EEC02B4"/>
    <w:rsid w:val="6F0E3FDD"/>
    <w:rsid w:val="73FF4811"/>
    <w:rsid w:val="7FB42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宋体"/>
      <w:kern w:val="2"/>
      <w:sz w:val="21"/>
      <w:szCs w:val="22"/>
      <w:lang w:val="en-US" w:eastAsia="zh-CN" w:bidi="ar-SA"/>
    </w:rPr>
  </w:style>
  <w:style w:type="character" w:default="1" w:styleId="7">
    <w:name w:val="Default Paragraph Font"/>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4">
    <w:name w:val="Normal (Web)"/>
    <w:basedOn w:val="1"/>
    <w:unhideWhenUsed/>
    <w:qFormat/>
    <w:uiPriority w:val="99"/>
    <w:pPr>
      <w:widowControl/>
      <w:spacing w:before="100" w:beforeAutospacing="1" w:after="100" w:afterAutospacing="1"/>
      <w:jc w:val="left"/>
    </w:pPr>
    <w:rPr>
      <w:rFonts w:ascii="宋体" w:hAnsi="宋体" w:eastAsia="宋体"/>
      <w:kern w:val="0"/>
      <w:sz w:val="24"/>
      <w:szCs w:val="24"/>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3"/>
    <w:qFormat/>
    <w:uiPriority w:val="99"/>
    <w:rPr>
      <w:sz w:val="18"/>
      <w:szCs w:val="18"/>
    </w:rPr>
  </w:style>
  <w:style w:type="character" w:customStyle="1" w:styleId="9">
    <w:name w:val="页脚 字符"/>
    <w:basedOn w:val="7"/>
    <w:link w:val="2"/>
    <w:qFormat/>
    <w:uiPriority w:val="99"/>
    <w:rPr>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3794</Words>
  <Characters>3840</Characters>
  <Lines>28</Lines>
  <Paragraphs>8</Paragraphs>
  <TotalTime>97</TotalTime>
  <ScaleCrop>false</ScaleCrop>
  <LinksUpToDate>false</LinksUpToDate>
  <CharactersWithSpaces>3912</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2021-05-24T12:04:00Z</dcterms:created>
  <dc:creator>李松</dc:creator>
  <cp:lastModifiedBy>寅时请叫醒我.</cp:lastModifiedBy>
  <dcterms:modified xsi:type="dcterms:W3CDTF">2025-09-04T04:31:08Z</dcterms:modified>
  <cp:revision>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67D5610AA1E24397996373D9814BBB77_13</vt:lpwstr>
  </property>
  <property fmtid="{D5CDD505-2E9C-101B-9397-08002B2CF9AE}" pid="4" name="KSOTemplateDocerSaveRecord">
    <vt:lpwstr>eyJoZGlkIjoiZDlhZjk3MDdmY2RjNDU5YmVmZjU5ZGI1MDk2NzM4OGUiLCJ1c2VySWQiOiIxMjM1MTAwNDA5In0=</vt:lpwstr>
  </property>
</Properties>
</file>