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Arial" w:hAnsi="Arial"/>
          <w:color w:val="1F4E79"/>
          <w:sz w:val="36"/>
        </w:rPr>
        <w:t>Funding Proposal Template</w:t>
      </w:r>
    </w:p>
    <w:p>
      <w:pPr>
        <w:pStyle w:val="ListBullet"/>
        <w:spacing w:after="60"/>
      </w:pPr>
      <w:r/>
      <w:r>
        <w:rPr>
          <w:b/>
        </w:rPr>
        <w:t>To:</w:t>
      </w:r>
      <w:r>
        <w:t xml:space="preserve"> EWMBA Association Board / Finance Committee</w:t>
      </w:r>
    </w:p>
    <w:p>
      <w:pPr>
        <w:pStyle w:val="ListBullet"/>
        <w:spacing w:after="60"/>
      </w:pPr>
      <w:r/>
      <w:r>
        <w:rPr>
          <w:b/>
        </w:rPr>
        <w:t>From:</w:t>
      </w:r>
      <w:r>
        <w:t xml:space="preserve"> Allan Yeung, VP of Finance</w:t>
      </w:r>
    </w:p>
    <w:p>
      <w:pPr>
        <w:pStyle w:val="ListBullet"/>
        <w:spacing w:after="60"/>
      </w:pPr>
      <w:r/>
      <w:r>
        <w:rPr>
          <w:b/>
        </w:rPr>
        <w:t>Date:</w:t>
      </w:r>
      <w:r>
        <w:t xml:space="preserve"> June 6, 2026</w:t>
      </w:r>
    </w:p>
    <w:p>
      <w:pPr>
        <w:pStyle w:val="ListBullet"/>
        <w:spacing w:after="60"/>
      </w:pPr>
      <w:r/>
      <w:r>
        <w:rPr>
          <w:b/>
        </w:rPr>
        <w:t>Subject:</w:t>
      </w:r>
      <w:r>
        <w:t xml:space="preserve"> Funding Proposal: EWMBA Community Welcome Reception &amp; Mixer</w:t>
      </w:r>
    </w:p>
    <w:p>
      <w:pPr>
        <w:spacing w:before="240" w:after="240"/>
        <w:pBdr>
          <w:bottom w:val="single" w:sz="6" w:space="1" w:color="CCCCCC"/>
        </w:pBdr>
      </w:pPr>
    </w:p>
    <w:p>
      <w:pPr>
        <w:pStyle w:val="Heading2"/>
        <w:spacing w:before="240" w:after="120"/>
      </w:pPr>
      <w:r>
        <w:rPr>
          <w:rFonts w:ascii="Arial" w:hAnsi="Arial"/>
          <w:color w:val="1F4E79"/>
          <w:sz w:val="28"/>
        </w:rPr>
        <w:t>1. Executive Summary</w:t>
      </w:r>
    </w:p>
    <w:p>
      <w:pPr>
        <w:pStyle w:val="ListBullet"/>
        <w:spacing w:after="60"/>
      </w:pPr>
      <w:r/>
      <w:r>
        <w:rPr>
          <w:b/>
        </w:rPr>
        <w:t>Event Name:</w:t>
      </w:r>
      <w:r>
        <w:t xml:space="preserve"> EWMBA Community Welcome Reception &amp; Mixer</w:t>
      </w:r>
    </w:p>
    <w:p>
      <w:pPr>
        <w:pStyle w:val="ListBullet"/>
        <w:spacing w:after="60"/>
      </w:pPr>
      <w:r/>
      <w:r>
        <w:rPr>
          <w:b/>
        </w:rPr>
        <w:t>Target Round:</w:t>
      </w:r>
      <w:r>
        <w:t xml:space="preserve"> Summer Round / Large-Project Funding</w:t>
      </w:r>
    </w:p>
    <w:p>
      <w:pPr>
        <w:pStyle w:val="ListBullet"/>
        <w:spacing w:after="60"/>
      </w:pPr>
      <w:r/>
      <w:r>
        <w:rPr>
          <w:b/>
        </w:rPr>
        <w:t>GA Deadline:</w:t>
      </w:r>
      <w:r>
        <w:t xml:space="preserve"> June 16, 2026</w:t>
      </w:r>
    </w:p>
    <w:p>
      <w:pPr>
        <w:pStyle w:val="ListBullet"/>
        <w:spacing w:after="60"/>
      </w:pPr>
      <w:r/>
      <w:r>
        <w:rPr>
          <w:b/>
        </w:rPr>
        <w:t>Total Requested:</w:t>
      </w:r>
      <w:r>
        <w:t xml:space="preserve"> $2,000 (Maximum semester cap)</w:t>
      </w:r>
    </w:p>
    <w:p>
      <w:pPr>
        <w:pStyle w:val="ListBullet"/>
        <w:spacing w:after="60"/>
      </w:pPr>
      <w:r/>
      <w:r>
        <w:rPr>
          <w:b/>
        </w:rPr>
        <w:t>Actual Approved:</w:t>
      </w:r>
      <w:r>
        <w:t xml:space="preserve"> $1,500 (Round limit per group)</w:t>
      </w:r>
    </w:p>
    <w:p>
      <w:pPr>
        <w:pStyle w:val="Heading2"/>
        <w:spacing w:before="240" w:after="120"/>
      </w:pPr>
      <w:r>
        <w:rPr>
          <w:rFonts w:ascii="Arial" w:hAnsi="Arial"/>
          <w:color w:val="1F4E79"/>
          <w:sz w:val="28"/>
        </w:rPr>
        <w:t>2. Event Overview</w:t>
      </w:r>
    </w:p>
    <w:p>
      <w:pPr>
        <w:pStyle w:val="ListBullet"/>
        <w:spacing w:after="60"/>
      </w:pPr>
      <w:r/>
      <w:r>
        <w:rPr>
          <w:b/>
        </w:rPr>
        <w:t>Purpose:</w:t>
      </w:r>
      <w:r>
        <w:t xml:space="preserve"> This student-led community mixer, organized by the EWMBA Association, is designed to welcome incoming graduate students and facilitate networking between new admits, current student leaders, and the broader UCB graduate community. The event focuses on fostering a vibrant student social life and peer-to-peer community integration through structured networking and engagement activities.</w:t>
      </w:r>
    </w:p>
    <w:p>
      <w:pPr>
        <w:pStyle w:val="ListBullet"/>
        <w:spacing w:after="60"/>
      </w:pPr>
      <w:r/>
      <w:r>
        <w:rPr>
          <w:b/>
        </w:rPr>
        <w:t>Date &amp; Location:</w:t>
      </w:r>
      <w:r>
        <w:t xml:space="preserve"> July 24 – July 26, 2026, Haas School of Business Campus</w:t>
      </w:r>
    </w:p>
    <w:p>
      <w:pPr>
        <w:pStyle w:val="ListBullet"/>
        <w:spacing w:after="60"/>
      </w:pPr>
      <w:r/>
      <w:r>
        <w:rPr>
          <w:i/>
        </w:rPr>
        <w:t>(Note: All GA-funded event components, including refreshments, catering, and engagement supplies, will be hosted strictly on-campus at Haas. This satisfies the GA Location Restriction that sponsored activities must be on-campus or within a 2-mile radius of the Campus Park. Self-funded welcome activities may take place off-campus, such as at the Marriott Oakland, but no GA funding will be applied to those off-campus events.)</w:t>
      </w:r>
      <w:r/>
    </w:p>
    <w:p>
      <w:pPr>
        <w:pStyle w:val="ListBullet"/>
        <w:spacing w:after="60"/>
      </w:pPr>
      <w:r/>
      <w:r>
        <w:rPr>
          <w:b/>
        </w:rPr>
        <w:t>Expected Attendance:</w:t>
      </w:r>
      <w:r/>
    </w:p>
    <w:p>
      <w:pPr>
        <w:pStyle w:val="ListBullet"/>
        <w:spacing w:after="60"/>
      </w:pPr>
      <w:r>
        <w:t>Graduate Students: ~250 (New and continuing graduate students)</w:t>
      </w:r>
    </w:p>
    <w:p>
      <w:pPr>
        <w:pStyle w:val="ListBullet"/>
        <w:spacing w:after="60"/>
      </w:pPr>
      <w:r>
        <w:t>Non-Graduate Students: ~10 (Faculty/Staff)</w:t>
      </w:r>
    </w:p>
    <w:p>
      <w:pPr>
        <w:pStyle w:val="Heading2"/>
        <w:spacing w:before="240" w:after="120"/>
      </w:pPr>
      <w:r>
        <w:rPr>
          <w:rFonts w:ascii="Arial" w:hAnsi="Arial"/>
          <w:color w:val="1F4E79"/>
          <w:sz w:val="28"/>
        </w:rPr>
        <w:t>3. Budget Breakdown</w:t>
      </w:r>
    </w:p>
    <w:p>
      <w:pPr>
        <w:pStyle w:val="ListBullet"/>
        <w:spacing w:after="60"/>
      </w:pPr>
      <w:r/>
      <w:r>
        <w:rPr>
          <w:i/>
        </w:rPr>
        <w:t>(Note: Total event costs will exceed the GA cap; this budget reflects the specific expenses we are requesting the Graduate Assembly to cover/subsidize.)</w:t>
      </w:r>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4E79"/>
            <w:tcMar>
              <w:top w:w="120" w:type="dxa"/>
              <w:bottom w:w="120" w:type="dxa"/>
              <w:left w:w="180" w:type="dxa"/>
              <w:right w:w="180" w:type="dxa"/>
            </w:tcMar>
          </w:tcPr>
          <w:p>
            <w:pPr>
              <w:spacing w:before="80" w:after="80"/>
            </w:pPr>
            <w:r>
              <w:rPr>
                <w:b/>
                <w:color w:val="FFFFFF"/>
              </w:rPr>
            </w:r>
            <w:r>
              <w:rPr>
                <w:b/>
                <w:color w:val="FFFFFF"/>
              </w:rPr>
              <w:t>Item</w:t>
            </w:r>
          </w:p>
        </w:tc>
        <w:tc>
          <w:tcPr>
            <w:tcW w:type="dxa" w:w="2340"/>
            <w:shd w:fill="1F4E79"/>
            <w:tcMar>
              <w:top w:w="120" w:type="dxa"/>
              <w:bottom w:w="120" w:type="dxa"/>
              <w:left w:w="180" w:type="dxa"/>
              <w:right w:w="180" w:type="dxa"/>
            </w:tcMar>
          </w:tcPr>
          <w:p>
            <w:pPr>
              <w:spacing w:before="80" w:after="80"/>
            </w:pPr>
            <w:r>
              <w:rPr>
                <w:b/>
                <w:color w:val="FFFFFF"/>
              </w:rPr>
            </w:r>
            <w:r>
              <w:rPr>
                <w:b/>
                <w:color w:val="FFFFFF"/>
              </w:rPr>
              <w:t>Estimated Cost</w:t>
            </w:r>
          </w:p>
        </w:tc>
        <w:tc>
          <w:tcPr>
            <w:tcW w:type="dxa" w:w="2340"/>
            <w:shd w:fill="1F4E79"/>
            <w:tcMar>
              <w:top w:w="120" w:type="dxa"/>
              <w:bottom w:w="120" w:type="dxa"/>
              <w:left w:w="180" w:type="dxa"/>
              <w:right w:w="180" w:type="dxa"/>
            </w:tcMar>
          </w:tcPr>
          <w:p>
            <w:pPr>
              <w:spacing w:before="80" w:after="80"/>
            </w:pPr>
            <w:r>
              <w:rPr>
                <w:b/>
                <w:color w:val="FFFFFF"/>
              </w:rPr>
            </w:r>
            <w:r>
              <w:rPr>
                <w:b/>
                <w:color w:val="FFFFFF"/>
              </w:rPr>
              <w:t>GA Funding Category</w:t>
            </w:r>
          </w:p>
        </w:tc>
        <w:tc>
          <w:tcPr>
            <w:tcW w:type="dxa" w:w="2340"/>
            <w:shd w:fill="1F4E79"/>
            <w:tcMar>
              <w:top w:w="120" w:type="dxa"/>
              <w:bottom w:w="120" w:type="dxa"/>
              <w:left w:w="180" w:type="dxa"/>
              <w:right w:w="180" w:type="dxa"/>
            </w:tcMar>
          </w:tcPr>
          <w:p>
            <w:pPr>
              <w:spacing w:before="80" w:after="80"/>
            </w:pPr>
            <w:r>
              <w:rPr>
                <w:b/>
                <w:color w:val="FFFFFF"/>
              </w:rPr>
            </w:r>
            <w:r>
              <w:rPr>
                <w:b/>
                <w:color w:val="FFFFFF"/>
              </w:rPr>
              <w:t>Approved Allocation</w:t>
            </w:r>
          </w:p>
        </w:tc>
      </w:tr>
      <w:tr>
        <w:tc>
          <w:tcPr>
            <w:tcW w:type="dxa" w:w="2340"/>
            <w:shd w:fill="F2F2F2"/>
            <w:tcMar>
              <w:top w:w="80" w:type="dxa"/>
              <w:bottom w:w="80" w:type="dxa"/>
              <w:left w:w="150" w:type="dxa"/>
              <w:right w:w="150" w:type="dxa"/>
            </w:tcMar>
          </w:tcPr>
          <w:p>
            <w:pPr>
              <w:spacing w:before="80" w:after="80"/>
            </w:pPr>
            <w:r/>
            <w:r>
              <w:t>Community Mixer Catering (Pizza, Cookies)</w:t>
            </w:r>
          </w:p>
        </w:tc>
        <w:tc>
          <w:tcPr>
            <w:tcW w:type="dxa" w:w="2340"/>
            <w:shd w:fill="F2F2F2"/>
            <w:tcMar>
              <w:top w:w="80" w:type="dxa"/>
              <w:bottom w:w="80" w:type="dxa"/>
              <w:left w:w="150" w:type="dxa"/>
              <w:right w:w="150" w:type="dxa"/>
            </w:tcMar>
          </w:tcPr>
          <w:p>
            <w:pPr>
              <w:spacing w:before="80" w:after="80"/>
            </w:pPr>
            <w:r/>
            <w:r>
              <w:t>$1,800</w:t>
            </w:r>
          </w:p>
        </w:tc>
        <w:tc>
          <w:tcPr>
            <w:tcW w:type="dxa" w:w="2340"/>
            <w:shd w:fill="F2F2F2"/>
            <w:tcMar>
              <w:top w:w="80" w:type="dxa"/>
              <w:bottom w:w="80" w:type="dxa"/>
              <w:left w:w="150" w:type="dxa"/>
              <w:right w:w="150" w:type="dxa"/>
            </w:tcMar>
          </w:tcPr>
          <w:p>
            <w:pPr>
              <w:spacing w:before="80" w:after="80"/>
            </w:pPr>
            <w:r/>
            <w:r>
              <w:t>Food (Plant-based? No)</w:t>
            </w:r>
          </w:p>
        </w:tc>
        <w:tc>
          <w:tcPr>
            <w:tcW w:type="dxa" w:w="2340"/>
            <w:shd w:fill="F2F2F2"/>
            <w:tcMar>
              <w:top w:w="80" w:type="dxa"/>
              <w:bottom w:w="80" w:type="dxa"/>
              <w:left w:w="150" w:type="dxa"/>
              <w:right w:w="150" w:type="dxa"/>
            </w:tcMar>
          </w:tcPr>
          <w:p>
            <w:pPr>
              <w:spacing w:before="80" w:after="80"/>
            </w:pPr>
            <w:r/>
            <w:r>
              <w:t>Up to $1,500</w:t>
            </w:r>
          </w:p>
        </w:tc>
      </w:tr>
      <w:tr>
        <w:tc>
          <w:tcPr>
            <w:tcW w:type="dxa" w:w="2340"/>
            <w:tcMar>
              <w:top w:w="80" w:type="dxa"/>
              <w:bottom w:w="80" w:type="dxa"/>
              <w:left w:w="150" w:type="dxa"/>
              <w:right w:w="150" w:type="dxa"/>
            </w:tcMar>
          </w:tcPr>
          <w:p>
            <w:pPr>
              <w:spacing w:before="80" w:after="80"/>
            </w:pPr>
            <w:r/>
            <w:r>
              <w:t>Mixer Engagement Supplies (Non-customized, no logos)</w:t>
            </w:r>
          </w:p>
        </w:tc>
        <w:tc>
          <w:tcPr>
            <w:tcW w:type="dxa" w:w="2340"/>
            <w:tcMar>
              <w:top w:w="80" w:type="dxa"/>
              <w:bottom w:w="80" w:type="dxa"/>
              <w:left w:w="150" w:type="dxa"/>
              <w:right w:w="150" w:type="dxa"/>
            </w:tcMar>
          </w:tcPr>
          <w:p>
            <w:pPr>
              <w:spacing w:before="80" w:after="80"/>
            </w:pPr>
            <w:r/>
            <w:r>
              <w:t>$200</w:t>
            </w:r>
          </w:p>
        </w:tc>
        <w:tc>
          <w:tcPr>
            <w:tcW w:type="dxa" w:w="2340"/>
            <w:tcMar>
              <w:top w:w="80" w:type="dxa"/>
              <w:bottom w:w="80" w:type="dxa"/>
              <w:left w:w="150" w:type="dxa"/>
              <w:right w:w="150" w:type="dxa"/>
            </w:tcMar>
          </w:tcPr>
          <w:p>
            <w:pPr>
              <w:spacing w:before="80" w:after="80"/>
            </w:pPr>
            <w:r/>
            <w:r>
              <w:t>Supplies/Facilities</w:t>
            </w:r>
          </w:p>
        </w:tc>
        <w:tc>
          <w:tcPr>
            <w:tcW w:type="dxa" w:w="2340"/>
            <w:tcMar>
              <w:top w:w="80" w:type="dxa"/>
              <w:bottom w:w="80" w:type="dxa"/>
              <w:left w:w="150" w:type="dxa"/>
              <w:right w:w="150" w:type="dxa"/>
            </w:tcMar>
          </w:tcPr>
          <w:p>
            <w:pPr>
              <w:spacing w:before="80" w:after="80"/>
            </w:pPr>
            <w:r/>
            <w:r>
              <w:t>Up to $200</w:t>
            </w:r>
          </w:p>
        </w:tc>
      </w:tr>
      <w:tr>
        <w:tc>
          <w:tcPr>
            <w:tcW w:type="dxa" w:w="2340"/>
            <w:shd w:fill="F2F2F2"/>
            <w:tcMar>
              <w:top w:w="80" w:type="dxa"/>
              <w:bottom w:w="80" w:type="dxa"/>
              <w:left w:w="150" w:type="dxa"/>
              <w:right w:w="150" w:type="dxa"/>
            </w:tcMar>
          </w:tcPr>
          <w:p>
            <w:pPr>
              <w:spacing w:before="80" w:after="80"/>
            </w:pPr>
            <w:r/>
            <w:r/>
            <w:r>
              <w:rPr>
                <w:b/>
              </w:rPr>
              <w:t>Total</w:t>
            </w:r>
            <w:r/>
          </w:p>
        </w:tc>
        <w:tc>
          <w:tcPr>
            <w:tcW w:type="dxa" w:w="2340"/>
            <w:shd w:fill="F2F2F2"/>
            <w:tcMar>
              <w:top w:w="80" w:type="dxa"/>
              <w:bottom w:w="80" w:type="dxa"/>
              <w:left w:w="150" w:type="dxa"/>
              <w:right w:w="150" w:type="dxa"/>
            </w:tcMar>
          </w:tcPr>
          <w:p>
            <w:pPr>
              <w:spacing w:before="80" w:after="80"/>
            </w:pPr>
            <w:r/>
            <w:r/>
            <w:r>
              <w:rPr>
                <w:b/>
              </w:rPr>
              <w:t>$2,000</w:t>
            </w:r>
            <w:r/>
          </w:p>
        </w:tc>
        <w:tc>
          <w:tcPr>
            <w:tcW w:type="dxa" w:w="2340"/>
            <w:shd w:fill="F2F2F2"/>
            <w:tcMar>
              <w:top w:w="80" w:type="dxa"/>
              <w:bottom w:w="80" w:type="dxa"/>
              <w:left w:w="150" w:type="dxa"/>
              <w:right w:w="150" w:type="dxa"/>
            </w:tcMar>
          </w:tcPr>
          <w:p>
            <w:pPr>
              <w:spacing w:before="80" w:after="80"/>
            </w:pPr>
            <w:r/>
            <w:r/>
          </w:p>
        </w:tc>
        <w:tc>
          <w:tcPr>
            <w:tcW w:type="dxa" w:w="2340"/>
            <w:shd w:fill="F2F2F2"/>
            <w:tcMar>
              <w:top w:w="80" w:type="dxa"/>
              <w:bottom w:w="80" w:type="dxa"/>
              <w:left w:w="150" w:type="dxa"/>
              <w:right w:w="150" w:type="dxa"/>
            </w:tcMar>
          </w:tcPr>
          <w:p>
            <w:pPr>
              <w:spacing w:before="80" w:after="80"/>
            </w:pPr>
            <w:r/>
            <w:r/>
            <w:r>
              <w:rPr>
                <w:b/>
              </w:rPr>
              <w:t>$1,500 (Approved Limit)</w:t>
            </w:r>
            <w:r/>
          </w:p>
        </w:tc>
      </w:tr>
    </w:tbl>
    <w:p>
      <w:pPr>
        <w:spacing w:after="120"/>
      </w:pPr>
    </w:p>
    <w:p>
      <w:pPr>
        <w:pStyle w:val="ListBullet"/>
        <w:spacing w:after="60"/>
      </w:pPr>
      <w:r/>
      <w:r>
        <w:rPr>
          <w:i/>
        </w:rPr>
        <w:t>(Note: The Funding Officer limited funding to $1,500 total per group. The allocated $1,500 can be spent flexibly across the food and supplies categories within our submitted budget amounts.)</w:t>
      </w:r>
      <w:r/>
    </w:p>
    <w:p>
      <w:pPr>
        <w:pStyle w:val="Heading2"/>
        <w:spacing w:before="240" w:after="120"/>
      </w:pPr>
      <w:r>
        <w:rPr>
          <w:rFonts w:ascii="Arial" w:hAnsi="Arial"/>
          <w:color w:val="1F4E79"/>
          <w:sz w:val="28"/>
        </w:rPr>
        <w:t>4. Compliance Checklist (GA Requirements)</w:t>
      </w:r>
    </w:p>
    <w:p>
      <w:pPr>
        <w:pStyle w:val="ListBullet"/>
        <w:spacing w:after="60"/>
      </w:pPr>
      <w:r>
        <w:t xml:space="preserve">[ ] </w:t>
      </w:r>
      <w:r>
        <w:rPr>
          <w:b/>
        </w:rPr>
        <w:t>Sponsoring Delegate:</w:t>
      </w:r>
      <w:r>
        <w:t xml:space="preserve"> [Name of GA Delegate to be added] (Mandatory)</w:t>
      </w:r>
    </w:p>
    <w:p>
      <w:pPr>
        <w:pStyle w:val="ListBullet"/>
        <w:spacing w:after="60"/>
      </w:pPr>
      <w:r>
        <w:t xml:space="preserve">[x] </w:t>
      </w:r>
      <w:r>
        <w:rPr>
          <w:b/>
        </w:rPr>
        <w:t>Funding Quiz:</w:t>
      </w:r>
      <w:r>
        <w:t xml:space="preserve"> VP/Organizer has achieved 100% score (Mandatory).</w:t>
      </w:r>
    </w:p>
    <w:p>
      <w:pPr>
        <w:pStyle w:val="ListBullet"/>
        <w:spacing w:after="60"/>
      </w:pPr>
      <w:r>
        <w:t xml:space="preserve">[x] </w:t>
      </w:r>
      <w:r>
        <w:rPr>
          <w:b/>
        </w:rPr>
        <w:t>Open Access:</w:t>
      </w:r>
      <w:r>
        <w:t xml:space="preserve"> Event will be advertised and open to all UCB graduate students.</w:t>
      </w:r>
    </w:p>
    <w:p>
      <w:pPr>
        <w:pStyle w:val="ListBullet"/>
        <w:spacing w:after="60"/>
      </w:pPr>
      <w:r>
        <w:t xml:space="preserve">[ ] </w:t>
      </w:r>
      <w:r>
        <w:rPr>
          <w:b/>
        </w:rPr>
        <w:t>Plant-Based Certification:</w:t>
      </w:r>
      <w:r>
        <w:t xml:space="preserve"> No (Not seeking secondary pot of funds).</w:t>
      </w:r>
    </w:p>
    <w:p>
      <w:pPr>
        <w:pStyle w:val="ListBullet"/>
        <w:spacing w:after="60"/>
      </w:pPr>
      <w:r>
        <w:t xml:space="preserve">[ ] </w:t>
      </w:r>
      <w:r>
        <w:rPr>
          <w:b/>
        </w:rPr>
        <w:t>Location Compliance:</w:t>
      </w:r>
      <w:r>
        <w:t xml:space="preserve"> GA-funded items hosted strictly on-campus at Haas (Marriott Oakland activities are self-funded).</w:t>
      </w:r>
    </w:p>
    <w:p>
      <w:pPr>
        <w:pStyle w:val="ListBullet"/>
        <w:spacing w:after="60"/>
      </w:pPr>
      <w:r>
        <w:t xml:space="preserve">[ ] </w:t>
      </w:r>
      <w:r>
        <w:rPr>
          <w:b/>
        </w:rPr>
        <w:t>ADA Accessibility Statement:</w:t>
      </w:r>
      <w:r>
        <w:t xml:space="preserve"> Included on all marketing materials (Mandatory for Large Projects).</w:t>
      </w:r>
    </w:p>
    <w:p>
      <w:pPr>
        <w:pStyle w:val="ListBullet"/>
        <w:spacing w:after="60"/>
      </w:pPr>
      <w:r>
        <w:t xml:space="preserve">[ ] </w:t>
      </w:r>
      <w:r>
        <w:rPr>
          <w:b/>
        </w:rPr>
        <w:t>GA Sponsor Attribution:</w:t>
      </w:r>
      <w:r>
        <w:t xml:space="preserve"> "Sponsored by the UCB Graduate Assembly" included on all promotions (Mandatory for Large Projects).</w:t>
      </w:r>
    </w:p>
    <w:p>
      <w:pPr>
        <w:pStyle w:val="ListBullet"/>
        <w:spacing w:after="60"/>
      </w:pPr>
      <w:r>
        <w:t xml:space="preserve">[ ] </w:t>
      </w:r>
      <w:r>
        <w:rPr>
          <w:b/>
        </w:rPr>
        <w:t>GA Events Calendar &amp; Digest:</w:t>
      </w:r>
      <w:r>
        <w:t xml:space="preserve"> Event submitted to the GA calendar and Delegates' Digest (Mandatory for Large Projects).</w:t>
      </w:r>
    </w:p>
    <w:p>
      <w:pPr>
        <w:pStyle w:val="ListBullet"/>
        <w:spacing w:after="60"/>
      </w:pPr>
      <w:r>
        <w:t xml:space="preserve">[ ] </w:t>
      </w:r>
      <w:r>
        <w:rPr>
          <w:b/>
        </w:rPr>
        <w:t>Banned Items Check:</w:t>
      </w:r>
      <w:r>
        <w:t xml:space="preserve"> Catering excludes bottled water/non-compostable cutlery; supplies exclude gifts, prizes, apparel, and logos.</w:t>
      </w:r>
    </w:p>
    <w:p>
      <w:pPr>
        <w:pStyle w:val="ListBullet"/>
        <w:spacing w:after="60"/>
      </w:pPr>
      <w:r>
        <w:t xml:space="preserve">[ ] </w:t>
      </w:r>
      <w:r>
        <w:rPr>
          <w:b/>
        </w:rPr>
        <w:t>30-Day Reimbursement:</w:t>
      </w:r>
      <w:r>
        <w:t xml:space="preserve"> All receipts will be submitted within 30 days of the event.</w:t>
      </w:r>
    </w:p>
    <w:p>
      <w:pPr>
        <w:pStyle w:val="Heading2"/>
        <w:spacing w:before="240" w:after="120"/>
      </w:pPr>
      <w:r>
        <w:rPr>
          <w:rFonts w:ascii="Arial" w:hAnsi="Arial"/>
          <w:color w:val="1F4E79"/>
          <w:sz w:val="28"/>
        </w:rPr>
        <w:t>5. Strategic Rationale</w:t>
      </w:r>
    </w:p>
    <w:p>
      <w:pPr>
        <w:spacing w:after="120"/>
      </w:pPr>
      <w:r>
        <w:t>The EWMBA Community Welcome Reception &amp; Mixer is a vital student-run initiative led by the EWMBA Association to welcome and integrate peers into the UC Berkeley graduate community. Taking place from July 24-26, it aligns perfectly with the GA's Summer Large-Project Funding window (June 30 – Sept 11). By securing $1,500 in GA funding (of the $2,000 requested, due to round-specific caps), our student association can provide high-volume catering (Pizza/Cookies) and engagement supplies for up to 250 graduate students at an efficient cost of ~$6.00 per head. To ensure strict compliance with the GA's Location Restrictions, the GA-funded portion of this event will be hosted entirely on-campus at the Haas School of Business, with no GA funds used for any secondary off-campus activities (such as our team's planned visit to the Marriott Oakland). This peer-led event is essential for building inclusive community ties from day one and will be cross-promoted via the GA calendar to ensure full transparency and open access to the entire graduate student body. Securing these funds ensures the EWMBA Association can fulfill its mission of community building without depleting its limited student-run reserves.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