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E4166" w14:textId="77777777" w:rsidR="00165472" w:rsidRPr="000942A3" w:rsidRDefault="00E95977">
      <w:pPr>
        <w:spacing w:after="20"/>
        <w:jc w:val="center"/>
        <w:rPr>
          <w:rFonts w:ascii="Arial" w:hAnsi="Arial" w:cs="Arial"/>
        </w:rPr>
      </w:pPr>
      <w:r w:rsidRPr="000942A3">
        <w:rPr>
          <w:rFonts w:ascii="Arial" w:hAnsi="Arial" w:cs="Arial"/>
          <w:b/>
          <w:bCs/>
          <w:sz w:val="28"/>
          <w:szCs w:val="28"/>
        </w:rPr>
        <w:t>Research Protocol v0.4</w:t>
      </w:r>
    </w:p>
    <w:p w14:paraId="6CFFCEA7" w14:textId="77777777" w:rsidR="00165472" w:rsidRPr="000942A3" w:rsidRDefault="00E95977">
      <w:pPr>
        <w:spacing w:after="220"/>
        <w:jc w:val="center"/>
        <w:rPr>
          <w:rFonts w:ascii="Arial" w:hAnsi="Arial" w:cs="Arial"/>
          <w:sz w:val="22"/>
          <w:szCs w:val="22"/>
        </w:rPr>
      </w:pPr>
      <w:r w:rsidRPr="000942A3">
        <w:rPr>
          <w:rFonts w:ascii="Arial" w:hAnsi="Arial" w:cs="Arial"/>
          <w:i/>
          <w:iCs/>
          <w:sz w:val="22"/>
          <w:szCs w:val="22"/>
        </w:rPr>
        <w:t>Aly Gallo López · PhD in Deep Tech, FISI-UNMSM · Doctoral Seminar (R6S10714)</w:t>
      </w:r>
    </w:p>
    <w:p w14:paraId="2CA7CC63" w14:textId="77777777" w:rsidR="00165472" w:rsidRPr="000942A3" w:rsidRDefault="00E95977">
      <w:pPr>
        <w:pStyle w:val="Ttulo1"/>
        <w:spacing w:before="220" w:after="100"/>
        <w:rPr>
          <w:rFonts w:ascii="Arial" w:hAnsi="Arial" w:cs="Arial"/>
          <w:sz w:val="22"/>
          <w:szCs w:val="22"/>
        </w:rPr>
      </w:pPr>
      <w:r w:rsidRPr="000942A3">
        <w:rPr>
          <w:rFonts w:ascii="Arial" w:hAnsi="Arial" w:cs="Arial"/>
          <w:b/>
          <w:bCs/>
          <w:sz w:val="22"/>
          <w:szCs w:val="22"/>
        </w:rPr>
        <w:t>1. Title</w:t>
      </w:r>
    </w:p>
    <w:p w14:paraId="3C58C536"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ChroniCare-AI: A Multimodal-Temporal Biological State Index for Characterizing Adaptive Capacity and Its Trajectory Toward Chronic Disease at Hospital Rebagliati, Lima.</w:t>
      </w:r>
    </w:p>
    <w:p w14:paraId="34927AE4" w14:textId="77777777" w:rsidR="00165472" w:rsidRPr="000942A3" w:rsidRDefault="00E95977">
      <w:pPr>
        <w:pStyle w:val="Ttulo1"/>
        <w:spacing w:before="220" w:after="100"/>
        <w:rPr>
          <w:rFonts w:ascii="Arial" w:hAnsi="Arial" w:cs="Arial"/>
          <w:sz w:val="22"/>
          <w:szCs w:val="22"/>
        </w:rPr>
      </w:pPr>
      <w:r w:rsidRPr="000942A3">
        <w:rPr>
          <w:rFonts w:ascii="Arial" w:hAnsi="Arial" w:cs="Arial"/>
          <w:b/>
          <w:bCs/>
          <w:sz w:val="22"/>
          <w:szCs w:val="22"/>
        </w:rPr>
        <w:t>2. Abstract</w:t>
      </w:r>
    </w:p>
    <w:p w14:paraId="7281413C"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This study develops ChroniCare-AI, a multimodal-temporal AI artifact (current TRL 2; target TRL 4-5) that computes a Biological State Index (BSI) from Rebagliati electronic health records. Following the Biological State Hypothesis (BSH; Gallo López, 2026), the study tests the proposition that biological state constrains Adaptive Capacity — operationalized as a mathematically defined recovery differential following a prespecified, objectively identifiable physiological perturbation (Section 6.4.3) — and, as a secondary exploratory analysis using the same retrospective cohort's remaining follow-up, examines whether Adaptive Capacity trajectories associate with subsequent progression toward noncommunicable chronic disease (NCD). Biological aging is addressed conceptually, as a related downstream manifestation proposed by the BSH, and is not independently quantified in this protocol; the thesis makes no inference about biological aging (Section 6.6). This design tests the BSH's proposed causal chain (Biological State → Adaptive Capacity → Biological Trajectory → NCD) within a single retrospective EHR cohort, under the Design Science Research paradigm, without requiring new prospective data collection. The protocol predefines domain-level BSI construction rules, eligibility criteria and a selection rule for perturbation-recovery events, a recovery-window algorithm, a closed mathematical definition of the Adaptive Capacity score, a pre-data null simulation that calibrates the primary test and fixes a numeric event-sufficiency criterion (Section 6.4.7), a BSI defined without any outcome label for PE3, temporal leakage safeguards, and sensitivity analyses before outcome modeling; the protocol is registered with a timestamp before any outcome is accessed (Section 6.7).</w:t>
      </w:r>
    </w:p>
    <w:p w14:paraId="63B094C7" w14:textId="77777777" w:rsidR="00165472" w:rsidRPr="000942A3" w:rsidRDefault="00E95977">
      <w:pPr>
        <w:pStyle w:val="Ttulo1"/>
        <w:spacing w:before="220" w:after="100"/>
        <w:rPr>
          <w:rFonts w:ascii="Arial" w:hAnsi="Arial" w:cs="Arial"/>
          <w:sz w:val="22"/>
          <w:szCs w:val="22"/>
        </w:rPr>
      </w:pPr>
      <w:r w:rsidRPr="000942A3">
        <w:rPr>
          <w:rFonts w:ascii="Arial" w:hAnsi="Arial" w:cs="Arial"/>
          <w:b/>
          <w:bCs/>
          <w:sz w:val="22"/>
          <w:szCs w:val="22"/>
        </w:rPr>
        <w:t>3. Introduction and Problem Statement</w:t>
      </w:r>
    </w:p>
    <w:p w14:paraId="08488B69"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The Biological State Hypothesis (BSH; Gallo López, 2026) proposes that chronic disease and accelerated biological aging are not primary events but late, downstream consequences of sustained biological state deterioration, which first manifests as a narrowing of Adaptive Capacity — the organism's capacity to respond to and recover from physiological demand. This proposition remains empirically untested: no existing tool, in this population or elsewhere, measures that intermediate construct directly. In patients with obesity, type 2 diabetes, and cardiovascular disease at Hospital Nacional Edgardo Rebagliati Martins (EsSalud, Lima), acute-care severity scores such as SOFA and APACHE are inapplicable to this largely non-ICU population, requiring variables unavailable outside intensive care; the NEWS2 early-warning score was validated for 24-hour deterioration, not the progressive timescale relevant here. More general tools — the Charlson Comorbidity Index (1987) and SCORE2-Diabetes (SCORE2-Diabetes Working Group, 2023) — are calculable from routine data, but, like the acute-care scores, they estimate risk of disease itself, not the capacity to respond to and recover from physiological demand that the BSH identifies as the mechanism preceding it. This is the specific gap this thesis addresses: a validated measure of Adaptive Capacity, derived from routinely collected EHR data, does not yet exist for this or comparable populations. This gap matters now because Peru's public hospitals are digitizing EHR under HL7 FHIR precisely as AI-based clinical decision tools are piloted internationally — the Epic Sepsis Model case (internal AUC 0.76-0.83, but AUC 0.63 in independent external validation, missing 67% of sepsis cases; Wong et al., 2021) shows that internal accuracy is not a finding, and that local validation before uncritical adoption is a real, not theoretical, necessity.</w:t>
      </w:r>
    </w:p>
    <w:p w14:paraId="6218EAF2" w14:textId="77777777" w:rsidR="00165472" w:rsidRPr="000942A3" w:rsidRDefault="00E95977">
      <w:pPr>
        <w:pStyle w:val="Ttulo1"/>
        <w:spacing w:before="220" w:after="100"/>
        <w:rPr>
          <w:rFonts w:ascii="Arial" w:hAnsi="Arial" w:cs="Arial"/>
          <w:sz w:val="22"/>
          <w:szCs w:val="22"/>
        </w:rPr>
      </w:pPr>
      <w:r w:rsidRPr="000942A3">
        <w:rPr>
          <w:rFonts w:ascii="Arial" w:hAnsi="Arial" w:cs="Arial"/>
          <w:b/>
          <w:bCs/>
          <w:sz w:val="22"/>
          <w:szCs w:val="22"/>
        </w:rPr>
        <w:t>4. Literature Review</w:t>
      </w:r>
    </w:p>
    <w:p w14:paraId="70FA41C5"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The literature on clinical prognostic scores (Charlson et al., 1987) and Design Science Research (Hevner et al., 2004) is well established, but neither has addressed adaptive-capacity characterization via multimodal AI in Peruvian populations. Gregor &amp; Hevner (2013) argue that a design artifact alone is an engineering outcome; a doctoral-level contribution additionally requires tested, generalizable design knowledge. The Biological State Hypothesis (Gallo López, 2026) formalizes biological state as BS = f (SR, M, BP | E), with f() empirically determined, and defines Adaptive Capacity as the organism's capacity to maintain or restore physiological coherence under demand — evaluated explicitly under challenge, never at rest. A parallel theoretical extension (Gallo López, manuscript submitted to Frontiers in Human Neuroscience) operationalizes Adaptive Capacity as a response-recovery trajectory, using a residualized recovery score to avoid confounding with baseline level (the law of initial values), and tests biological state as a ceiling constraint via quantile regression — a methodological precedent adapted, not adopted unchanged, in this protocol: the precedent residualizes recovery on baseline level, whereas here baseline BSI is the primary exposure and is deliberately not residualized out (Section 6.4.3), so baseline-outcome coupling is handled by null simulation and sensitivity outcomes (Sections 6.4.5 and 6.4.7). The ceiling/constraint logic itself has a long empirical tradition: Cade, Terrell, &amp; Schroeder (1999) established regression quantiles as the appropriate tool when a factor limits a response's upper bound rather than shifting its mean, and Horning (2012) applied the same constraint-line logic within physiology. My own prior evidence shows a single data modality has a predictive ceiling (Gallo López, García-Quispes, &amp; Laván Quiroz, 2026), and a hypothesis-driven review supports Systemic Regulation as a driver of disease progression (Laván et al., 2026). The closest direct technical comparator identified is CURENet (Dao et al., 2026), a transformer-based architecture combining clinical notes, laboratory results, and visit time series for chronic disease prediction in a Taiwanese hospital cohort — it predicts disease diagnosis directly, with no adaptive-capacity or recovery-trajectory construct, the specific distinction this protocol's Prediction 1 test addresses. The Session 4 systematic review (ChroniCare-AI corpus, n=10 verified primary studies via Scopus, single-database search) found that existing multimodal clinical AI models predict disease events directly, with no study testing adaptive-capacity restriction as an intermediate, preventive construct — the specific gap this thesis addresses. Independent support for Adaptive Capacity as a construct comes from the physiological-resilience literature: resilience is quantified from the dynamics of recovery after a perturbation rather than from the level before it (Scheffer et al., 2018); physical resilience in older adults has been developed as an emerging construct through systematic review (Whitson et al., 2016) and translated to clinical care as the recovery potential of older adults (Gijzel et al., 2019). These sources define resilience as recovery from a stressor, which motivates Adaptive Capacity independently of the BSH; they do not address biological state as a ceiling on recovery, which is the question tested here.</w:t>
      </w:r>
    </w:p>
    <w:p w14:paraId="70FA41C5"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Preliminary exploratory evidence (own analyses of public data; exploratory, not confirmatory). A reduced BSI (the unweighted mean of domain scores, the form later fixed as BSI_fixed; inflammatory, metabolic and epigenetic-clock domains, without cortisol or BDNF) was evaluated in NHANES 1999-2002 (adults aged 50 or older, linked all-cause mortality through 2019; Cox models, C-index, repeated cross-validation with a paired bootstrap, decision rule fixed beforehand). In the primary analysis (n=2,530; 1,359 deaths), adding the BSI to age, an epigenetic clock (PhenoAge) and allostatic load raised the C-index from 0.716 to 0.723 (ΔC +0.0071, 95% CI 0.0033 to 0.0108); in complete cases (n=1,228; 644 deaths) the gain was +0.0054 (0.0015 to 0.0095). However, the composite did not outperform the same markers used as continuous variables (ΔC −0.0025, 95% CI −0.0088 to 0.0039), and the proportional-hazards assumption did not hold for the BSI (p=0.0018). In the MIDUS 3 Biomarker Project (ICPSR 38837, public-use file), a resting BSI (inflammatory, metabolic and neuroendocrine domains; no epigenetic clock) did not improve out-of-fold prediction of heart-rate-variability reactivity to a mental-arithmetic task beyond age, sex, body mass index, baseline level, antihypertensive and beta-blocker use and allostatic load (n=521; ΔR² +0.0004, 95% CI −0.0082 to 0.0090); cortisol reactivity and HRV on standing also showed no gain, and systolic-pressure reactivity was not interpretable. Limits: all-cause mortality as the only NHANES outcome, PhenoAge shares markers with the BSI, bootstrap intervals ignore model-fitting variability, the NHANES primary analysis is unweighted although the CDC recommends the survey weights (a weighted analysis is a sensitivity analysis), the public-use linked mortality file perturbs some follow-up times, about 500 complete cases and a single laboratory challenge in MIDUS. These analyses show at most a small added value of the composite BSI over its own markers and do not test Adaptive Capacity, which requires a perturbation with a measured pre-event and post-event state; they are consistent with treating BSI construction as an empirical question (PE1-PE2), testing Adaptive Capacity directly (PE3), and reporting null results as findings.</w:t>
      </w:r>
    </w:p>
    <w:p w14:paraId="4BBA0612" w14:textId="77777777" w:rsidR="00165472" w:rsidRPr="000942A3" w:rsidRDefault="00E95977">
      <w:pPr>
        <w:pStyle w:val="Ttulo1"/>
        <w:spacing w:before="220" w:after="100"/>
        <w:rPr>
          <w:rFonts w:ascii="Arial" w:hAnsi="Arial" w:cs="Arial"/>
          <w:sz w:val="22"/>
          <w:szCs w:val="22"/>
        </w:rPr>
      </w:pPr>
      <w:r w:rsidRPr="000942A3">
        <w:rPr>
          <w:rFonts w:ascii="Arial" w:hAnsi="Arial" w:cs="Arial"/>
          <w:b/>
          <w:bCs/>
          <w:sz w:val="22"/>
          <w:szCs w:val="22"/>
        </w:rPr>
        <w:t>5. Research Questions, Objectives, and Hypotheses</w:t>
      </w:r>
    </w:p>
    <w:p w14:paraId="3A87C2C5"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General question: To what extent does a multimodal-temporal Biological State Index characterize Adaptive Capacity, and in what measure does the resulting Biological Trajectory associate with subsequent progression toward noncommunicable chronic disease, in obese, type 2 diabetic, and cardiovascular patients at Rebagliati Hospital?</w:t>
      </w:r>
    </w:p>
    <w:p w14:paraId="0547DE6E"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General SMART Objective: </w:t>
      </w:r>
      <w:r w:rsidRPr="000942A3">
        <w:rPr>
          <w:rFonts w:ascii="Arial" w:hAnsi="Arial" w:cs="Arial"/>
          <w:sz w:val="22"/>
          <w:szCs w:val="22"/>
        </w:rPr>
        <w:t>By July 2029, with data access already in process with Rebagliati (owner: Aly Gallo), construct and evaluate the ChroniCare-AI BSI as a predictor of Adaptive Capacity (primary analysis) and, secondarily, of Biological Trajectory toward NCD progression, using exclusively Rebagliati EHR data within a single retrospective cohort design.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4714"/>
        <w:gridCol w:w="4714"/>
      </w:tblGrid>
      <w:tr w:rsidR="00165472" w:rsidRPr="000942A3" w14:paraId="358E0254" w14:textId="77777777">
        <w:trPr>
          <w:tblHeader/>
        </w:trPr>
        <w:tc>
          <w:tcPr>
            <w:tcW w:w="300" w:type="pct"/>
            <w:shd w:val="clear" w:color="auto" w:fill="2E3B4E"/>
            <w:tcMar>
              <w:top w:w="60" w:type="dxa"/>
              <w:left w:w="80" w:type="dxa"/>
              <w:bottom w:w="60" w:type="dxa"/>
              <w:right w:w="80" w:type="dxa"/>
            </w:tcMar>
            <w:vAlign w:val="center"/>
          </w:tcPr>
          <w:p w14:paraId="312CD3CA" w14:textId="77777777" w:rsidR="00165472" w:rsidRPr="000942A3" w:rsidRDefault="00E95977">
            <w:pPr>
              <w:rPr>
                <w:rFonts w:ascii="Arial" w:hAnsi="Arial" w:cs="Arial"/>
                <w:sz w:val="22"/>
                <w:szCs w:val="22"/>
              </w:rPr>
            </w:pPr>
            <w:r w:rsidRPr="000942A3">
              <w:rPr>
                <w:rFonts w:ascii="Arial" w:hAnsi="Arial" w:cs="Arial"/>
                <w:b/>
                <w:bCs/>
                <w:sz w:val="22"/>
                <w:szCs w:val="22"/>
              </w:rPr>
              <w:t>#</w:t>
            </w:r>
          </w:p>
        </w:tc>
        <w:tc>
          <w:tcPr>
            <w:tcW w:w="2350" w:type="pct"/>
            <w:shd w:val="clear" w:color="auto" w:fill="2E3B4E"/>
            <w:tcMar>
              <w:top w:w="60" w:type="dxa"/>
              <w:left w:w="80" w:type="dxa"/>
              <w:bottom w:w="60" w:type="dxa"/>
              <w:right w:w="80" w:type="dxa"/>
            </w:tcMar>
            <w:vAlign w:val="center"/>
          </w:tcPr>
          <w:p w14:paraId="1FC5BE35" w14:textId="77777777" w:rsidR="00165472" w:rsidRPr="000942A3" w:rsidRDefault="00E95977">
            <w:pPr>
              <w:rPr>
                <w:rFonts w:ascii="Arial" w:hAnsi="Arial" w:cs="Arial"/>
                <w:sz w:val="22"/>
                <w:szCs w:val="22"/>
              </w:rPr>
            </w:pPr>
            <w:r w:rsidRPr="000942A3">
              <w:rPr>
                <w:rFonts w:ascii="Arial" w:hAnsi="Arial" w:cs="Arial"/>
                <w:b/>
                <w:bCs/>
                <w:sz w:val="22"/>
                <w:szCs w:val="22"/>
              </w:rPr>
              <w:t>Research Question (PE)</w:t>
            </w:r>
          </w:p>
        </w:tc>
        <w:tc>
          <w:tcPr>
            <w:tcW w:w="2350" w:type="pct"/>
            <w:shd w:val="clear" w:color="auto" w:fill="2E3B4E"/>
            <w:tcMar>
              <w:top w:w="60" w:type="dxa"/>
              <w:left w:w="80" w:type="dxa"/>
              <w:bottom w:w="60" w:type="dxa"/>
              <w:right w:w="80" w:type="dxa"/>
            </w:tcMar>
            <w:vAlign w:val="center"/>
          </w:tcPr>
          <w:p w14:paraId="001EB839" w14:textId="77777777" w:rsidR="00165472" w:rsidRPr="000942A3" w:rsidRDefault="00E95977">
            <w:pPr>
              <w:rPr>
                <w:rFonts w:ascii="Arial" w:hAnsi="Arial" w:cs="Arial"/>
                <w:sz w:val="22"/>
                <w:szCs w:val="22"/>
              </w:rPr>
            </w:pPr>
            <w:r w:rsidRPr="000942A3">
              <w:rPr>
                <w:rFonts w:ascii="Arial" w:hAnsi="Arial" w:cs="Arial"/>
                <w:b/>
                <w:bCs/>
                <w:sz w:val="22"/>
                <w:szCs w:val="22"/>
              </w:rPr>
              <w:t>Objective (OE)</w:t>
            </w:r>
          </w:p>
        </w:tc>
      </w:tr>
      <w:tr w:rsidR="00165472" w:rsidRPr="000942A3" w14:paraId="21F1CE4B" w14:textId="77777777">
        <w:tc>
          <w:tcPr>
            <w:tcW w:w="300" w:type="pct"/>
            <w:tcMar>
              <w:top w:w="60" w:type="dxa"/>
              <w:left w:w="80" w:type="dxa"/>
              <w:bottom w:w="60" w:type="dxa"/>
              <w:right w:w="80" w:type="dxa"/>
            </w:tcMar>
            <w:vAlign w:val="center"/>
          </w:tcPr>
          <w:p w14:paraId="23FC1D05" w14:textId="77777777" w:rsidR="00165472" w:rsidRPr="000942A3" w:rsidRDefault="00E95977">
            <w:pPr>
              <w:rPr>
                <w:rFonts w:ascii="Arial" w:hAnsi="Arial" w:cs="Arial"/>
                <w:sz w:val="22"/>
                <w:szCs w:val="22"/>
              </w:rPr>
            </w:pPr>
            <w:r w:rsidRPr="000942A3">
              <w:rPr>
                <w:rFonts w:ascii="Arial" w:hAnsi="Arial" w:cs="Arial"/>
                <w:sz w:val="22"/>
                <w:szCs w:val="22"/>
              </w:rPr>
              <w:t>1</w:t>
            </w:r>
          </w:p>
        </w:tc>
        <w:tc>
          <w:tcPr>
            <w:tcW w:w="2350" w:type="pct"/>
            <w:tcMar>
              <w:top w:w="60" w:type="dxa"/>
              <w:left w:w="80" w:type="dxa"/>
              <w:bottom w:w="60" w:type="dxa"/>
              <w:right w:w="80" w:type="dxa"/>
            </w:tcMar>
            <w:vAlign w:val="center"/>
          </w:tcPr>
          <w:p w14:paraId="19F21C24" w14:textId="77777777" w:rsidR="00165472" w:rsidRPr="000942A3" w:rsidRDefault="00E95977">
            <w:pPr>
              <w:rPr>
                <w:rFonts w:ascii="Arial" w:hAnsi="Arial" w:cs="Arial"/>
                <w:sz w:val="22"/>
                <w:szCs w:val="22"/>
              </w:rPr>
            </w:pPr>
            <w:r w:rsidRPr="000942A3">
              <w:rPr>
                <w:rFonts w:ascii="Arial" w:hAnsi="Arial" w:cs="Arial"/>
                <w:sz w:val="22"/>
                <w:szCs w:val="22"/>
              </w:rPr>
              <w:t>Does the BSI achieve adequate discrimination, calibration, and clinical utility as a measure of Biological State, with verified per-domain contribution?</w:t>
            </w:r>
          </w:p>
        </w:tc>
        <w:tc>
          <w:tcPr>
            <w:tcW w:w="2350" w:type="pct"/>
            <w:tcMar>
              <w:top w:w="60" w:type="dxa"/>
              <w:left w:w="80" w:type="dxa"/>
              <w:bottom w:w="60" w:type="dxa"/>
              <w:right w:w="80" w:type="dxa"/>
            </w:tcMar>
            <w:vAlign w:val="center"/>
          </w:tcPr>
          <w:p w14:paraId="782E43F4" w14:textId="77777777" w:rsidR="00165472" w:rsidRPr="000942A3" w:rsidRDefault="00E95977">
            <w:pPr>
              <w:rPr>
                <w:rFonts w:ascii="Arial" w:hAnsi="Arial" w:cs="Arial"/>
                <w:sz w:val="22"/>
                <w:szCs w:val="22"/>
              </w:rPr>
            </w:pPr>
            <w:r w:rsidRPr="000942A3">
              <w:rPr>
                <w:rFonts w:ascii="Arial" w:hAnsi="Arial" w:cs="Arial"/>
                <w:sz w:val="22"/>
                <w:szCs w:val="22"/>
              </w:rPr>
              <w:t>Validate the BSI (discrimination/calibration/clinical utility) plus per-domain ablation (SR/M/BP) — secondary.</w:t>
            </w:r>
          </w:p>
        </w:tc>
      </w:tr>
      <w:tr w:rsidR="00165472" w:rsidRPr="000942A3" w14:paraId="7DDB9D36" w14:textId="77777777">
        <w:tc>
          <w:tcPr>
            <w:tcW w:w="300" w:type="pct"/>
            <w:tcMar>
              <w:top w:w="60" w:type="dxa"/>
              <w:left w:w="80" w:type="dxa"/>
              <w:bottom w:w="60" w:type="dxa"/>
              <w:right w:w="80" w:type="dxa"/>
            </w:tcMar>
            <w:vAlign w:val="center"/>
          </w:tcPr>
          <w:p w14:paraId="5483E73D" w14:textId="77777777" w:rsidR="00165472" w:rsidRPr="000942A3" w:rsidRDefault="00E95977">
            <w:pPr>
              <w:rPr>
                <w:rFonts w:ascii="Arial" w:hAnsi="Arial" w:cs="Arial"/>
                <w:sz w:val="22"/>
                <w:szCs w:val="22"/>
              </w:rPr>
            </w:pPr>
            <w:r w:rsidRPr="000942A3">
              <w:rPr>
                <w:rFonts w:ascii="Arial" w:hAnsi="Arial" w:cs="Arial"/>
                <w:sz w:val="22"/>
                <w:szCs w:val="22"/>
              </w:rPr>
              <w:t>2</w:t>
            </w:r>
          </w:p>
        </w:tc>
        <w:tc>
          <w:tcPr>
            <w:tcW w:w="2350" w:type="pct"/>
            <w:tcMar>
              <w:top w:w="60" w:type="dxa"/>
              <w:left w:w="80" w:type="dxa"/>
              <w:bottom w:w="60" w:type="dxa"/>
              <w:right w:w="80" w:type="dxa"/>
            </w:tcMar>
            <w:vAlign w:val="center"/>
          </w:tcPr>
          <w:p w14:paraId="634B00C0" w14:textId="77777777" w:rsidR="00165472" w:rsidRPr="000942A3" w:rsidRDefault="00E95977">
            <w:pPr>
              <w:rPr>
                <w:rFonts w:ascii="Arial" w:hAnsi="Arial" w:cs="Arial"/>
                <w:sz w:val="22"/>
                <w:szCs w:val="22"/>
              </w:rPr>
            </w:pPr>
            <w:r w:rsidRPr="000942A3">
              <w:rPr>
                <w:rFonts w:ascii="Arial" w:hAnsi="Arial" w:cs="Arial"/>
                <w:sz w:val="22"/>
                <w:szCs w:val="22"/>
              </w:rPr>
              <w:t>Does multimodal integration (cross-attention fusion) improve over the simple additive model? (BSH's L1)</w:t>
            </w:r>
          </w:p>
        </w:tc>
        <w:tc>
          <w:tcPr>
            <w:tcW w:w="2350" w:type="pct"/>
            <w:tcMar>
              <w:top w:w="60" w:type="dxa"/>
              <w:left w:w="80" w:type="dxa"/>
              <w:bottom w:w="60" w:type="dxa"/>
              <w:right w:w="80" w:type="dxa"/>
            </w:tcMar>
            <w:vAlign w:val="center"/>
          </w:tcPr>
          <w:p w14:paraId="4F68ADAD" w14:textId="77777777" w:rsidR="00165472" w:rsidRPr="000942A3" w:rsidRDefault="00E95977">
            <w:pPr>
              <w:rPr>
                <w:rFonts w:ascii="Arial" w:hAnsi="Arial" w:cs="Arial"/>
                <w:sz w:val="22"/>
                <w:szCs w:val="22"/>
              </w:rPr>
            </w:pPr>
            <w:r w:rsidRPr="000942A3">
              <w:rPr>
                <w:rFonts w:ascii="Arial" w:hAnsi="Arial" w:cs="Arial"/>
                <w:sz w:val="22"/>
                <w:szCs w:val="22"/>
              </w:rPr>
              <w:t>Compare full-fusion architecture vs. additive BSI — secondary.</w:t>
            </w:r>
          </w:p>
        </w:tc>
      </w:tr>
      <w:tr w:rsidR="00165472" w:rsidRPr="000942A3" w14:paraId="1F6F03F9" w14:textId="77777777">
        <w:tc>
          <w:tcPr>
            <w:tcW w:w="300" w:type="pct"/>
            <w:tcMar>
              <w:top w:w="60" w:type="dxa"/>
              <w:left w:w="80" w:type="dxa"/>
              <w:bottom w:w="60" w:type="dxa"/>
              <w:right w:w="80" w:type="dxa"/>
            </w:tcMar>
            <w:vAlign w:val="center"/>
          </w:tcPr>
          <w:p w14:paraId="6D2B18E0" w14:textId="77777777" w:rsidR="00165472" w:rsidRPr="000942A3" w:rsidRDefault="00E95977">
            <w:pPr>
              <w:rPr>
                <w:rFonts w:ascii="Arial" w:hAnsi="Arial" w:cs="Arial"/>
                <w:sz w:val="22"/>
                <w:szCs w:val="22"/>
              </w:rPr>
            </w:pPr>
            <w:r w:rsidRPr="000942A3">
              <w:rPr>
                <w:rFonts w:ascii="Arial" w:hAnsi="Arial" w:cs="Arial"/>
                <w:sz w:val="22"/>
                <w:szCs w:val="22"/>
              </w:rPr>
              <w:t>3</w:t>
            </w:r>
          </w:p>
        </w:tc>
        <w:tc>
          <w:tcPr>
            <w:tcW w:w="2350" w:type="pct"/>
            <w:tcMar>
              <w:top w:w="60" w:type="dxa"/>
              <w:left w:w="80" w:type="dxa"/>
              <w:bottom w:w="60" w:type="dxa"/>
              <w:right w:w="80" w:type="dxa"/>
            </w:tcMar>
            <w:vAlign w:val="center"/>
          </w:tcPr>
          <w:p w14:paraId="296637BF" w14:textId="77777777" w:rsidR="00165472" w:rsidRPr="000942A3" w:rsidRDefault="00E95977">
            <w:pPr>
              <w:rPr>
                <w:rFonts w:ascii="Arial" w:hAnsi="Arial" w:cs="Arial"/>
                <w:sz w:val="22"/>
                <w:szCs w:val="22"/>
              </w:rPr>
            </w:pPr>
            <w:r w:rsidRPr="000942A3">
              <w:rPr>
                <w:rFonts w:ascii="Arial" w:hAnsi="Arial" w:cs="Arial"/>
                <w:sz w:val="22"/>
                <w:szCs w:val="22"/>
              </w:rPr>
              <w:t>Does Biological State (BSI) constrain the ceiling of Adaptive Capacity, measured as the recovery differential following a physiological perturbation? (BSH Prediction 1)</w:t>
            </w:r>
          </w:p>
        </w:tc>
        <w:tc>
          <w:tcPr>
            <w:tcW w:w="2350" w:type="pct"/>
            <w:tcMar>
              <w:top w:w="60" w:type="dxa"/>
              <w:left w:w="80" w:type="dxa"/>
              <w:bottom w:w="60" w:type="dxa"/>
              <w:right w:w="80" w:type="dxa"/>
            </w:tcMar>
            <w:vAlign w:val="center"/>
          </w:tcPr>
          <w:p w14:paraId="5175634B" w14:textId="77777777" w:rsidR="00165472" w:rsidRPr="000942A3" w:rsidRDefault="00E95977">
            <w:pPr>
              <w:rPr>
                <w:rFonts w:ascii="Arial" w:hAnsi="Arial" w:cs="Arial"/>
                <w:sz w:val="22"/>
                <w:szCs w:val="22"/>
              </w:rPr>
            </w:pPr>
            <w:r w:rsidRPr="000942A3">
              <w:rPr>
                <w:rFonts w:ascii="Arial" w:hAnsi="Arial" w:cs="Arial"/>
                <w:sz w:val="22"/>
                <w:szCs w:val="22"/>
              </w:rPr>
              <w:t>Test whether baseline BSI constrains the ceiling of Adaptive Capacity: primary contrast of quantile-regression slopes (τ=0.90 minus τ=0.50), adjusted for chronological age — PRIMARY.</w:t>
            </w:r>
          </w:p>
        </w:tc>
      </w:tr>
      <w:tr w:rsidR="00165472" w:rsidRPr="000942A3" w14:paraId="5798214F" w14:textId="77777777">
        <w:tc>
          <w:tcPr>
            <w:tcW w:w="300" w:type="pct"/>
            <w:tcMar>
              <w:top w:w="60" w:type="dxa"/>
              <w:left w:w="80" w:type="dxa"/>
              <w:bottom w:w="60" w:type="dxa"/>
              <w:right w:w="80" w:type="dxa"/>
            </w:tcMar>
            <w:vAlign w:val="center"/>
          </w:tcPr>
          <w:p w14:paraId="00F82521" w14:textId="77777777" w:rsidR="00165472" w:rsidRPr="000942A3" w:rsidRDefault="00E95977">
            <w:pPr>
              <w:rPr>
                <w:rFonts w:ascii="Arial" w:hAnsi="Arial" w:cs="Arial"/>
                <w:sz w:val="22"/>
                <w:szCs w:val="22"/>
              </w:rPr>
            </w:pPr>
            <w:r w:rsidRPr="000942A3">
              <w:rPr>
                <w:rFonts w:ascii="Arial" w:hAnsi="Arial" w:cs="Arial"/>
                <w:sz w:val="22"/>
                <w:szCs w:val="22"/>
              </w:rPr>
              <w:t>4</w:t>
            </w:r>
          </w:p>
        </w:tc>
        <w:tc>
          <w:tcPr>
            <w:tcW w:w="2350" w:type="pct"/>
            <w:tcMar>
              <w:top w:w="60" w:type="dxa"/>
              <w:left w:w="80" w:type="dxa"/>
              <w:bottom w:w="60" w:type="dxa"/>
              <w:right w:w="80" w:type="dxa"/>
            </w:tcMar>
            <w:vAlign w:val="center"/>
          </w:tcPr>
          <w:p w14:paraId="4AB502E8" w14:textId="77777777" w:rsidR="00165472" w:rsidRPr="000942A3" w:rsidRDefault="00E95977">
            <w:pPr>
              <w:rPr>
                <w:rFonts w:ascii="Arial" w:hAnsi="Arial" w:cs="Arial"/>
                <w:sz w:val="22"/>
                <w:szCs w:val="22"/>
              </w:rPr>
            </w:pPr>
            <w:r w:rsidRPr="000942A3">
              <w:rPr>
                <w:rFonts w:ascii="Arial" w:hAnsi="Arial" w:cs="Arial"/>
                <w:sz w:val="22"/>
                <w:szCs w:val="22"/>
              </w:rPr>
              <w:t>What longitudinal trajectory patterns does BSI/Adaptive Capacity show across multiple perturbation-recovery events in a patient's history?</w:t>
            </w:r>
          </w:p>
        </w:tc>
        <w:tc>
          <w:tcPr>
            <w:tcW w:w="2350" w:type="pct"/>
            <w:tcMar>
              <w:top w:w="60" w:type="dxa"/>
              <w:left w:w="80" w:type="dxa"/>
              <w:bottom w:w="60" w:type="dxa"/>
              <w:right w:w="80" w:type="dxa"/>
            </w:tcMar>
            <w:vAlign w:val="center"/>
          </w:tcPr>
          <w:p w14:paraId="1D3D66A9" w14:textId="77777777" w:rsidR="00165472" w:rsidRPr="000942A3" w:rsidRDefault="00E95977">
            <w:pPr>
              <w:rPr>
                <w:rFonts w:ascii="Arial" w:hAnsi="Arial" w:cs="Arial"/>
                <w:sz w:val="22"/>
                <w:szCs w:val="22"/>
              </w:rPr>
            </w:pPr>
            <w:r w:rsidRPr="000942A3">
              <w:rPr>
                <w:rFonts w:ascii="Arial" w:hAnsi="Arial" w:cs="Arial"/>
                <w:sz w:val="22"/>
                <w:szCs w:val="22"/>
              </w:rPr>
              <w:t>Characterize longitudinal trajectories via group-based trajectory modeling — secondary.</w:t>
            </w:r>
          </w:p>
        </w:tc>
      </w:tr>
      <w:tr w:rsidR="00165472" w:rsidRPr="000942A3" w14:paraId="138ED004" w14:textId="77777777">
        <w:tc>
          <w:tcPr>
            <w:tcW w:w="300" w:type="pct"/>
            <w:tcMar>
              <w:top w:w="60" w:type="dxa"/>
              <w:left w:w="80" w:type="dxa"/>
              <w:bottom w:w="60" w:type="dxa"/>
              <w:right w:w="80" w:type="dxa"/>
            </w:tcMar>
            <w:vAlign w:val="center"/>
          </w:tcPr>
          <w:p w14:paraId="0242AB38" w14:textId="77777777" w:rsidR="00165472" w:rsidRPr="000942A3" w:rsidRDefault="00E95977">
            <w:pPr>
              <w:rPr>
                <w:rFonts w:ascii="Arial" w:hAnsi="Arial" w:cs="Arial"/>
                <w:sz w:val="22"/>
                <w:szCs w:val="22"/>
              </w:rPr>
            </w:pPr>
            <w:r w:rsidRPr="000942A3">
              <w:rPr>
                <w:rFonts w:ascii="Arial" w:hAnsi="Arial" w:cs="Arial"/>
                <w:sz w:val="22"/>
                <w:szCs w:val="22"/>
              </w:rPr>
              <w:t>5</w:t>
            </w:r>
          </w:p>
        </w:tc>
        <w:tc>
          <w:tcPr>
            <w:tcW w:w="2350" w:type="pct"/>
            <w:tcMar>
              <w:top w:w="60" w:type="dxa"/>
              <w:left w:w="80" w:type="dxa"/>
              <w:bottom w:w="60" w:type="dxa"/>
              <w:right w:w="80" w:type="dxa"/>
            </w:tcMar>
            <w:vAlign w:val="center"/>
          </w:tcPr>
          <w:p w14:paraId="52AF3CD0" w14:textId="77777777" w:rsidR="00165472" w:rsidRPr="000942A3" w:rsidRDefault="00B11136">
            <w:pPr>
              <w:rPr>
                <w:rFonts w:ascii="Arial" w:hAnsi="Arial" w:cs="Arial"/>
                <w:sz w:val="22"/>
                <w:szCs w:val="22"/>
              </w:rPr>
            </w:pPr>
            <w:r w:rsidRPr="000942A3">
              <w:rPr>
                <w:rFonts w:ascii="Arial" w:hAnsi="Arial" w:cs="Arial"/>
                <w:sz w:val="22"/>
                <w:szCs w:val="22"/>
              </w:rPr>
              <w:t>Do Adaptive Capacity and its trajectory associate with subsequent progression toward NCD, within the same cohort’s remaining follow-up?</w:t>
            </w:r>
          </w:p>
        </w:tc>
        <w:tc>
          <w:tcPr>
            <w:tcW w:w="2350" w:type="pct"/>
            <w:tcMar>
              <w:top w:w="60" w:type="dxa"/>
              <w:left w:w="80" w:type="dxa"/>
              <w:bottom w:w="60" w:type="dxa"/>
              <w:right w:w="80" w:type="dxa"/>
            </w:tcMar>
            <w:vAlign w:val="center"/>
          </w:tcPr>
          <w:p w14:paraId="27BCDD9E" w14:textId="77777777" w:rsidR="00165472" w:rsidRPr="000942A3" w:rsidRDefault="00E95977">
            <w:pPr>
              <w:rPr>
                <w:rFonts w:ascii="Arial" w:hAnsi="Arial" w:cs="Arial"/>
                <w:sz w:val="22"/>
                <w:szCs w:val="22"/>
              </w:rPr>
            </w:pPr>
            <w:r w:rsidRPr="000942A3">
              <w:rPr>
                <w:rFonts w:ascii="Arial" w:hAnsi="Arial" w:cs="Arial"/>
                <w:sz w:val="22"/>
                <w:szCs w:val="22"/>
              </w:rPr>
              <w:t>Association/survival analysis between AC trajectory and NCD progression — secondary/exploratory.</w:t>
            </w:r>
          </w:p>
        </w:tc>
      </w:tr>
      <w:tr w:rsidR="00165472" w:rsidRPr="000942A3" w14:paraId="57F25564" w14:textId="77777777">
        <w:tc>
          <w:tcPr>
            <w:tcW w:w="300" w:type="pct"/>
            <w:tcMar>
              <w:top w:w="60" w:type="dxa"/>
              <w:left w:w="80" w:type="dxa"/>
              <w:bottom w:w="60" w:type="dxa"/>
              <w:right w:w="80" w:type="dxa"/>
            </w:tcMar>
            <w:vAlign w:val="center"/>
          </w:tcPr>
          <w:p w14:paraId="68CEE638" w14:textId="77777777" w:rsidR="00165472" w:rsidRPr="000942A3" w:rsidRDefault="00E95977">
            <w:pPr>
              <w:rPr>
                <w:rFonts w:ascii="Arial" w:hAnsi="Arial" w:cs="Arial"/>
                <w:sz w:val="22"/>
                <w:szCs w:val="22"/>
              </w:rPr>
            </w:pPr>
            <w:r w:rsidRPr="000942A3">
              <w:rPr>
                <w:rFonts w:ascii="Arial" w:hAnsi="Arial" w:cs="Arial"/>
                <w:sz w:val="22"/>
                <w:szCs w:val="22"/>
              </w:rPr>
              <w:t>6</w:t>
            </w:r>
          </w:p>
        </w:tc>
        <w:tc>
          <w:tcPr>
            <w:tcW w:w="2350" w:type="pct"/>
            <w:tcMar>
              <w:top w:w="60" w:type="dxa"/>
              <w:left w:w="80" w:type="dxa"/>
              <w:bottom w:w="60" w:type="dxa"/>
              <w:right w:w="80" w:type="dxa"/>
            </w:tcMar>
            <w:vAlign w:val="center"/>
          </w:tcPr>
          <w:p w14:paraId="6462D818" w14:textId="77777777" w:rsidR="00165472" w:rsidRPr="000942A3" w:rsidRDefault="00E95977">
            <w:pPr>
              <w:rPr>
                <w:rFonts w:ascii="Arial" w:hAnsi="Arial" w:cs="Arial"/>
                <w:sz w:val="22"/>
                <w:szCs w:val="22"/>
              </w:rPr>
            </w:pPr>
            <w:r w:rsidRPr="000942A3">
              <w:rPr>
                <w:rFonts w:ascii="Arial" w:hAnsi="Arial" w:cs="Arial"/>
                <w:sz w:val="22"/>
                <w:szCs w:val="22"/>
              </w:rPr>
              <w:t>Does BSI/AC behavior generalize to an independent external Peruvian hospital?</w:t>
            </w:r>
          </w:p>
        </w:tc>
        <w:tc>
          <w:tcPr>
            <w:tcW w:w="2350" w:type="pct"/>
            <w:tcMar>
              <w:top w:w="60" w:type="dxa"/>
              <w:left w:w="80" w:type="dxa"/>
              <w:bottom w:w="60" w:type="dxa"/>
              <w:right w:w="80" w:type="dxa"/>
            </w:tcMar>
            <w:vAlign w:val="center"/>
          </w:tcPr>
          <w:p w14:paraId="3F09042F" w14:textId="77777777" w:rsidR="00165472" w:rsidRPr="000942A3" w:rsidRDefault="00E95977">
            <w:pPr>
              <w:rPr>
                <w:rFonts w:ascii="Arial" w:hAnsi="Arial" w:cs="Arial"/>
                <w:sz w:val="22"/>
                <w:szCs w:val="22"/>
              </w:rPr>
            </w:pPr>
            <w:r w:rsidRPr="000942A3">
              <w:rPr>
                <w:rFonts w:ascii="Arial" w:hAnsi="Arial" w:cs="Arial"/>
                <w:sz w:val="22"/>
                <w:szCs w:val="22"/>
              </w:rPr>
              <w:t>Retrospective external validation on an independent hospital's EHR (primary: Seguín Escobedo; secondary: Almenara) + XAI + TRL 4-5.</w:t>
            </w:r>
          </w:p>
        </w:tc>
      </w:tr>
    </w:tbl>
    <w:p w14:paraId="06C2C0C3" w14:textId="77777777" w:rsidR="00165472" w:rsidRPr="000942A3" w:rsidRDefault="00E95977">
      <w:pPr>
        <w:spacing w:after="200" w:line="258" w:lineRule="auto"/>
        <w:rPr>
          <w:rFonts w:ascii="Arial" w:hAnsi="Arial" w:cs="Arial"/>
          <w:sz w:val="22"/>
          <w:szCs w:val="22"/>
        </w:rPr>
      </w:pPr>
      <w:r w:rsidRPr="000942A3">
        <w:rPr>
          <w:rFonts w:ascii="Arial" w:hAnsi="Arial" w:cs="Arial"/>
          <w:sz w:val="22"/>
          <w:szCs w:val="22"/>
        </w:rPr>
        <w:t>Research questions rather than formal null-hypothesis tests, because the declared paradigm is Design Science Research; PE3 additionally carries one prespecified directional prediction of the BSH (Δβ &gt; 0, Section 6.4.4), tested with a one-sided calibrated test. PE3 is the primary confirmatory analysis — direct test of the BSH's Prediction 1; PE1, PE2, PE4, PE5, PE6 are secondary/exploratory, including the distal NCD outcome (with biological aging addressed conceptually, Section 6.6) as the chain's terminus. The Spanish NLP module remains an enabling component within the Methodology, not an independent research question.</w:t>
      </w:r>
    </w:p>
    <w:p w14:paraId="7869ADBC" w14:textId="77777777" w:rsidR="00165472" w:rsidRPr="000942A3" w:rsidRDefault="00E95977">
      <w:pPr>
        <w:pStyle w:val="Ttulo1"/>
        <w:spacing w:before="220" w:after="100"/>
        <w:rPr>
          <w:rFonts w:ascii="Arial" w:hAnsi="Arial" w:cs="Arial"/>
          <w:sz w:val="22"/>
          <w:szCs w:val="22"/>
        </w:rPr>
      </w:pPr>
      <w:r w:rsidRPr="000942A3">
        <w:rPr>
          <w:rFonts w:ascii="Arial" w:hAnsi="Arial" w:cs="Arial"/>
          <w:b/>
          <w:bCs/>
          <w:sz w:val="22"/>
          <w:szCs w:val="22"/>
        </w:rPr>
        <w:t>6. Methodology</w:t>
      </w:r>
    </w:p>
    <w:p w14:paraId="093B0EA5"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Design Science Research (Hevner et al., 2004), build-evaluate-refine cycle.</w:t>
      </w:r>
    </w:p>
    <w:p w14:paraId="39AD8178"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Contribution hierarchy: </w:t>
      </w:r>
      <w:r w:rsidRPr="000942A3">
        <w:rPr>
          <w:rFonts w:ascii="Arial" w:hAnsi="Arial" w:cs="Arial"/>
          <w:sz w:val="22"/>
          <w:szCs w:val="22"/>
        </w:rPr>
        <w:t>the doctoral core is BSH → BSI → Adaptive Capacity (primary) → Biological Trajectory → NCD (secondary, same cohort; biological aging addressed conceptually, Section 6.6). The Spanish NLP module, XAI, and external validation are enabling components, not independent contributions.</w:t>
      </w:r>
    </w:p>
    <w:p w14:paraId="504CB4E8"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Data: </w:t>
      </w:r>
      <w:r w:rsidRPr="000942A3">
        <w:rPr>
          <w:rFonts w:ascii="Arial" w:hAnsi="Arial" w:cs="Arial"/>
          <w:sz w:val="22"/>
          <w:szCs w:val="22"/>
        </w:rPr>
        <w:t>exclusively HL7 FHIR EHR from Rebagliati — structured data and free-text clinical notes via a Spanish-language NLP module (SNOMED CT/ICD-10; F1≥0.85, engineering benchmark).</w:t>
      </w:r>
    </w:p>
    <w:p w14:paraId="29C4F9BB" w14:textId="77777777" w:rsidR="00165472" w:rsidRPr="000942A3" w:rsidRDefault="00E95977">
      <w:pPr>
        <w:spacing w:before="120" w:after="60"/>
        <w:rPr>
          <w:rFonts w:ascii="Arial" w:hAnsi="Arial" w:cs="Arial"/>
          <w:sz w:val="22"/>
          <w:szCs w:val="22"/>
        </w:rPr>
      </w:pPr>
      <w:r w:rsidRPr="000942A3">
        <w:rPr>
          <w:rFonts w:ascii="Arial" w:hAnsi="Arial" w:cs="Arial"/>
          <w:b/>
          <w:bCs/>
          <w:i/>
          <w:iCs/>
          <w:sz w:val="22"/>
          <w:szCs w:val="22"/>
        </w:rPr>
        <w:t>Table 0. Operationalization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2132"/>
        <w:gridCol w:w="2147"/>
        <w:gridCol w:w="1345"/>
        <w:gridCol w:w="2092"/>
        <w:gridCol w:w="955"/>
      </w:tblGrid>
      <w:tr w:rsidR="00165472" w:rsidRPr="000942A3" w14:paraId="42654390" w14:textId="77777777">
        <w:trPr>
          <w:tblHeader/>
        </w:trPr>
        <w:tc>
          <w:tcPr>
            <w:tcW w:w="700" w:type="pct"/>
            <w:shd w:val="clear" w:color="auto" w:fill="2E3B4E"/>
            <w:tcMar>
              <w:top w:w="60" w:type="dxa"/>
              <w:left w:w="80" w:type="dxa"/>
              <w:bottom w:w="60" w:type="dxa"/>
              <w:right w:w="80" w:type="dxa"/>
            </w:tcMar>
            <w:vAlign w:val="center"/>
          </w:tcPr>
          <w:p w14:paraId="04AD3F6C" w14:textId="77777777" w:rsidR="00165472" w:rsidRPr="000942A3" w:rsidRDefault="00E95977">
            <w:pPr>
              <w:rPr>
                <w:rFonts w:ascii="Arial" w:hAnsi="Arial" w:cs="Arial"/>
                <w:sz w:val="22"/>
                <w:szCs w:val="22"/>
              </w:rPr>
            </w:pPr>
            <w:r w:rsidRPr="000942A3">
              <w:rPr>
                <w:rFonts w:ascii="Arial" w:hAnsi="Arial" w:cs="Arial"/>
                <w:b/>
                <w:bCs/>
                <w:sz w:val="22"/>
                <w:szCs w:val="22"/>
              </w:rPr>
              <w:t>Construct</w:t>
            </w:r>
          </w:p>
        </w:tc>
        <w:tc>
          <w:tcPr>
            <w:tcW w:w="1100" w:type="pct"/>
            <w:shd w:val="clear" w:color="auto" w:fill="2E3B4E"/>
            <w:tcMar>
              <w:top w:w="60" w:type="dxa"/>
              <w:left w:w="80" w:type="dxa"/>
              <w:bottom w:w="60" w:type="dxa"/>
              <w:right w:w="80" w:type="dxa"/>
            </w:tcMar>
            <w:vAlign w:val="center"/>
          </w:tcPr>
          <w:p w14:paraId="0566C677" w14:textId="77777777" w:rsidR="00165472" w:rsidRPr="000942A3" w:rsidRDefault="00E95977">
            <w:pPr>
              <w:rPr>
                <w:rFonts w:ascii="Arial" w:hAnsi="Arial" w:cs="Arial"/>
                <w:sz w:val="22"/>
                <w:szCs w:val="22"/>
              </w:rPr>
            </w:pPr>
            <w:r w:rsidRPr="000942A3">
              <w:rPr>
                <w:rFonts w:ascii="Arial" w:hAnsi="Arial" w:cs="Arial"/>
                <w:b/>
                <w:bCs/>
                <w:sz w:val="22"/>
                <w:szCs w:val="22"/>
              </w:rPr>
              <w:t>Definition</w:t>
            </w:r>
          </w:p>
        </w:tc>
        <w:tc>
          <w:tcPr>
            <w:tcW w:w="1100" w:type="pct"/>
            <w:shd w:val="clear" w:color="auto" w:fill="2E3B4E"/>
            <w:tcMar>
              <w:top w:w="60" w:type="dxa"/>
              <w:left w:w="80" w:type="dxa"/>
              <w:bottom w:w="60" w:type="dxa"/>
              <w:right w:w="80" w:type="dxa"/>
            </w:tcMar>
            <w:vAlign w:val="center"/>
          </w:tcPr>
          <w:p w14:paraId="52D8677F" w14:textId="77777777" w:rsidR="00165472" w:rsidRPr="000942A3" w:rsidRDefault="00E95977">
            <w:pPr>
              <w:rPr>
                <w:rFonts w:ascii="Arial" w:hAnsi="Arial" w:cs="Arial"/>
                <w:sz w:val="22"/>
                <w:szCs w:val="22"/>
              </w:rPr>
            </w:pPr>
            <w:r w:rsidRPr="000942A3">
              <w:rPr>
                <w:rFonts w:ascii="Arial" w:hAnsi="Arial" w:cs="Arial"/>
                <w:b/>
                <w:bCs/>
                <w:sz w:val="22"/>
                <w:szCs w:val="22"/>
              </w:rPr>
              <w:t>Variables</w:t>
            </w:r>
          </w:p>
        </w:tc>
        <w:tc>
          <w:tcPr>
            <w:tcW w:w="700" w:type="pct"/>
            <w:shd w:val="clear" w:color="auto" w:fill="2E3B4E"/>
            <w:tcMar>
              <w:top w:w="60" w:type="dxa"/>
              <w:left w:w="80" w:type="dxa"/>
              <w:bottom w:w="60" w:type="dxa"/>
              <w:right w:w="80" w:type="dxa"/>
            </w:tcMar>
            <w:vAlign w:val="center"/>
          </w:tcPr>
          <w:p w14:paraId="530749AE" w14:textId="77777777" w:rsidR="00165472" w:rsidRPr="000942A3" w:rsidRDefault="00E95977">
            <w:pPr>
              <w:rPr>
                <w:rFonts w:ascii="Arial" w:hAnsi="Arial" w:cs="Arial"/>
                <w:sz w:val="22"/>
                <w:szCs w:val="22"/>
              </w:rPr>
            </w:pPr>
            <w:r w:rsidRPr="000942A3">
              <w:rPr>
                <w:rFonts w:ascii="Arial" w:hAnsi="Arial" w:cs="Arial"/>
                <w:b/>
                <w:bCs/>
                <w:sz w:val="22"/>
                <w:szCs w:val="22"/>
              </w:rPr>
              <w:t>Time point</w:t>
            </w:r>
          </w:p>
        </w:tc>
        <w:tc>
          <w:tcPr>
            <w:tcW w:w="1000" w:type="pct"/>
            <w:shd w:val="clear" w:color="auto" w:fill="2E3B4E"/>
            <w:tcMar>
              <w:top w:w="60" w:type="dxa"/>
              <w:left w:w="80" w:type="dxa"/>
              <w:bottom w:w="60" w:type="dxa"/>
              <w:right w:w="80" w:type="dxa"/>
            </w:tcMar>
            <w:vAlign w:val="center"/>
          </w:tcPr>
          <w:p w14:paraId="59A26A2E" w14:textId="77777777" w:rsidR="00165472" w:rsidRPr="000942A3" w:rsidRDefault="00E95977">
            <w:pPr>
              <w:rPr>
                <w:rFonts w:ascii="Arial" w:hAnsi="Arial" w:cs="Arial"/>
                <w:sz w:val="22"/>
                <w:szCs w:val="22"/>
              </w:rPr>
            </w:pPr>
            <w:r w:rsidRPr="000942A3">
              <w:rPr>
                <w:rFonts w:ascii="Arial" w:hAnsi="Arial" w:cs="Arial"/>
                <w:b/>
                <w:bCs/>
                <w:sz w:val="22"/>
                <w:szCs w:val="22"/>
              </w:rPr>
              <w:t>Method</w:t>
            </w:r>
          </w:p>
        </w:tc>
        <w:tc>
          <w:tcPr>
            <w:tcW w:w="400" w:type="pct"/>
            <w:shd w:val="clear" w:color="auto" w:fill="2E3B4E"/>
            <w:tcMar>
              <w:top w:w="60" w:type="dxa"/>
              <w:left w:w="80" w:type="dxa"/>
              <w:bottom w:w="60" w:type="dxa"/>
              <w:right w:w="80" w:type="dxa"/>
            </w:tcMar>
            <w:vAlign w:val="center"/>
          </w:tcPr>
          <w:p w14:paraId="46D05BF9" w14:textId="77777777" w:rsidR="00165472" w:rsidRPr="000942A3" w:rsidRDefault="00E95977">
            <w:pPr>
              <w:rPr>
                <w:rFonts w:ascii="Arial" w:hAnsi="Arial" w:cs="Arial"/>
                <w:sz w:val="22"/>
                <w:szCs w:val="22"/>
              </w:rPr>
            </w:pPr>
            <w:r w:rsidRPr="000942A3">
              <w:rPr>
                <w:rFonts w:ascii="Arial" w:hAnsi="Arial" w:cs="Arial"/>
                <w:b/>
                <w:bCs/>
                <w:sz w:val="22"/>
                <w:szCs w:val="22"/>
              </w:rPr>
              <w:t>Section</w:t>
            </w:r>
          </w:p>
        </w:tc>
      </w:tr>
      <w:tr w:rsidR="00165472" w:rsidRPr="000942A3" w14:paraId="099C2F50" w14:textId="77777777">
        <w:tc>
          <w:tcPr>
            <w:tcW w:w="700" w:type="pct"/>
            <w:tcMar>
              <w:top w:w="60" w:type="dxa"/>
              <w:left w:w="80" w:type="dxa"/>
              <w:bottom w:w="60" w:type="dxa"/>
              <w:right w:w="80" w:type="dxa"/>
            </w:tcMar>
            <w:vAlign w:val="center"/>
          </w:tcPr>
          <w:p w14:paraId="41DDB890" w14:textId="77777777" w:rsidR="00165472" w:rsidRPr="000942A3" w:rsidRDefault="00E95977">
            <w:pPr>
              <w:rPr>
                <w:rFonts w:ascii="Arial" w:hAnsi="Arial" w:cs="Arial"/>
                <w:sz w:val="22"/>
                <w:szCs w:val="22"/>
              </w:rPr>
            </w:pPr>
            <w:r w:rsidRPr="000942A3">
              <w:rPr>
                <w:rFonts w:ascii="Arial" w:hAnsi="Arial" w:cs="Arial"/>
                <w:sz w:val="22"/>
                <w:szCs w:val="22"/>
              </w:rPr>
              <w:t>Biological State</w:t>
            </w:r>
          </w:p>
        </w:tc>
        <w:tc>
          <w:tcPr>
            <w:tcW w:w="1100" w:type="pct"/>
            <w:tcMar>
              <w:top w:w="60" w:type="dxa"/>
              <w:left w:w="80" w:type="dxa"/>
              <w:bottom w:w="60" w:type="dxa"/>
              <w:right w:w="80" w:type="dxa"/>
            </w:tcMar>
            <w:vAlign w:val="center"/>
          </w:tcPr>
          <w:p w14:paraId="71FE5090" w14:textId="77777777" w:rsidR="00165472" w:rsidRPr="000942A3" w:rsidRDefault="00E95977">
            <w:pPr>
              <w:rPr>
                <w:rFonts w:ascii="Arial" w:hAnsi="Arial" w:cs="Arial"/>
                <w:sz w:val="22"/>
                <w:szCs w:val="22"/>
              </w:rPr>
            </w:pPr>
            <w:r w:rsidRPr="000942A3">
              <w:rPr>
                <w:rFonts w:ascii="Arial" w:hAnsi="Arial" w:cs="Arial"/>
                <w:sz w:val="22"/>
                <w:szCs w:val="22"/>
              </w:rPr>
              <w:t>Integrative systemic state</w:t>
            </w:r>
          </w:p>
        </w:tc>
        <w:tc>
          <w:tcPr>
            <w:tcW w:w="1100" w:type="pct"/>
            <w:tcMar>
              <w:top w:w="60" w:type="dxa"/>
              <w:left w:w="80" w:type="dxa"/>
              <w:bottom w:w="60" w:type="dxa"/>
              <w:right w:w="80" w:type="dxa"/>
            </w:tcMar>
            <w:vAlign w:val="center"/>
          </w:tcPr>
          <w:p w14:paraId="4465A5DD" w14:textId="77777777" w:rsidR="00165472" w:rsidRPr="000942A3" w:rsidRDefault="00E95977">
            <w:pPr>
              <w:rPr>
                <w:rFonts w:ascii="Arial" w:hAnsi="Arial" w:cs="Arial"/>
                <w:sz w:val="22"/>
                <w:szCs w:val="22"/>
              </w:rPr>
            </w:pPr>
            <w:r w:rsidRPr="000942A3">
              <w:rPr>
                <w:rFonts w:ascii="Arial" w:hAnsi="Arial" w:cs="Arial"/>
                <w:sz w:val="22"/>
                <w:szCs w:val="22"/>
              </w:rPr>
              <w:t>SR, M, BP domain variables</w:t>
            </w:r>
          </w:p>
        </w:tc>
        <w:tc>
          <w:tcPr>
            <w:tcW w:w="700" w:type="pct"/>
            <w:tcMar>
              <w:top w:w="60" w:type="dxa"/>
              <w:left w:w="80" w:type="dxa"/>
              <w:bottom w:w="60" w:type="dxa"/>
              <w:right w:w="80" w:type="dxa"/>
            </w:tcMar>
            <w:vAlign w:val="center"/>
          </w:tcPr>
          <w:p w14:paraId="0A98EB60" w14:textId="77777777" w:rsidR="00165472" w:rsidRPr="000942A3" w:rsidRDefault="00E95977">
            <w:pPr>
              <w:rPr>
                <w:rFonts w:ascii="Arial" w:hAnsi="Arial" w:cs="Arial"/>
                <w:sz w:val="22"/>
                <w:szCs w:val="22"/>
              </w:rPr>
            </w:pPr>
            <w:r w:rsidRPr="000942A3">
              <w:rPr>
                <w:rFonts w:ascii="Arial" w:hAnsi="Arial" w:cs="Arial"/>
                <w:sz w:val="22"/>
                <w:szCs w:val="22"/>
              </w:rPr>
              <w:t>Baseline (pre-perturbation window)</w:t>
            </w:r>
          </w:p>
        </w:tc>
        <w:tc>
          <w:tcPr>
            <w:tcW w:w="1000" w:type="pct"/>
            <w:tcMar>
              <w:top w:w="60" w:type="dxa"/>
              <w:left w:w="80" w:type="dxa"/>
              <w:bottom w:w="60" w:type="dxa"/>
              <w:right w:w="80" w:type="dxa"/>
            </w:tcMar>
            <w:vAlign w:val="center"/>
          </w:tcPr>
          <w:p w14:paraId="278A7E6B" w14:textId="77777777" w:rsidR="00165472" w:rsidRPr="000942A3" w:rsidRDefault="00E95977">
            <w:pPr>
              <w:rPr>
                <w:rFonts w:ascii="Arial" w:hAnsi="Arial" w:cs="Arial"/>
                <w:sz w:val="22"/>
                <w:szCs w:val="22"/>
              </w:rPr>
            </w:pPr>
            <w:r w:rsidRPr="000942A3">
              <w:rPr>
                <w:rFonts w:ascii="Arial" w:hAnsi="Arial" w:cs="Arial"/>
                <w:sz w:val="22"/>
                <w:szCs w:val="22"/>
              </w:rPr>
              <w:t>BSI computation (Layers 1–3)</w:t>
            </w:r>
          </w:p>
        </w:tc>
        <w:tc>
          <w:tcPr>
            <w:tcW w:w="400" w:type="pct"/>
            <w:tcMar>
              <w:top w:w="60" w:type="dxa"/>
              <w:left w:w="80" w:type="dxa"/>
              <w:bottom w:w="60" w:type="dxa"/>
              <w:right w:w="80" w:type="dxa"/>
            </w:tcMar>
            <w:vAlign w:val="center"/>
          </w:tcPr>
          <w:p w14:paraId="07209FB9" w14:textId="77777777" w:rsidR="00165472" w:rsidRPr="000942A3" w:rsidRDefault="00E95977">
            <w:pPr>
              <w:rPr>
                <w:rFonts w:ascii="Arial" w:hAnsi="Arial" w:cs="Arial"/>
                <w:sz w:val="22"/>
                <w:szCs w:val="22"/>
              </w:rPr>
            </w:pPr>
            <w:r w:rsidRPr="000942A3">
              <w:rPr>
                <w:rFonts w:ascii="Arial" w:hAnsi="Arial" w:cs="Arial"/>
                <w:sz w:val="22"/>
                <w:szCs w:val="22"/>
              </w:rPr>
              <w:t>6.1–6.3</w:t>
            </w:r>
          </w:p>
        </w:tc>
      </w:tr>
      <w:tr w:rsidR="00165472" w:rsidRPr="000942A3" w14:paraId="3DA8B725" w14:textId="77777777">
        <w:tc>
          <w:tcPr>
            <w:tcW w:w="700" w:type="pct"/>
            <w:tcMar>
              <w:top w:w="60" w:type="dxa"/>
              <w:left w:w="80" w:type="dxa"/>
              <w:bottom w:w="60" w:type="dxa"/>
              <w:right w:w="80" w:type="dxa"/>
            </w:tcMar>
            <w:vAlign w:val="center"/>
          </w:tcPr>
          <w:p w14:paraId="47CFBEE4" w14:textId="77777777" w:rsidR="00165472" w:rsidRPr="000942A3" w:rsidRDefault="00E95977">
            <w:pPr>
              <w:rPr>
                <w:rFonts w:ascii="Arial" w:hAnsi="Arial" w:cs="Arial"/>
                <w:sz w:val="22"/>
                <w:szCs w:val="22"/>
              </w:rPr>
            </w:pPr>
            <w:r w:rsidRPr="000942A3">
              <w:rPr>
                <w:rFonts w:ascii="Arial" w:hAnsi="Arial" w:cs="Arial"/>
                <w:sz w:val="22"/>
                <w:szCs w:val="22"/>
              </w:rPr>
              <w:t>Perturbation</w:t>
            </w:r>
          </w:p>
        </w:tc>
        <w:tc>
          <w:tcPr>
            <w:tcW w:w="1100" w:type="pct"/>
            <w:tcMar>
              <w:top w:w="60" w:type="dxa"/>
              <w:left w:w="80" w:type="dxa"/>
              <w:bottom w:w="60" w:type="dxa"/>
              <w:right w:w="80" w:type="dxa"/>
            </w:tcMar>
            <w:vAlign w:val="center"/>
          </w:tcPr>
          <w:p w14:paraId="07DB1ED4" w14:textId="77777777" w:rsidR="00165472" w:rsidRPr="000942A3" w:rsidRDefault="00E95977">
            <w:pPr>
              <w:rPr>
                <w:rFonts w:ascii="Arial" w:hAnsi="Arial" w:cs="Arial"/>
                <w:sz w:val="22"/>
                <w:szCs w:val="22"/>
              </w:rPr>
            </w:pPr>
            <w:r w:rsidRPr="000942A3">
              <w:rPr>
                <w:rFonts w:ascii="Arial" w:hAnsi="Arial" w:cs="Arial"/>
                <w:sz w:val="22"/>
                <w:szCs w:val="22"/>
              </w:rPr>
              <w:t>Documented physiological demand</w:t>
            </w:r>
          </w:p>
        </w:tc>
        <w:tc>
          <w:tcPr>
            <w:tcW w:w="1100" w:type="pct"/>
            <w:tcMar>
              <w:top w:w="60" w:type="dxa"/>
              <w:left w:w="80" w:type="dxa"/>
              <w:bottom w:w="60" w:type="dxa"/>
              <w:right w:w="80" w:type="dxa"/>
            </w:tcMar>
            <w:vAlign w:val="center"/>
          </w:tcPr>
          <w:p w14:paraId="7C3A5100" w14:textId="77777777" w:rsidR="00165472" w:rsidRPr="000942A3" w:rsidRDefault="00E95977">
            <w:pPr>
              <w:rPr>
                <w:rFonts w:ascii="Arial" w:hAnsi="Arial" w:cs="Arial"/>
                <w:sz w:val="22"/>
                <w:szCs w:val="22"/>
              </w:rPr>
            </w:pPr>
            <w:r w:rsidRPr="000942A3">
              <w:rPr>
                <w:rFonts w:ascii="Arial" w:hAnsi="Arial" w:cs="Arial"/>
                <w:sz w:val="22"/>
                <w:szCs w:val="22"/>
              </w:rPr>
              <w:t>EHR-coded event meeting eligibility criteria</w:t>
            </w:r>
          </w:p>
        </w:tc>
        <w:tc>
          <w:tcPr>
            <w:tcW w:w="700" w:type="pct"/>
            <w:tcMar>
              <w:top w:w="60" w:type="dxa"/>
              <w:left w:w="80" w:type="dxa"/>
              <w:bottom w:w="60" w:type="dxa"/>
              <w:right w:w="80" w:type="dxa"/>
            </w:tcMar>
            <w:vAlign w:val="center"/>
          </w:tcPr>
          <w:p w14:paraId="644270B9" w14:textId="77777777" w:rsidR="00165472" w:rsidRPr="000942A3" w:rsidRDefault="00E95977">
            <w:pPr>
              <w:rPr>
                <w:rFonts w:ascii="Arial" w:hAnsi="Arial" w:cs="Arial"/>
                <w:sz w:val="22"/>
                <w:szCs w:val="22"/>
              </w:rPr>
            </w:pPr>
            <w:r w:rsidRPr="000942A3">
              <w:rPr>
                <w:rFonts w:ascii="Arial" w:hAnsi="Arial" w:cs="Arial"/>
                <w:sz w:val="22"/>
                <w:szCs w:val="22"/>
              </w:rPr>
              <w:t>T0 (event onset)</w:t>
            </w:r>
          </w:p>
        </w:tc>
        <w:tc>
          <w:tcPr>
            <w:tcW w:w="1000" w:type="pct"/>
            <w:tcMar>
              <w:top w:w="60" w:type="dxa"/>
              <w:left w:w="80" w:type="dxa"/>
              <w:bottom w:w="60" w:type="dxa"/>
              <w:right w:w="80" w:type="dxa"/>
            </w:tcMar>
            <w:vAlign w:val="center"/>
          </w:tcPr>
          <w:p w14:paraId="63EB4F7B" w14:textId="77777777" w:rsidR="00165472" w:rsidRPr="000942A3" w:rsidRDefault="00E95977">
            <w:pPr>
              <w:rPr>
                <w:rFonts w:ascii="Arial" w:hAnsi="Arial" w:cs="Arial"/>
                <w:sz w:val="22"/>
                <w:szCs w:val="22"/>
              </w:rPr>
            </w:pPr>
            <w:r w:rsidRPr="000942A3">
              <w:rPr>
                <w:rFonts w:ascii="Arial" w:hAnsi="Arial" w:cs="Arial"/>
                <w:sz w:val="22"/>
                <w:szCs w:val="22"/>
              </w:rPr>
              <w:t>Predefined eligibility criteria</w:t>
            </w:r>
          </w:p>
        </w:tc>
        <w:tc>
          <w:tcPr>
            <w:tcW w:w="400" w:type="pct"/>
            <w:tcMar>
              <w:top w:w="60" w:type="dxa"/>
              <w:left w:w="80" w:type="dxa"/>
              <w:bottom w:w="60" w:type="dxa"/>
              <w:right w:w="80" w:type="dxa"/>
            </w:tcMar>
            <w:vAlign w:val="center"/>
          </w:tcPr>
          <w:p w14:paraId="55551F90" w14:textId="77777777" w:rsidR="00165472" w:rsidRPr="000942A3" w:rsidRDefault="00E95977">
            <w:pPr>
              <w:rPr>
                <w:rFonts w:ascii="Arial" w:hAnsi="Arial" w:cs="Arial"/>
                <w:sz w:val="22"/>
                <w:szCs w:val="22"/>
              </w:rPr>
            </w:pPr>
            <w:r w:rsidRPr="000942A3">
              <w:rPr>
                <w:rFonts w:ascii="Arial" w:hAnsi="Arial" w:cs="Arial"/>
                <w:sz w:val="22"/>
                <w:szCs w:val="22"/>
              </w:rPr>
              <w:t>6.4.1</w:t>
            </w:r>
          </w:p>
        </w:tc>
      </w:tr>
      <w:tr w:rsidR="00165472" w:rsidRPr="000942A3" w14:paraId="3ED7C874" w14:textId="77777777">
        <w:tc>
          <w:tcPr>
            <w:tcW w:w="700" w:type="pct"/>
            <w:tcMar>
              <w:top w:w="60" w:type="dxa"/>
              <w:left w:w="80" w:type="dxa"/>
              <w:bottom w:w="60" w:type="dxa"/>
              <w:right w:w="80" w:type="dxa"/>
            </w:tcMar>
            <w:vAlign w:val="center"/>
          </w:tcPr>
          <w:p w14:paraId="0C86EC7F" w14:textId="77777777" w:rsidR="00165472" w:rsidRPr="000942A3" w:rsidRDefault="00E95977">
            <w:pPr>
              <w:rPr>
                <w:rFonts w:ascii="Arial" w:hAnsi="Arial" w:cs="Arial"/>
                <w:sz w:val="22"/>
                <w:szCs w:val="22"/>
              </w:rPr>
            </w:pPr>
            <w:r w:rsidRPr="000942A3">
              <w:rPr>
                <w:rFonts w:ascii="Arial" w:hAnsi="Arial" w:cs="Arial"/>
                <w:sz w:val="22"/>
                <w:szCs w:val="22"/>
              </w:rPr>
              <w:t>Recovery</w:t>
            </w:r>
          </w:p>
        </w:tc>
        <w:tc>
          <w:tcPr>
            <w:tcW w:w="1100" w:type="pct"/>
            <w:tcMar>
              <w:top w:w="60" w:type="dxa"/>
              <w:left w:w="80" w:type="dxa"/>
              <w:bottom w:w="60" w:type="dxa"/>
              <w:right w:w="80" w:type="dxa"/>
            </w:tcMar>
            <w:vAlign w:val="center"/>
          </w:tcPr>
          <w:p w14:paraId="2F2B86C0" w14:textId="77777777" w:rsidR="00165472" w:rsidRPr="000942A3" w:rsidRDefault="00E95977">
            <w:pPr>
              <w:rPr>
                <w:rFonts w:ascii="Arial" w:hAnsi="Arial" w:cs="Arial"/>
                <w:sz w:val="22"/>
                <w:szCs w:val="22"/>
              </w:rPr>
            </w:pPr>
            <w:r w:rsidRPr="000942A3">
              <w:rPr>
                <w:rFonts w:ascii="Arial" w:hAnsi="Arial" w:cs="Arial"/>
                <w:sz w:val="22"/>
                <w:szCs w:val="22"/>
              </w:rPr>
              <w:t>Post-event return toward baseline</w:t>
            </w:r>
          </w:p>
        </w:tc>
        <w:tc>
          <w:tcPr>
            <w:tcW w:w="1100" w:type="pct"/>
            <w:tcMar>
              <w:top w:w="60" w:type="dxa"/>
              <w:left w:w="80" w:type="dxa"/>
              <w:bottom w:w="60" w:type="dxa"/>
              <w:right w:w="80" w:type="dxa"/>
            </w:tcMar>
            <w:vAlign w:val="center"/>
          </w:tcPr>
          <w:p w14:paraId="33DD3996" w14:textId="77777777" w:rsidR="00165472" w:rsidRPr="000942A3" w:rsidRDefault="00E95977">
            <w:pPr>
              <w:rPr>
                <w:rFonts w:ascii="Arial" w:hAnsi="Arial" w:cs="Arial"/>
                <w:sz w:val="22"/>
                <w:szCs w:val="22"/>
              </w:rPr>
            </w:pPr>
            <w:r w:rsidRPr="000942A3">
              <w:rPr>
                <w:rFonts w:ascii="Arial" w:hAnsi="Arial" w:cs="Arial"/>
                <w:sz w:val="22"/>
                <w:szCs w:val="22"/>
              </w:rPr>
              <w:t>BSI trajectory, T0 to T0+W</w:t>
            </w:r>
          </w:p>
        </w:tc>
        <w:tc>
          <w:tcPr>
            <w:tcW w:w="700" w:type="pct"/>
            <w:tcMar>
              <w:top w:w="60" w:type="dxa"/>
              <w:left w:w="80" w:type="dxa"/>
              <w:bottom w:w="60" w:type="dxa"/>
              <w:right w:w="80" w:type="dxa"/>
            </w:tcMar>
            <w:vAlign w:val="center"/>
          </w:tcPr>
          <w:p w14:paraId="48F6EE0F" w14:textId="77777777" w:rsidR="00165472" w:rsidRPr="000942A3" w:rsidRDefault="00E95977">
            <w:pPr>
              <w:rPr>
                <w:rFonts w:ascii="Arial" w:hAnsi="Arial" w:cs="Arial"/>
                <w:sz w:val="22"/>
                <w:szCs w:val="22"/>
              </w:rPr>
            </w:pPr>
            <w:r w:rsidRPr="000942A3">
              <w:rPr>
                <w:rFonts w:ascii="Arial" w:hAnsi="Arial" w:cs="Arial"/>
                <w:sz w:val="22"/>
                <w:szCs w:val="22"/>
              </w:rPr>
              <w:t>T0 to T0+W</w:t>
            </w:r>
          </w:p>
        </w:tc>
        <w:tc>
          <w:tcPr>
            <w:tcW w:w="1000" w:type="pct"/>
            <w:tcMar>
              <w:top w:w="60" w:type="dxa"/>
              <w:left w:w="80" w:type="dxa"/>
              <w:bottom w:w="60" w:type="dxa"/>
              <w:right w:w="80" w:type="dxa"/>
            </w:tcMar>
            <w:vAlign w:val="center"/>
          </w:tcPr>
          <w:p w14:paraId="441782A0" w14:textId="77777777" w:rsidR="00165472" w:rsidRPr="000942A3" w:rsidRDefault="00E95977">
            <w:pPr>
              <w:rPr>
                <w:rFonts w:ascii="Arial" w:hAnsi="Arial" w:cs="Arial"/>
                <w:sz w:val="22"/>
                <w:szCs w:val="22"/>
              </w:rPr>
            </w:pPr>
            <w:r w:rsidRPr="000942A3">
              <w:rPr>
                <w:rFonts w:ascii="Arial" w:hAnsi="Arial" w:cs="Arial"/>
                <w:sz w:val="22"/>
                <w:szCs w:val="22"/>
              </w:rPr>
              <w:t>Recovery-window algorithm</w:t>
            </w:r>
          </w:p>
        </w:tc>
        <w:tc>
          <w:tcPr>
            <w:tcW w:w="400" w:type="pct"/>
            <w:tcMar>
              <w:top w:w="60" w:type="dxa"/>
              <w:left w:w="80" w:type="dxa"/>
              <w:bottom w:w="60" w:type="dxa"/>
              <w:right w:w="80" w:type="dxa"/>
            </w:tcMar>
            <w:vAlign w:val="center"/>
          </w:tcPr>
          <w:p w14:paraId="54FB1169" w14:textId="77777777" w:rsidR="00165472" w:rsidRPr="000942A3" w:rsidRDefault="00E95977">
            <w:pPr>
              <w:rPr>
                <w:rFonts w:ascii="Arial" w:hAnsi="Arial" w:cs="Arial"/>
                <w:sz w:val="22"/>
                <w:szCs w:val="22"/>
              </w:rPr>
            </w:pPr>
            <w:r w:rsidRPr="000942A3">
              <w:rPr>
                <w:rFonts w:ascii="Arial" w:hAnsi="Arial" w:cs="Arial"/>
                <w:sz w:val="22"/>
                <w:szCs w:val="22"/>
              </w:rPr>
              <w:t>6.4.2</w:t>
            </w:r>
          </w:p>
        </w:tc>
      </w:tr>
      <w:tr w:rsidR="00165472" w:rsidRPr="000942A3" w14:paraId="58473F77" w14:textId="77777777">
        <w:tc>
          <w:tcPr>
            <w:tcW w:w="700" w:type="pct"/>
            <w:tcMar>
              <w:top w:w="60" w:type="dxa"/>
              <w:left w:w="80" w:type="dxa"/>
              <w:bottom w:w="60" w:type="dxa"/>
              <w:right w:w="80" w:type="dxa"/>
            </w:tcMar>
            <w:vAlign w:val="center"/>
          </w:tcPr>
          <w:p w14:paraId="7731E5C6" w14:textId="77777777" w:rsidR="00165472" w:rsidRPr="000942A3" w:rsidRDefault="00E95977">
            <w:pPr>
              <w:rPr>
                <w:rFonts w:ascii="Arial" w:hAnsi="Arial" w:cs="Arial"/>
                <w:sz w:val="22"/>
                <w:szCs w:val="22"/>
              </w:rPr>
            </w:pPr>
            <w:r w:rsidRPr="000942A3">
              <w:rPr>
                <w:rFonts w:ascii="Arial" w:hAnsi="Arial" w:cs="Arial"/>
                <w:sz w:val="22"/>
                <w:szCs w:val="22"/>
              </w:rPr>
              <w:t>Adaptive Capacity</w:t>
            </w:r>
          </w:p>
        </w:tc>
        <w:tc>
          <w:tcPr>
            <w:tcW w:w="1100" w:type="pct"/>
            <w:tcMar>
              <w:top w:w="60" w:type="dxa"/>
              <w:left w:w="80" w:type="dxa"/>
              <w:bottom w:w="60" w:type="dxa"/>
              <w:right w:w="80" w:type="dxa"/>
            </w:tcMar>
            <w:vAlign w:val="center"/>
          </w:tcPr>
          <w:p w14:paraId="5048E2C0" w14:textId="77777777" w:rsidR="00165472" w:rsidRPr="000942A3" w:rsidRDefault="00E95977">
            <w:pPr>
              <w:rPr>
                <w:rFonts w:ascii="Arial" w:hAnsi="Arial" w:cs="Arial"/>
                <w:sz w:val="22"/>
                <w:szCs w:val="22"/>
              </w:rPr>
            </w:pPr>
            <w:r w:rsidRPr="000942A3">
              <w:rPr>
                <w:rFonts w:ascii="Arial" w:hAnsi="Arial" w:cs="Arial"/>
                <w:sz w:val="22"/>
                <w:szCs w:val="22"/>
              </w:rPr>
              <w:t>Residual recovery relative to population expectation</w:t>
            </w:r>
          </w:p>
        </w:tc>
        <w:tc>
          <w:tcPr>
            <w:tcW w:w="1100" w:type="pct"/>
            <w:tcMar>
              <w:top w:w="60" w:type="dxa"/>
              <w:left w:w="80" w:type="dxa"/>
              <w:bottom w:w="60" w:type="dxa"/>
              <w:right w:w="80" w:type="dxa"/>
            </w:tcMar>
            <w:vAlign w:val="center"/>
          </w:tcPr>
          <w:p w14:paraId="172FC954" w14:textId="77777777" w:rsidR="00165472" w:rsidRPr="000942A3" w:rsidRDefault="00E95977">
            <w:pPr>
              <w:rPr>
                <w:rFonts w:ascii="Arial" w:hAnsi="Arial" w:cs="Arial"/>
                <w:sz w:val="22"/>
                <w:szCs w:val="22"/>
              </w:rPr>
            </w:pPr>
            <w:r w:rsidRPr="000942A3">
              <w:rPr>
                <w:rFonts w:ascii="Arial" w:hAnsi="Arial" w:cs="Arial"/>
                <w:sz w:val="22"/>
                <w:szCs w:val="22"/>
              </w:rPr>
              <w:t>Rᵢ, Ê[R|Sᵢ,Xᵢ], ACᵢ</w:t>
            </w:r>
          </w:p>
        </w:tc>
        <w:tc>
          <w:tcPr>
            <w:tcW w:w="700" w:type="pct"/>
            <w:tcMar>
              <w:top w:w="60" w:type="dxa"/>
              <w:left w:w="80" w:type="dxa"/>
              <w:bottom w:w="60" w:type="dxa"/>
              <w:right w:w="80" w:type="dxa"/>
            </w:tcMar>
            <w:vAlign w:val="center"/>
          </w:tcPr>
          <w:p w14:paraId="1F4B4C5F" w14:textId="77777777" w:rsidR="00165472" w:rsidRPr="000942A3" w:rsidRDefault="00E95977">
            <w:pPr>
              <w:rPr>
                <w:rFonts w:ascii="Arial" w:hAnsi="Arial" w:cs="Arial"/>
                <w:sz w:val="22"/>
                <w:szCs w:val="22"/>
              </w:rPr>
            </w:pPr>
            <w:r w:rsidRPr="000942A3">
              <w:rPr>
                <w:rFonts w:ascii="Arial" w:hAnsi="Arial" w:cs="Arial"/>
                <w:sz w:val="22"/>
                <w:szCs w:val="22"/>
              </w:rPr>
              <w:t>End of recovery window</w:t>
            </w:r>
          </w:p>
        </w:tc>
        <w:tc>
          <w:tcPr>
            <w:tcW w:w="1000" w:type="pct"/>
            <w:tcMar>
              <w:top w:w="60" w:type="dxa"/>
              <w:left w:w="80" w:type="dxa"/>
              <w:bottom w:w="60" w:type="dxa"/>
              <w:right w:w="80" w:type="dxa"/>
            </w:tcMar>
            <w:vAlign w:val="center"/>
          </w:tcPr>
          <w:p w14:paraId="26BD9C79" w14:textId="77777777" w:rsidR="00165472" w:rsidRPr="000942A3" w:rsidRDefault="00E95977">
            <w:pPr>
              <w:rPr>
                <w:rFonts w:ascii="Arial" w:hAnsi="Arial" w:cs="Arial"/>
                <w:sz w:val="22"/>
                <w:szCs w:val="22"/>
              </w:rPr>
            </w:pPr>
            <w:r w:rsidRPr="000942A3">
              <w:rPr>
                <w:rFonts w:ascii="Arial" w:hAnsi="Arial" w:cs="Arial"/>
                <w:sz w:val="22"/>
                <w:szCs w:val="22"/>
              </w:rPr>
              <w:t>Residualization (patient-level cross-fitting of population recovery model)</w:t>
            </w:r>
          </w:p>
        </w:tc>
        <w:tc>
          <w:tcPr>
            <w:tcW w:w="400" w:type="pct"/>
            <w:tcMar>
              <w:top w:w="60" w:type="dxa"/>
              <w:left w:w="80" w:type="dxa"/>
              <w:bottom w:w="60" w:type="dxa"/>
              <w:right w:w="80" w:type="dxa"/>
            </w:tcMar>
            <w:vAlign w:val="center"/>
          </w:tcPr>
          <w:p w14:paraId="53289E21" w14:textId="77777777" w:rsidR="00165472" w:rsidRPr="000942A3" w:rsidRDefault="00E95977">
            <w:pPr>
              <w:rPr>
                <w:rFonts w:ascii="Arial" w:hAnsi="Arial" w:cs="Arial"/>
                <w:sz w:val="22"/>
                <w:szCs w:val="22"/>
              </w:rPr>
            </w:pPr>
            <w:r w:rsidRPr="000942A3">
              <w:rPr>
                <w:rFonts w:ascii="Arial" w:hAnsi="Arial" w:cs="Arial"/>
                <w:sz w:val="22"/>
                <w:szCs w:val="22"/>
              </w:rPr>
              <w:t>6.4.3–6.4.4</w:t>
            </w:r>
          </w:p>
        </w:tc>
      </w:tr>
      <w:tr w:rsidR="00165472" w:rsidRPr="000942A3" w14:paraId="4B4C9FCD" w14:textId="77777777">
        <w:tc>
          <w:tcPr>
            <w:tcW w:w="700" w:type="pct"/>
            <w:tcMar>
              <w:top w:w="60" w:type="dxa"/>
              <w:left w:w="80" w:type="dxa"/>
              <w:bottom w:w="60" w:type="dxa"/>
              <w:right w:w="80" w:type="dxa"/>
            </w:tcMar>
            <w:vAlign w:val="center"/>
          </w:tcPr>
          <w:p w14:paraId="405A8C27" w14:textId="77777777" w:rsidR="00165472" w:rsidRPr="000942A3" w:rsidRDefault="00E95977">
            <w:pPr>
              <w:rPr>
                <w:rFonts w:ascii="Arial" w:hAnsi="Arial" w:cs="Arial"/>
                <w:sz w:val="22"/>
                <w:szCs w:val="22"/>
              </w:rPr>
            </w:pPr>
            <w:r w:rsidRPr="000942A3">
              <w:rPr>
                <w:rFonts w:ascii="Arial" w:hAnsi="Arial" w:cs="Arial"/>
                <w:sz w:val="22"/>
                <w:szCs w:val="22"/>
              </w:rPr>
              <w:t>Biological Trajectory</w:t>
            </w:r>
          </w:p>
        </w:tc>
        <w:tc>
          <w:tcPr>
            <w:tcW w:w="1100" w:type="pct"/>
            <w:tcMar>
              <w:top w:w="60" w:type="dxa"/>
              <w:left w:w="80" w:type="dxa"/>
              <w:bottom w:w="60" w:type="dxa"/>
              <w:right w:w="80" w:type="dxa"/>
            </w:tcMar>
            <w:vAlign w:val="center"/>
          </w:tcPr>
          <w:p w14:paraId="6CBF786D" w14:textId="77777777" w:rsidR="00165472" w:rsidRPr="000942A3" w:rsidRDefault="00E95977">
            <w:pPr>
              <w:rPr>
                <w:rFonts w:ascii="Arial" w:hAnsi="Arial" w:cs="Arial"/>
                <w:sz w:val="22"/>
                <w:szCs w:val="22"/>
              </w:rPr>
            </w:pPr>
            <w:r w:rsidRPr="000942A3">
              <w:rPr>
                <w:rFonts w:ascii="Arial" w:hAnsi="Arial" w:cs="Arial"/>
                <w:sz w:val="22"/>
                <w:szCs w:val="22"/>
              </w:rPr>
              <w:t>Longitudinal evolution across repeated events</w:t>
            </w:r>
          </w:p>
        </w:tc>
        <w:tc>
          <w:tcPr>
            <w:tcW w:w="1100" w:type="pct"/>
            <w:tcMar>
              <w:top w:w="60" w:type="dxa"/>
              <w:left w:w="80" w:type="dxa"/>
              <w:bottom w:w="60" w:type="dxa"/>
              <w:right w:w="80" w:type="dxa"/>
            </w:tcMar>
            <w:vAlign w:val="center"/>
          </w:tcPr>
          <w:p w14:paraId="087BD9A6" w14:textId="77777777" w:rsidR="00165472" w:rsidRPr="000942A3" w:rsidRDefault="00E95977">
            <w:pPr>
              <w:rPr>
                <w:rFonts w:ascii="Arial" w:hAnsi="Arial" w:cs="Arial"/>
                <w:sz w:val="22"/>
                <w:szCs w:val="22"/>
              </w:rPr>
            </w:pPr>
            <w:r w:rsidRPr="000942A3">
              <w:rPr>
                <w:rFonts w:ascii="Arial" w:hAnsi="Arial" w:cs="Arial"/>
                <w:sz w:val="22"/>
                <w:szCs w:val="22"/>
              </w:rPr>
              <w:t>BSI(t), ACᵢ series</w:t>
            </w:r>
          </w:p>
        </w:tc>
        <w:tc>
          <w:tcPr>
            <w:tcW w:w="700" w:type="pct"/>
            <w:tcMar>
              <w:top w:w="60" w:type="dxa"/>
              <w:left w:w="80" w:type="dxa"/>
              <w:bottom w:w="60" w:type="dxa"/>
              <w:right w:w="80" w:type="dxa"/>
            </w:tcMar>
            <w:vAlign w:val="center"/>
          </w:tcPr>
          <w:p w14:paraId="125965F0" w14:textId="77777777" w:rsidR="00165472" w:rsidRPr="000942A3" w:rsidRDefault="00E95977">
            <w:pPr>
              <w:rPr>
                <w:rFonts w:ascii="Arial" w:hAnsi="Arial" w:cs="Arial"/>
                <w:sz w:val="22"/>
                <w:szCs w:val="22"/>
              </w:rPr>
            </w:pPr>
            <w:r w:rsidRPr="000942A3">
              <w:rPr>
                <w:rFonts w:ascii="Arial" w:hAnsi="Arial" w:cs="Arial"/>
                <w:sz w:val="22"/>
                <w:szCs w:val="22"/>
              </w:rPr>
              <w:t>Multiple events across EHR history</w:t>
            </w:r>
          </w:p>
        </w:tc>
        <w:tc>
          <w:tcPr>
            <w:tcW w:w="1000" w:type="pct"/>
            <w:tcMar>
              <w:top w:w="60" w:type="dxa"/>
              <w:left w:w="80" w:type="dxa"/>
              <w:bottom w:w="60" w:type="dxa"/>
              <w:right w:w="80" w:type="dxa"/>
            </w:tcMar>
            <w:vAlign w:val="center"/>
          </w:tcPr>
          <w:p w14:paraId="0AA8573F" w14:textId="77777777" w:rsidR="00165472" w:rsidRPr="000942A3" w:rsidRDefault="00E95977">
            <w:pPr>
              <w:rPr>
                <w:rFonts w:ascii="Arial" w:hAnsi="Arial" w:cs="Arial"/>
                <w:sz w:val="22"/>
                <w:szCs w:val="22"/>
              </w:rPr>
            </w:pPr>
            <w:r w:rsidRPr="000942A3">
              <w:rPr>
                <w:rFonts w:ascii="Arial" w:hAnsi="Arial" w:cs="Arial"/>
                <w:sz w:val="22"/>
                <w:szCs w:val="22"/>
              </w:rPr>
              <w:t>Group-based trajectory modeling</w:t>
            </w:r>
          </w:p>
        </w:tc>
        <w:tc>
          <w:tcPr>
            <w:tcW w:w="400" w:type="pct"/>
            <w:tcMar>
              <w:top w:w="60" w:type="dxa"/>
              <w:left w:w="80" w:type="dxa"/>
              <w:bottom w:w="60" w:type="dxa"/>
              <w:right w:w="80" w:type="dxa"/>
            </w:tcMar>
            <w:vAlign w:val="center"/>
          </w:tcPr>
          <w:p w14:paraId="7727C20F" w14:textId="77777777" w:rsidR="00165472" w:rsidRPr="000942A3" w:rsidRDefault="00E95977">
            <w:pPr>
              <w:rPr>
                <w:rFonts w:ascii="Arial" w:hAnsi="Arial" w:cs="Arial"/>
                <w:sz w:val="22"/>
                <w:szCs w:val="22"/>
              </w:rPr>
            </w:pPr>
            <w:r w:rsidRPr="000942A3">
              <w:rPr>
                <w:rFonts w:ascii="Arial" w:hAnsi="Arial" w:cs="Arial"/>
                <w:sz w:val="22"/>
                <w:szCs w:val="22"/>
              </w:rPr>
              <w:t>6.5</w:t>
            </w:r>
          </w:p>
        </w:tc>
      </w:tr>
      <w:tr w:rsidR="00165472" w:rsidRPr="000942A3" w14:paraId="1EE5E6A3" w14:textId="77777777">
        <w:tc>
          <w:tcPr>
            <w:tcW w:w="700" w:type="pct"/>
            <w:tcMar>
              <w:top w:w="60" w:type="dxa"/>
              <w:left w:w="80" w:type="dxa"/>
              <w:bottom w:w="60" w:type="dxa"/>
              <w:right w:w="80" w:type="dxa"/>
            </w:tcMar>
            <w:vAlign w:val="center"/>
          </w:tcPr>
          <w:p w14:paraId="559B59F5" w14:textId="77777777" w:rsidR="00165472" w:rsidRPr="000942A3" w:rsidRDefault="00E95977">
            <w:pPr>
              <w:rPr>
                <w:rFonts w:ascii="Arial" w:hAnsi="Arial" w:cs="Arial"/>
                <w:sz w:val="22"/>
                <w:szCs w:val="22"/>
              </w:rPr>
            </w:pPr>
            <w:r w:rsidRPr="000942A3">
              <w:rPr>
                <w:rFonts w:ascii="Arial" w:hAnsi="Arial" w:cs="Arial"/>
                <w:sz w:val="22"/>
                <w:szCs w:val="22"/>
              </w:rPr>
              <w:t>NCD progression</w:t>
            </w:r>
          </w:p>
        </w:tc>
        <w:tc>
          <w:tcPr>
            <w:tcW w:w="1100" w:type="pct"/>
            <w:tcMar>
              <w:top w:w="60" w:type="dxa"/>
              <w:left w:w="80" w:type="dxa"/>
              <w:bottom w:w="60" w:type="dxa"/>
              <w:right w:w="80" w:type="dxa"/>
            </w:tcMar>
            <w:vAlign w:val="center"/>
          </w:tcPr>
          <w:p w14:paraId="43D6E7B7" w14:textId="77777777" w:rsidR="00165472" w:rsidRPr="000942A3" w:rsidRDefault="00E95977">
            <w:pPr>
              <w:rPr>
                <w:rFonts w:ascii="Arial" w:hAnsi="Arial" w:cs="Arial"/>
                <w:sz w:val="22"/>
                <w:szCs w:val="22"/>
              </w:rPr>
            </w:pPr>
            <w:r w:rsidRPr="000942A3">
              <w:rPr>
                <w:rFonts w:ascii="Arial" w:hAnsi="Arial" w:cs="Arial"/>
                <w:sz w:val="22"/>
                <w:szCs w:val="22"/>
              </w:rPr>
              <w:t>Distal clinical outcome</w:t>
            </w:r>
          </w:p>
        </w:tc>
        <w:tc>
          <w:tcPr>
            <w:tcW w:w="1100" w:type="pct"/>
            <w:tcMar>
              <w:top w:w="60" w:type="dxa"/>
              <w:left w:w="80" w:type="dxa"/>
              <w:bottom w:w="60" w:type="dxa"/>
              <w:right w:w="80" w:type="dxa"/>
            </w:tcMar>
            <w:vAlign w:val="center"/>
          </w:tcPr>
          <w:p w14:paraId="26843DE9" w14:textId="77777777" w:rsidR="00165472" w:rsidRPr="000942A3" w:rsidRDefault="00E95977">
            <w:pPr>
              <w:rPr>
                <w:rFonts w:ascii="Arial" w:hAnsi="Arial" w:cs="Arial"/>
                <w:sz w:val="22"/>
                <w:szCs w:val="22"/>
              </w:rPr>
            </w:pPr>
            <w:r w:rsidRPr="000942A3">
              <w:rPr>
                <w:rFonts w:ascii="Arial" w:hAnsi="Arial" w:cs="Arial"/>
                <w:sz w:val="22"/>
                <w:szCs w:val="22"/>
              </w:rPr>
              <w:t>New T2D diagnosis, complication, CV event</w:t>
            </w:r>
          </w:p>
        </w:tc>
        <w:tc>
          <w:tcPr>
            <w:tcW w:w="700" w:type="pct"/>
            <w:tcMar>
              <w:top w:w="60" w:type="dxa"/>
              <w:left w:w="80" w:type="dxa"/>
              <w:bottom w:w="60" w:type="dxa"/>
              <w:right w:w="80" w:type="dxa"/>
            </w:tcMar>
            <w:vAlign w:val="center"/>
          </w:tcPr>
          <w:p w14:paraId="3A47D2BC" w14:textId="77777777" w:rsidR="00165472" w:rsidRPr="000942A3" w:rsidRDefault="00E95977">
            <w:pPr>
              <w:rPr>
                <w:rFonts w:ascii="Arial" w:hAnsi="Arial" w:cs="Arial"/>
                <w:sz w:val="22"/>
                <w:szCs w:val="22"/>
              </w:rPr>
            </w:pPr>
            <w:r w:rsidRPr="000942A3">
              <w:rPr>
                <w:rFonts w:ascii="Arial" w:hAnsi="Arial" w:cs="Arial"/>
                <w:sz w:val="22"/>
                <w:szCs w:val="22"/>
              </w:rPr>
              <w:t>Remaining EHR follow-up</w:t>
            </w:r>
          </w:p>
        </w:tc>
        <w:tc>
          <w:tcPr>
            <w:tcW w:w="1000" w:type="pct"/>
            <w:tcMar>
              <w:top w:w="60" w:type="dxa"/>
              <w:left w:w="80" w:type="dxa"/>
              <w:bottom w:w="60" w:type="dxa"/>
              <w:right w:w="80" w:type="dxa"/>
            </w:tcMar>
            <w:vAlign w:val="center"/>
          </w:tcPr>
          <w:p w14:paraId="706C4DE3" w14:textId="77777777" w:rsidR="00165472" w:rsidRPr="000942A3" w:rsidRDefault="00E95977">
            <w:pPr>
              <w:rPr>
                <w:rFonts w:ascii="Arial" w:hAnsi="Arial" w:cs="Arial"/>
                <w:sz w:val="22"/>
                <w:szCs w:val="22"/>
              </w:rPr>
            </w:pPr>
            <w:r w:rsidRPr="000942A3">
              <w:rPr>
                <w:rFonts w:ascii="Arial" w:hAnsi="Arial" w:cs="Arial"/>
                <w:sz w:val="22"/>
                <w:szCs w:val="22"/>
              </w:rPr>
              <w:t>Association/survival analysis</w:t>
            </w:r>
          </w:p>
        </w:tc>
        <w:tc>
          <w:tcPr>
            <w:tcW w:w="400" w:type="pct"/>
            <w:tcMar>
              <w:top w:w="60" w:type="dxa"/>
              <w:left w:w="80" w:type="dxa"/>
              <w:bottom w:w="60" w:type="dxa"/>
              <w:right w:w="80" w:type="dxa"/>
            </w:tcMar>
            <w:vAlign w:val="center"/>
          </w:tcPr>
          <w:p w14:paraId="05F4E445" w14:textId="77777777" w:rsidR="00165472" w:rsidRPr="000942A3" w:rsidRDefault="00E95977">
            <w:pPr>
              <w:rPr>
                <w:rFonts w:ascii="Arial" w:hAnsi="Arial" w:cs="Arial"/>
                <w:sz w:val="22"/>
                <w:szCs w:val="22"/>
              </w:rPr>
            </w:pPr>
            <w:r w:rsidRPr="000942A3">
              <w:rPr>
                <w:rFonts w:ascii="Arial" w:hAnsi="Arial" w:cs="Arial"/>
                <w:sz w:val="22"/>
                <w:szCs w:val="22"/>
              </w:rPr>
              <w:t>6.6</w:t>
            </w:r>
          </w:p>
        </w:tc>
      </w:tr>
    </w:tbl>
    <w:p w14:paraId="74CDBE33" w14:textId="77777777" w:rsidR="00165472" w:rsidRPr="000942A3" w:rsidRDefault="00E95977">
      <w:pPr>
        <w:spacing w:after="160" w:line="258" w:lineRule="auto"/>
        <w:rPr>
          <w:rFonts w:ascii="Arial" w:hAnsi="Arial" w:cs="Arial"/>
          <w:sz w:val="22"/>
          <w:szCs w:val="22"/>
        </w:rPr>
      </w:pPr>
      <w:r w:rsidRPr="000942A3">
        <w:rPr>
          <w:rFonts w:ascii="Arial" w:hAnsi="Arial" w:cs="Arial"/>
          <w:sz w:val="22"/>
          <w:szCs w:val="22"/>
        </w:rPr>
        <w:t>Each row's Method is specified in full in the corresponding subsection, referenced in the Section column.</w:t>
      </w:r>
    </w:p>
    <w:p w14:paraId="14069335" w14:textId="77777777" w:rsidR="00165472" w:rsidRPr="000942A3" w:rsidRDefault="00E95977">
      <w:pPr>
        <w:pStyle w:val="Ttulo2"/>
        <w:spacing w:before="160" w:after="80"/>
        <w:rPr>
          <w:rFonts w:ascii="Arial" w:hAnsi="Arial" w:cs="Arial"/>
          <w:sz w:val="22"/>
          <w:szCs w:val="22"/>
        </w:rPr>
      </w:pPr>
      <w:r w:rsidRPr="000942A3">
        <w:rPr>
          <w:rFonts w:ascii="Arial" w:hAnsi="Arial" w:cs="Arial"/>
          <w:b/>
          <w:bCs/>
          <w:sz w:val="22"/>
          <w:szCs w:val="22"/>
        </w:rPr>
        <w:t>6.1 Layer 1 — Domain representation and BSI operationalization</w:t>
      </w:r>
    </w:p>
    <w:p w14:paraId="5B4A024A"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 xml:space="preserve">Following the BSH (Gallo López, 2026), BS = </w:t>
      </w:r>
      <w:r w:rsidR="00583F2F" w:rsidRPr="000942A3">
        <w:rPr>
          <w:rFonts w:ascii="Arial" w:hAnsi="Arial" w:cs="Arial"/>
          <w:sz w:val="22"/>
          <w:szCs w:val="22"/>
        </w:rPr>
        <w:t>f (</w:t>
      </w:r>
      <w:r w:rsidRPr="000942A3">
        <w:rPr>
          <w:rFonts w:ascii="Arial" w:hAnsi="Arial" w:cs="Arial"/>
          <w:sz w:val="22"/>
          <w:szCs w:val="22"/>
        </w:rPr>
        <w:t>SR, M, BP | E). E is approximated via district-level monetary poverty rate (INEI), an ecological proxy declared as a study limitation. Before model fitting, the three biological domains will be operationalized according to predefined domain definitions, variable-eligibility criteria, temporal availability, and data-quality thresholds. The final variable set will depend on confirmed availability and quality in the Rebagliati EHR; this data-driven eligibility step will not use the primary PE3 outcome.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2739"/>
        <w:gridCol w:w="3341"/>
        <w:gridCol w:w="2139"/>
      </w:tblGrid>
      <w:tr w:rsidR="00165472" w:rsidRPr="000942A3" w14:paraId="134B36EB" w14:textId="77777777">
        <w:trPr>
          <w:tblHeader/>
        </w:trPr>
        <w:tc>
          <w:tcPr>
            <w:tcW w:w="800" w:type="pct"/>
            <w:shd w:val="clear" w:color="auto" w:fill="2E3B4E"/>
            <w:tcMar>
              <w:top w:w="60" w:type="dxa"/>
              <w:left w:w="80" w:type="dxa"/>
              <w:bottom w:w="60" w:type="dxa"/>
              <w:right w:w="80" w:type="dxa"/>
            </w:tcMar>
            <w:vAlign w:val="center"/>
          </w:tcPr>
          <w:p w14:paraId="4146A6E7" w14:textId="77777777" w:rsidR="00165472" w:rsidRPr="000942A3" w:rsidRDefault="00E95977">
            <w:pPr>
              <w:rPr>
                <w:rFonts w:ascii="Arial" w:hAnsi="Arial" w:cs="Arial"/>
                <w:sz w:val="22"/>
                <w:szCs w:val="22"/>
              </w:rPr>
            </w:pPr>
            <w:r w:rsidRPr="000942A3">
              <w:rPr>
                <w:rFonts w:ascii="Arial" w:hAnsi="Arial" w:cs="Arial"/>
                <w:b/>
                <w:bCs/>
                <w:sz w:val="22"/>
                <w:szCs w:val="22"/>
              </w:rPr>
              <w:t>BSH domain</w:t>
            </w:r>
          </w:p>
        </w:tc>
        <w:tc>
          <w:tcPr>
            <w:tcW w:w="1400" w:type="pct"/>
            <w:shd w:val="clear" w:color="auto" w:fill="2E3B4E"/>
            <w:tcMar>
              <w:top w:w="60" w:type="dxa"/>
              <w:left w:w="80" w:type="dxa"/>
              <w:bottom w:w="60" w:type="dxa"/>
              <w:right w:w="80" w:type="dxa"/>
            </w:tcMar>
            <w:vAlign w:val="center"/>
          </w:tcPr>
          <w:p w14:paraId="4E7DB379" w14:textId="77777777" w:rsidR="00165472" w:rsidRPr="000942A3" w:rsidRDefault="00E95977">
            <w:pPr>
              <w:rPr>
                <w:rFonts w:ascii="Arial" w:hAnsi="Arial" w:cs="Arial"/>
                <w:sz w:val="22"/>
                <w:szCs w:val="22"/>
              </w:rPr>
            </w:pPr>
            <w:r w:rsidRPr="000942A3">
              <w:rPr>
                <w:rFonts w:ascii="Arial" w:hAnsi="Arial" w:cs="Arial"/>
                <w:b/>
                <w:bCs/>
                <w:sz w:val="22"/>
                <w:szCs w:val="22"/>
              </w:rPr>
              <w:t>Operational meaning</w:t>
            </w:r>
          </w:p>
        </w:tc>
        <w:tc>
          <w:tcPr>
            <w:tcW w:w="1700" w:type="pct"/>
            <w:shd w:val="clear" w:color="auto" w:fill="2E3B4E"/>
            <w:tcMar>
              <w:top w:w="60" w:type="dxa"/>
              <w:left w:w="80" w:type="dxa"/>
              <w:bottom w:w="60" w:type="dxa"/>
              <w:right w:w="80" w:type="dxa"/>
            </w:tcMar>
            <w:vAlign w:val="center"/>
          </w:tcPr>
          <w:p w14:paraId="475B14B4" w14:textId="77777777" w:rsidR="00165472" w:rsidRPr="000942A3" w:rsidRDefault="00E95977">
            <w:pPr>
              <w:rPr>
                <w:rFonts w:ascii="Arial" w:hAnsi="Arial" w:cs="Arial"/>
                <w:sz w:val="22"/>
                <w:szCs w:val="22"/>
              </w:rPr>
            </w:pPr>
            <w:r w:rsidRPr="000942A3">
              <w:rPr>
                <w:rFonts w:ascii="Arial" w:hAnsi="Arial" w:cs="Arial"/>
                <w:b/>
                <w:bCs/>
                <w:sz w:val="22"/>
                <w:szCs w:val="22"/>
              </w:rPr>
              <w:t>Candidate variable families</w:t>
            </w:r>
          </w:p>
        </w:tc>
        <w:tc>
          <w:tcPr>
            <w:tcW w:w="1100" w:type="pct"/>
            <w:shd w:val="clear" w:color="auto" w:fill="2E3B4E"/>
            <w:tcMar>
              <w:top w:w="60" w:type="dxa"/>
              <w:left w:w="80" w:type="dxa"/>
              <w:bottom w:w="60" w:type="dxa"/>
              <w:right w:w="80" w:type="dxa"/>
            </w:tcMar>
            <w:vAlign w:val="center"/>
          </w:tcPr>
          <w:p w14:paraId="0C361EE0" w14:textId="77777777" w:rsidR="00165472" w:rsidRPr="000942A3" w:rsidRDefault="00E95977">
            <w:pPr>
              <w:rPr>
                <w:rFonts w:ascii="Arial" w:hAnsi="Arial" w:cs="Arial"/>
                <w:sz w:val="22"/>
                <w:szCs w:val="22"/>
              </w:rPr>
            </w:pPr>
            <w:r w:rsidRPr="000942A3">
              <w:rPr>
                <w:rFonts w:ascii="Arial" w:hAnsi="Arial" w:cs="Arial"/>
                <w:b/>
                <w:bCs/>
                <w:sz w:val="22"/>
                <w:szCs w:val="22"/>
              </w:rPr>
              <w:t>Selection rule</w:t>
            </w:r>
          </w:p>
        </w:tc>
      </w:tr>
      <w:tr w:rsidR="00165472" w:rsidRPr="000942A3" w14:paraId="6FE6CCC2" w14:textId="77777777">
        <w:tc>
          <w:tcPr>
            <w:tcW w:w="800" w:type="pct"/>
            <w:tcMar>
              <w:top w:w="60" w:type="dxa"/>
              <w:left w:w="80" w:type="dxa"/>
              <w:bottom w:w="60" w:type="dxa"/>
              <w:right w:w="80" w:type="dxa"/>
            </w:tcMar>
            <w:vAlign w:val="center"/>
          </w:tcPr>
          <w:p w14:paraId="47868A0C" w14:textId="77777777" w:rsidR="00165472" w:rsidRPr="000942A3" w:rsidRDefault="00E95977">
            <w:pPr>
              <w:rPr>
                <w:rFonts w:ascii="Arial" w:hAnsi="Arial" w:cs="Arial"/>
                <w:sz w:val="22"/>
                <w:szCs w:val="22"/>
              </w:rPr>
            </w:pPr>
            <w:r w:rsidRPr="000942A3">
              <w:rPr>
                <w:rFonts w:ascii="Arial" w:hAnsi="Arial" w:cs="Arial"/>
                <w:sz w:val="22"/>
                <w:szCs w:val="22"/>
              </w:rPr>
              <w:t>SR — Systemic Regulation</w:t>
            </w:r>
          </w:p>
        </w:tc>
        <w:tc>
          <w:tcPr>
            <w:tcW w:w="1400" w:type="pct"/>
            <w:tcMar>
              <w:top w:w="60" w:type="dxa"/>
              <w:left w:w="80" w:type="dxa"/>
              <w:bottom w:w="60" w:type="dxa"/>
              <w:right w:w="80" w:type="dxa"/>
            </w:tcMar>
            <w:vAlign w:val="center"/>
          </w:tcPr>
          <w:p w14:paraId="0F6ABC70" w14:textId="77777777" w:rsidR="00165472" w:rsidRPr="000942A3" w:rsidRDefault="00E95977">
            <w:pPr>
              <w:rPr>
                <w:rFonts w:ascii="Arial" w:hAnsi="Arial" w:cs="Arial"/>
                <w:sz w:val="22"/>
                <w:szCs w:val="22"/>
              </w:rPr>
            </w:pPr>
            <w:r w:rsidRPr="000942A3">
              <w:rPr>
                <w:rFonts w:ascii="Arial" w:hAnsi="Arial" w:cs="Arial"/>
                <w:sz w:val="22"/>
                <w:szCs w:val="22"/>
              </w:rPr>
              <w:t>Regulatory physiological state relevant to maintaining/restoring physiological coherence.</w:t>
            </w:r>
          </w:p>
        </w:tc>
        <w:tc>
          <w:tcPr>
            <w:tcW w:w="1700" w:type="pct"/>
            <w:tcMar>
              <w:top w:w="60" w:type="dxa"/>
              <w:left w:w="80" w:type="dxa"/>
              <w:bottom w:w="60" w:type="dxa"/>
              <w:right w:w="80" w:type="dxa"/>
            </w:tcMar>
            <w:vAlign w:val="center"/>
          </w:tcPr>
          <w:p w14:paraId="0CCBD282" w14:textId="77777777" w:rsidR="00165472" w:rsidRPr="000942A3" w:rsidRDefault="00E95977">
            <w:pPr>
              <w:rPr>
                <w:rFonts w:ascii="Arial" w:hAnsi="Arial" w:cs="Arial"/>
                <w:sz w:val="22"/>
                <w:szCs w:val="22"/>
              </w:rPr>
            </w:pPr>
            <w:r w:rsidRPr="000942A3">
              <w:rPr>
                <w:rFonts w:ascii="Arial" w:hAnsi="Arial" w:cs="Arial"/>
                <w:sz w:val="22"/>
                <w:szCs w:val="22"/>
              </w:rPr>
              <w:t>Available laboratory, medication/exposure, inflammatory or neuroendocrine-related indicators that meet predefined clinical and temporal criteria.</w:t>
            </w:r>
          </w:p>
        </w:tc>
        <w:tc>
          <w:tcPr>
            <w:tcW w:w="1100" w:type="pct"/>
            <w:tcMar>
              <w:top w:w="60" w:type="dxa"/>
              <w:left w:w="80" w:type="dxa"/>
              <w:bottom w:w="60" w:type="dxa"/>
              <w:right w:w="80" w:type="dxa"/>
            </w:tcMar>
            <w:vAlign w:val="center"/>
          </w:tcPr>
          <w:p w14:paraId="02577316" w14:textId="77777777" w:rsidR="00165472" w:rsidRPr="000942A3" w:rsidRDefault="00E95977">
            <w:pPr>
              <w:rPr>
                <w:rFonts w:ascii="Arial" w:hAnsi="Arial" w:cs="Arial"/>
                <w:sz w:val="22"/>
                <w:szCs w:val="22"/>
              </w:rPr>
            </w:pPr>
            <w:r w:rsidRPr="000942A3">
              <w:rPr>
                <w:rFonts w:ascii="Arial" w:hAnsi="Arial" w:cs="Arial"/>
                <w:sz w:val="22"/>
                <w:szCs w:val="22"/>
              </w:rPr>
              <w:t>Retain variables with adequate frequency, valid temporal ordering, clinically interpretable provenance, and prespecified missingness/quality thresholds.</w:t>
            </w:r>
          </w:p>
        </w:tc>
      </w:tr>
      <w:tr w:rsidR="00165472" w:rsidRPr="000942A3" w14:paraId="0017A44A" w14:textId="77777777">
        <w:tc>
          <w:tcPr>
            <w:tcW w:w="800" w:type="pct"/>
            <w:tcMar>
              <w:top w:w="60" w:type="dxa"/>
              <w:left w:w="80" w:type="dxa"/>
              <w:bottom w:w="60" w:type="dxa"/>
              <w:right w:w="80" w:type="dxa"/>
            </w:tcMar>
            <w:vAlign w:val="center"/>
          </w:tcPr>
          <w:p w14:paraId="044A3069" w14:textId="77777777" w:rsidR="00165472" w:rsidRPr="000942A3" w:rsidRDefault="00E95977">
            <w:pPr>
              <w:rPr>
                <w:rFonts w:ascii="Arial" w:hAnsi="Arial" w:cs="Arial"/>
                <w:sz w:val="22"/>
                <w:szCs w:val="22"/>
              </w:rPr>
            </w:pPr>
            <w:r w:rsidRPr="000942A3">
              <w:rPr>
                <w:rFonts w:ascii="Arial" w:hAnsi="Arial" w:cs="Arial"/>
                <w:sz w:val="22"/>
                <w:szCs w:val="22"/>
              </w:rPr>
              <w:t>M — Metabolism</w:t>
            </w:r>
          </w:p>
        </w:tc>
        <w:tc>
          <w:tcPr>
            <w:tcW w:w="1400" w:type="pct"/>
            <w:tcMar>
              <w:top w:w="60" w:type="dxa"/>
              <w:left w:w="80" w:type="dxa"/>
              <w:bottom w:w="60" w:type="dxa"/>
              <w:right w:w="80" w:type="dxa"/>
            </w:tcMar>
            <w:vAlign w:val="center"/>
          </w:tcPr>
          <w:p w14:paraId="2D2FCED6" w14:textId="77777777" w:rsidR="00165472" w:rsidRPr="000942A3" w:rsidRDefault="00E95977">
            <w:pPr>
              <w:rPr>
                <w:rFonts w:ascii="Arial" w:hAnsi="Arial" w:cs="Arial"/>
                <w:sz w:val="22"/>
                <w:szCs w:val="22"/>
              </w:rPr>
            </w:pPr>
            <w:r w:rsidRPr="000942A3">
              <w:rPr>
                <w:rFonts w:ascii="Arial" w:hAnsi="Arial" w:cs="Arial"/>
                <w:sz w:val="22"/>
                <w:szCs w:val="22"/>
              </w:rPr>
              <w:t>Metabolic state relevant to energy handling and systemic physiological burden.</w:t>
            </w:r>
          </w:p>
        </w:tc>
        <w:tc>
          <w:tcPr>
            <w:tcW w:w="1700" w:type="pct"/>
            <w:tcMar>
              <w:top w:w="60" w:type="dxa"/>
              <w:left w:w="80" w:type="dxa"/>
              <w:bottom w:w="60" w:type="dxa"/>
              <w:right w:w="80" w:type="dxa"/>
            </w:tcMar>
            <w:vAlign w:val="center"/>
          </w:tcPr>
          <w:p w14:paraId="1E1EC568" w14:textId="77777777" w:rsidR="00165472" w:rsidRPr="000942A3" w:rsidRDefault="00E95977">
            <w:pPr>
              <w:rPr>
                <w:rFonts w:ascii="Arial" w:hAnsi="Arial" w:cs="Arial"/>
                <w:sz w:val="22"/>
                <w:szCs w:val="22"/>
              </w:rPr>
            </w:pPr>
            <w:r w:rsidRPr="000942A3">
              <w:rPr>
                <w:rFonts w:ascii="Arial" w:hAnsi="Arial" w:cs="Arial"/>
                <w:sz w:val="22"/>
                <w:szCs w:val="22"/>
              </w:rPr>
              <w:t>Glucose/HbA1c, lipid profile, renal/hepatic metabolic markers and other routinely available metabolic measures.</w:t>
            </w:r>
          </w:p>
        </w:tc>
        <w:tc>
          <w:tcPr>
            <w:tcW w:w="1100" w:type="pct"/>
            <w:tcMar>
              <w:top w:w="60" w:type="dxa"/>
              <w:left w:w="80" w:type="dxa"/>
              <w:bottom w:w="60" w:type="dxa"/>
              <w:right w:w="80" w:type="dxa"/>
            </w:tcMar>
            <w:vAlign w:val="center"/>
          </w:tcPr>
          <w:p w14:paraId="1D87DC35" w14:textId="77777777" w:rsidR="00165472" w:rsidRPr="000942A3" w:rsidRDefault="00E95977">
            <w:pPr>
              <w:rPr>
                <w:rFonts w:ascii="Arial" w:hAnsi="Arial" w:cs="Arial"/>
                <w:sz w:val="22"/>
                <w:szCs w:val="22"/>
              </w:rPr>
            </w:pPr>
            <w:r w:rsidRPr="000942A3">
              <w:rPr>
                <w:rFonts w:ascii="Arial" w:hAnsi="Arial" w:cs="Arial"/>
                <w:sz w:val="22"/>
                <w:szCs w:val="22"/>
              </w:rPr>
              <w:t>Same prespecified availability, temporal, quality and missingness criteria.</w:t>
            </w:r>
          </w:p>
        </w:tc>
      </w:tr>
      <w:tr w:rsidR="00165472" w:rsidRPr="000942A3" w14:paraId="51E1C4CF" w14:textId="77777777">
        <w:tc>
          <w:tcPr>
            <w:tcW w:w="800" w:type="pct"/>
            <w:tcMar>
              <w:top w:w="60" w:type="dxa"/>
              <w:left w:w="80" w:type="dxa"/>
              <w:bottom w:w="60" w:type="dxa"/>
              <w:right w:w="80" w:type="dxa"/>
            </w:tcMar>
            <w:vAlign w:val="center"/>
          </w:tcPr>
          <w:p w14:paraId="260665DA" w14:textId="77777777" w:rsidR="00165472" w:rsidRPr="000942A3" w:rsidRDefault="00E95977">
            <w:pPr>
              <w:rPr>
                <w:rFonts w:ascii="Arial" w:hAnsi="Arial" w:cs="Arial"/>
                <w:sz w:val="22"/>
                <w:szCs w:val="22"/>
              </w:rPr>
            </w:pPr>
            <w:r w:rsidRPr="000942A3">
              <w:rPr>
                <w:rFonts w:ascii="Arial" w:hAnsi="Arial" w:cs="Arial"/>
                <w:sz w:val="22"/>
                <w:szCs w:val="22"/>
              </w:rPr>
              <w:t>BP — Biology/Plasticity</w:t>
            </w:r>
          </w:p>
        </w:tc>
        <w:tc>
          <w:tcPr>
            <w:tcW w:w="1400" w:type="pct"/>
            <w:tcMar>
              <w:top w:w="60" w:type="dxa"/>
              <w:left w:w="80" w:type="dxa"/>
              <w:bottom w:w="60" w:type="dxa"/>
              <w:right w:w="80" w:type="dxa"/>
            </w:tcMar>
            <w:vAlign w:val="center"/>
          </w:tcPr>
          <w:p w14:paraId="5E7E3429" w14:textId="77777777" w:rsidR="00165472" w:rsidRPr="000942A3" w:rsidRDefault="00E95977">
            <w:pPr>
              <w:rPr>
                <w:rFonts w:ascii="Arial" w:hAnsi="Arial" w:cs="Arial"/>
                <w:sz w:val="22"/>
                <w:szCs w:val="22"/>
              </w:rPr>
            </w:pPr>
            <w:r w:rsidRPr="000942A3">
              <w:rPr>
                <w:rFonts w:ascii="Arial" w:hAnsi="Arial" w:cs="Arial"/>
                <w:sz w:val="22"/>
                <w:szCs w:val="22"/>
              </w:rPr>
              <w:t>Biological characteristics available in the EHR that may contribute to the system-level state beyond the metabolic domain.</w:t>
            </w:r>
          </w:p>
        </w:tc>
        <w:tc>
          <w:tcPr>
            <w:tcW w:w="1700" w:type="pct"/>
            <w:tcMar>
              <w:top w:w="60" w:type="dxa"/>
              <w:left w:w="80" w:type="dxa"/>
              <w:bottom w:w="60" w:type="dxa"/>
              <w:right w:w="80" w:type="dxa"/>
            </w:tcMar>
            <w:vAlign w:val="center"/>
          </w:tcPr>
          <w:p w14:paraId="2AA3F9D0" w14:textId="77777777" w:rsidR="00165472" w:rsidRPr="000942A3" w:rsidRDefault="00E95977">
            <w:pPr>
              <w:rPr>
                <w:rFonts w:ascii="Arial" w:hAnsi="Arial" w:cs="Arial"/>
                <w:sz w:val="22"/>
                <w:szCs w:val="22"/>
              </w:rPr>
            </w:pPr>
            <w:r w:rsidRPr="000942A3">
              <w:rPr>
                <w:rFonts w:ascii="Arial" w:hAnsi="Arial" w:cs="Arial"/>
                <w:sz w:val="22"/>
                <w:szCs w:val="22"/>
              </w:rPr>
              <w:t>Available biological, structural/functional and longitudinal indicators not duplicative of M and meeting domain criteria.</w:t>
            </w:r>
          </w:p>
        </w:tc>
        <w:tc>
          <w:tcPr>
            <w:tcW w:w="1100" w:type="pct"/>
            <w:tcMar>
              <w:top w:w="60" w:type="dxa"/>
              <w:left w:w="80" w:type="dxa"/>
              <w:bottom w:w="60" w:type="dxa"/>
              <w:right w:w="80" w:type="dxa"/>
            </w:tcMar>
            <w:vAlign w:val="center"/>
          </w:tcPr>
          <w:p w14:paraId="6FB37022" w14:textId="77777777" w:rsidR="00165472" w:rsidRPr="000942A3" w:rsidRDefault="00E95977">
            <w:pPr>
              <w:rPr>
                <w:rFonts w:ascii="Arial" w:hAnsi="Arial" w:cs="Arial"/>
                <w:sz w:val="22"/>
                <w:szCs w:val="22"/>
              </w:rPr>
            </w:pPr>
            <w:r w:rsidRPr="000942A3">
              <w:rPr>
                <w:rFonts w:ascii="Arial" w:hAnsi="Arial" w:cs="Arial"/>
                <w:sz w:val="22"/>
                <w:szCs w:val="22"/>
              </w:rPr>
              <w:t>Retain only variables with clear domain assignment and sufficient longitudinal availability. Any BP variable derived from a trajectory (rates of change, prior response to interventions) is computed only from observations strictly before T0_i; features computed over the recovery window are excluded.</w:t>
            </w:r>
          </w:p>
        </w:tc>
      </w:tr>
      <w:tr w:rsidR="00165472" w:rsidRPr="000942A3" w14:paraId="3BD6AE83" w14:textId="77777777">
        <w:tc>
          <w:tcPr>
            <w:tcW w:w="800" w:type="pct"/>
            <w:tcMar>
              <w:top w:w="60" w:type="dxa"/>
              <w:left w:w="80" w:type="dxa"/>
              <w:bottom w:w="60" w:type="dxa"/>
              <w:right w:w="80" w:type="dxa"/>
            </w:tcMar>
            <w:vAlign w:val="center"/>
          </w:tcPr>
          <w:p w14:paraId="5D4807CC" w14:textId="77777777" w:rsidR="00165472" w:rsidRPr="000942A3" w:rsidRDefault="00E95977">
            <w:pPr>
              <w:rPr>
                <w:rFonts w:ascii="Arial" w:hAnsi="Arial" w:cs="Arial"/>
                <w:sz w:val="22"/>
                <w:szCs w:val="22"/>
              </w:rPr>
            </w:pPr>
            <w:r w:rsidRPr="000942A3">
              <w:rPr>
                <w:rFonts w:ascii="Arial" w:hAnsi="Arial" w:cs="Arial"/>
                <w:sz w:val="22"/>
                <w:szCs w:val="22"/>
              </w:rPr>
              <w:t>E — Environment</w:t>
            </w:r>
          </w:p>
        </w:tc>
        <w:tc>
          <w:tcPr>
            <w:tcW w:w="1400" w:type="pct"/>
            <w:tcMar>
              <w:top w:w="60" w:type="dxa"/>
              <w:left w:w="80" w:type="dxa"/>
              <w:bottom w:w="60" w:type="dxa"/>
              <w:right w:w="80" w:type="dxa"/>
            </w:tcMar>
            <w:vAlign w:val="center"/>
          </w:tcPr>
          <w:p w14:paraId="2F600BB4" w14:textId="77777777" w:rsidR="00165472" w:rsidRPr="000942A3" w:rsidRDefault="00E95977">
            <w:pPr>
              <w:rPr>
                <w:rFonts w:ascii="Arial" w:hAnsi="Arial" w:cs="Arial"/>
                <w:sz w:val="22"/>
                <w:szCs w:val="22"/>
              </w:rPr>
            </w:pPr>
            <w:r w:rsidRPr="000942A3">
              <w:rPr>
                <w:rFonts w:ascii="Arial" w:hAnsi="Arial" w:cs="Arial"/>
                <w:sz w:val="22"/>
                <w:szCs w:val="22"/>
              </w:rPr>
              <w:t>Contextual exposure relevant to biological state.</w:t>
            </w:r>
          </w:p>
        </w:tc>
        <w:tc>
          <w:tcPr>
            <w:tcW w:w="1700" w:type="pct"/>
            <w:tcMar>
              <w:top w:w="60" w:type="dxa"/>
              <w:left w:w="80" w:type="dxa"/>
              <w:bottom w:w="60" w:type="dxa"/>
              <w:right w:w="80" w:type="dxa"/>
            </w:tcMar>
            <w:vAlign w:val="center"/>
          </w:tcPr>
          <w:p w14:paraId="12ADD621" w14:textId="77777777" w:rsidR="00165472" w:rsidRPr="000942A3" w:rsidRDefault="00E95977">
            <w:pPr>
              <w:rPr>
                <w:rFonts w:ascii="Arial" w:hAnsi="Arial" w:cs="Arial"/>
                <w:sz w:val="22"/>
                <w:szCs w:val="22"/>
              </w:rPr>
            </w:pPr>
            <w:r w:rsidRPr="000942A3">
              <w:rPr>
                <w:rFonts w:ascii="Arial" w:hAnsi="Arial" w:cs="Arial"/>
                <w:sz w:val="22"/>
                <w:szCs w:val="22"/>
              </w:rPr>
              <w:t>District-level monetary poverty rate from INEI.</w:t>
            </w:r>
          </w:p>
        </w:tc>
        <w:tc>
          <w:tcPr>
            <w:tcW w:w="1100" w:type="pct"/>
            <w:tcMar>
              <w:top w:w="60" w:type="dxa"/>
              <w:left w:w="80" w:type="dxa"/>
              <w:bottom w:w="60" w:type="dxa"/>
              <w:right w:w="80" w:type="dxa"/>
            </w:tcMar>
            <w:vAlign w:val="center"/>
          </w:tcPr>
          <w:p w14:paraId="31FC6C62" w14:textId="77777777" w:rsidR="00165472" w:rsidRPr="000942A3" w:rsidRDefault="00E95977">
            <w:pPr>
              <w:rPr>
                <w:rFonts w:ascii="Arial" w:hAnsi="Arial" w:cs="Arial"/>
                <w:sz w:val="22"/>
                <w:szCs w:val="22"/>
              </w:rPr>
            </w:pPr>
            <w:r w:rsidRPr="000942A3">
              <w:rPr>
                <w:rFonts w:ascii="Arial" w:hAnsi="Arial" w:cs="Arial"/>
                <w:sz w:val="22"/>
                <w:szCs w:val="22"/>
              </w:rPr>
              <w:t>Included as an ecological proxy; interpreted at district level and reported as a limitation.</w:t>
            </w:r>
          </w:p>
        </w:tc>
      </w:tr>
    </w:tbl>
    <w:p w14:paraId="35F1B94C"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Domain assignment will be documented before final BSI fitting. Variables whose inclusion would directly encode the post-perturbation recovery outcome, its future values, or information unavailable at the prediction time will be excluded to prevent target leakage.</w:t>
      </w:r>
    </w:p>
    <w:p w14:paraId="35F1B94C"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BSI scale and chronological age: the BSI is scaled so that higher values indicate a better biological state, so that D_i = BSI_i^base − BSI_i^nadir is positive for a perturbation that lowers the index. Chronological age is a required covariate in X_i and Z_i throughout, and the primary question is framed as the association of the BSI with Adaptive Capacity beyond chronological age; a sensitivity analysis replaces baseline BSI by its residual after regression on chronological age (Section 6.4.5).</w:t>
      </w:r>
    </w:p>
    <w:p w14:paraId="35F1B94C"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BSI definition for PE3, fixed before outcome access: the BSI used in the primary and secondary PE3 analyses is BSI_fixed, a prespecified outcome-blind composite. Each domain score is the mean of the standardized eligible variables of that domain (standardization parameters estimated in the development partition) and BSI_fixed is the unweighted mean of the three domain scores. No label is used and no parameter is fitted to any outcome, so it cannot leak recovery or NCD information. Minimum domain availability (prespecified): a domain score is computed only if the patient has at least two eligible variables of that domain with valid measurements before T0_i; BSI_fixed is computed only if at least two of the three domain scores are available (the mean is then taken over the available domains); otherwise the patient is not eligible for PE3 and the number excluded for this reason is reported. Variable-level thresholds are fixed once the Rebagliati variable dictionary is available. The learned-weight models of Sections 6.2 and 6.3 (additive and fusion) are not used in PE3; if a trained BSI is later proposed for PE3, its training label, development partition and frozen weights will be registered before PE3 outcome access, and its use will be a prespecified extension, not part of the confirmatory analysis.</w:t>
      </w:r>
    </w:p>
    <w:p w14:paraId="155E6D0E" w14:textId="77777777" w:rsidR="00165472" w:rsidRPr="000942A3" w:rsidRDefault="00E95977">
      <w:pPr>
        <w:pStyle w:val="Ttulo2"/>
        <w:spacing w:before="160" w:after="80"/>
        <w:rPr>
          <w:rFonts w:ascii="Arial" w:hAnsi="Arial" w:cs="Arial"/>
          <w:sz w:val="22"/>
          <w:szCs w:val="22"/>
        </w:rPr>
      </w:pPr>
      <w:r w:rsidRPr="000942A3">
        <w:rPr>
          <w:rFonts w:ascii="Arial" w:hAnsi="Arial" w:cs="Arial"/>
          <w:b/>
          <w:bCs/>
          <w:sz w:val="22"/>
          <w:szCs w:val="22"/>
        </w:rPr>
        <w:t>6.2 Layer 2 — Additive BSI model</w:t>
      </w:r>
    </w:p>
    <w:p w14:paraId="628A80C2"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The additive instantiation is BSI_additive = σ (w</w:t>
      </w:r>
      <w:r w:rsidRPr="000942A3">
        <w:rPr>
          <w:rFonts w:ascii="Cambria Math" w:hAnsi="Cambria Math" w:cs="Cambria Math"/>
          <w:sz w:val="22"/>
          <w:szCs w:val="22"/>
        </w:rPr>
        <w:t>₁</w:t>
      </w:r>
      <w:r w:rsidRPr="000942A3">
        <w:rPr>
          <w:rFonts w:ascii="Arial" w:hAnsi="Arial" w:cs="Arial"/>
          <w:sz w:val="22"/>
          <w:szCs w:val="22"/>
        </w:rPr>
        <w:t>·SR̂ + w</w:t>
      </w:r>
      <w:r w:rsidRPr="000942A3">
        <w:rPr>
          <w:rFonts w:ascii="Cambria Math" w:hAnsi="Cambria Math" w:cs="Cambria Math"/>
          <w:sz w:val="22"/>
          <w:szCs w:val="22"/>
        </w:rPr>
        <w:t>₂</w:t>
      </w:r>
      <w:r w:rsidRPr="000942A3">
        <w:rPr>
          <w:rFonts w:ascii="Arial" w:hAnsi="Arial" w:cs="Arial"/>
          <w:sz w:val="22"/>
          <w:szCs w:val="22"/>
        </w:rPr>
        <w:t>·M̂ + w</w:t>
      </w:r>
      <w:r w:rsidRPr="000942A3">
        <w:rPr>
          <w:rFonts w:ascii="Cambria Math" w:hAnsi="Cambria Math" w:cs="Cambria Math"/>
          <w:sz w:val="22"/>
          <w:szCs w:val="22"/>
        </w:rPr>
        <w:t>₃</w:t>
      </w:r>
      <w:r w:rsidRPr="000942A3">
        <w:rPr>
          <w:rFonts w:ascii="Arial" w:hAnsi="Arial" w:cs="Arial"/>
          <w:sz w:val="22"/>
          <w:szCs w:val="22"/>
        </w:rPr>
        <w:t>·BP̂ + b). Component representations may use regularized regression and/or machine-learning models appropriate to their temporal structure; XGBoost and LSTM are candidate models rather than mandatory components. Model selection will follow a prespecified development framework and will compare against simpler baselines. No architecture will be retained solely because it is more complex or produces a higher apparent performance in a non-temporal split.</w:t>
      </w:r>
    </w:p>
    <w:p w14:paraId="628A80C2"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Training target for Layers 2 and 3 (PE1 and PE2): the learned-weight models are trained on the distal NCD-progression outcome of Section 6.6 (new confirmed T2D diagnosis, first documented complication, or first major cardiovascular event) over a horizon fixed before access, in a development partition of patients disjoint from every patient contributing events to PE3. No recovery information and no PE3 patient enters training, and the weights are frozen and registered before the evaluation partition is used. Any biomarker whose value alone defines the target event (for example HbA1c for a T2D diagnosis) is removed from the input set of the models trained on that target. Discrimination, calibration and clinical utility in PE1 and PE2 are evaluated on this binary target in the evaluation partition, which PE5 also uses.</w:t>
      </w:r>
    </w:p>
    <w:p w14:paraId="767A8809"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 xml:space="preserve">The additive formulation has zero cross-domain second derivatives by construction. BSH's L1 addresses whether the true form of </w:t>
      </w:r>
      <w:r w:rsidR="00C43496" w:rsidRPr="000942A3">
        <w:rPr>
          <w:rFonts w:ascii="Arial" w:hAnsi="Arial" w:cs="Arial"/>
          <w:sz w:val="22"/>
          <w:szCs w:val="22"/>
        </w:rPr>
        <w:t>f (</w:t>
      </w:r>
      <w:r w:rsidRPr="000942A3">
        <w:rPr>
          <w:rFonts w:ascii="Arial" w:hAnsi="Arial" w:cs="Arial"/>
          <w:sz w:val="22"/>
          <w:szCs w:val="22"/>
        </w:rPr>
        <w:t>) requires inter-domain coordination terms beyond this additive representation.</w:t>
      </w:r>
    </w:p>
    <w:p w14:paraId="55C1C13F" w14:textId="77777777" w:rsidR="00165472" w:rsidRPr="000942A3" w:rsidRDefault="00E95977">
      <w:pPr>
        <w:pStyle w:val="Ttulo2"/>
        <w:spacing w:before="160" w:after="80"/>
        <w:rPr>
          <w:rFonts w:ascii="Arial" w:hAnsi="Arial" w:cs="Arial"/>
          <w:sz w:val="22"/>
          <w:szCs w:val="22"/>
        </w:rPr>
      </w:pPr>
      <w:r w:rsidRPr="000942A3">
        <w:rPr>
          <w:rFonts w:ascii="Arial" w:hAnsi="Arial" w:cs="Arial"/>
          <w:b/>
          <w:bCs/>
          <w:sz w:val="22"/>
          <w:szCs w:val="22"/>
        </w:rPr>
        <w:t>6.3 Layer 3 — Multimodal fusion (BSH's L1 test, PE2)</w:t>
      </w:r>
    </w:p>
    <w:p w14:paraId="051F7105"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Cross-attention (Vaswani et al., 2017) will be evaluated as a candidate multimodal fusion strategy combining TFT (Lim et al., 2021) for biomarker time series, BEHRT (Li et al., 2020) for clinical event sequences (fed by the NLP module), and MLP for tabular BSI variables. These architectures are treated as candidate implementations of the fusion layer, not as ends in themselves. The primary methodological comparison is complete multimodal fusion versus the prespecified additive BSI baseline, using identical temporal splits, outcome definitions, and leakage controls.</w:t>
      </w:r>
    </w:p>
    <w:p w14:paraId="223F8C35" w14:textId="77777777" w:rsidR="00165472" w:rsidRPr="000942A3" w:rsidRDefault="00E95977">
      <w:pPr>
        <w:pStyle w:val="Ttulo2"/>
        <w:spacing w:before="160" w:after="80"/>
        <w:rPr>
          <w:rFonts w:ascii="Arial" w:hAnsi="Arial" w:cs="Arial"/>
          <w:sz w:val="22"/>
          <w:szCs w:val="22"/>
        </w:rPr>
      </w:pPr>
      <w:r w:rsidRPr="000942A3">
        <w:rPr>
          <w:rFonts w:ascii="Arial" w:hAnsi="Arial" w:cs="Arial"/>
          <w:b/>
          <w:bCs/>
          <w:sz w:val="22"/>
          <w:szCs w:val="22"/>
        </w:rPr>
        <w:t>6.4 Adaptive Capacity operationalization (PE3 — primary confirmatory analysis)</w:t>
      </w:r>
    </w:p>
    <w:p w14:paraId="7AF29A5A"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Adaptive Capacity is operationalized through documented perturbation-recovery events in the EHR. The perturbation type will not be selected retrospectively on the basis of its association with the primary outcome. Instead, candidate perturbation types will be screened using prespecified eligibility criteria, and the principal perturbation type will be selected according to data adequacy and event frequency before PE3 outcome modeling.</w:t>
      </w:r>
    </w:p>
    <w:p w14:paraId="48186B60" w14:textId="77777777" w:rsidR="00165472" w:rsidRPr="000942A3" w:rsidRDefault="00E95977">
      <w:pPr>
        <w:spacing w:before="120" w:after="60"/>
        <w:rPr>
          <w:rFonts w:ascii="Arial" w:hAnsi="Arial" w:cs="Arial"/>
          <w:sz w:val="22"/>
          <w:szCs w:val="22"/>
        </w:rPr>
      </w:pPr>
      <w:r w:rsidRPr="000942A3">
        <w:rPr>
          <w:rFonts w:ascii="Arial" w:hAnsi="Arial" w:cs="Arial"/>
          <w:b/>
          <w:bCs/>
          <w:i/>
          <w:iCs/>
          <w:sz w:val="22"/>
          <w:szCs w:val="22"/>
        </w:rPr>
        <w:t>6.4.1 Predefined perturbation eligibility criteria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7422"/>
      </w:tblGrid>
      <w:tr w:rsidR="00165472" w:rsidRPr="000942A3" w14:paraId="69DA5C8F" w14:textId="77777777">
        <w:trPr>
          <w:tblHeader/>
        </w:trPr>
        <w:tc>
          <w:tcPr>
            <w:tcW w:w="1300" w:type="pct"/>
            <w:shd w:val="clear" w:color="auto" w:fill="2E3B4E"/>
            <w:tcMar>
              <w:top w:w="60" w:type="dxa"/>
              <w:left w:w="80" w:type="dxa"/>
              <w:bottom w:w="60" w:type="dxa"/>
              <w:right w:w="80" w:type="dxa"/>
            </w:tcMar>
            <w:vAlign w:val="center"/>
          </w:tcPr>
          <w:p w14:paraId="6BDC254D" w14:textId="77777777" w:rsidR="00165472" w:rsidRPr="000942A3" w:rsidRDefault="00E95977">
            <w:pPr>
              <w:rPr>
                <w:rFonts w:ascii="Arial" w:hAnsi="Arial" w:cs="Arial"/>
                <w:sz w:val="22"/>
                <w:szCs w:val="22"/>
              </w:rPr>
            </w:pPr>
            <w:r w:rsidRPr="000942A3">
              <w:rPr>
                <w:rFonts w:ascii="Arial" w:hAnsi="Arial" w:cs="Arial"/>
                <w:b/>
                <w:bCs/>
                <w:sz w:val="22"/>
                <w:szCs w:val="22"/>
              </w:rPr>
              <w:t>Criterion</w:t>
            </w:r>
          </w:p>
        </w:tc>
        <w:tc>
          <w:tcPr>
            <w:tcW w:w="3700" w:type="pct"/>
            <w:shd w:val="clear" w:color="auto" w:fill="2E3B4E"/>
            <w:tcMar>
              <w:top w:w="60" w:type="dxa"/>
              <w:left w:w="80" w:type="dxa"/>
              <w:bottom w:w="60" w:type="dxa"/>
              <w:right w:w="80" w:type="dxa"/>
            </w:tcMar>
            <w:vAlign w:val="center"/>
          </w:tcPr>
          <w:p w14:paraId="778FFC98" w14:textId="77777777" w:rsidR="00165472" w:rsidRPr="000942A3" w:rsidRDefault="00E95977">
            <w:pPr>
              <w:rPr>
                <w:rFonts w:ascii="Arial" w:hAnsi="Arial" w:cs="Arial"/>
                <w:sz w:val="22"/>
                <w:szCs w:val="22"/>
              </w:rPr>
            </w:pPr>
            <w:r w:rsidRPr="000942A3">
              <w:rPr>
                <w:rFonts w:ascii="Arial" w:hAnsi="Arial" w:cs="Arial"/>
                <w:b/>
                <w:bCs/>
                <w:sz w:val="22"/>
                <w:szCs w:val="22"/>
              </w:rPr>
              <w:t>Requirement</w:t>
            </w:r>
          </w:p>
        </w:tc>
      </w:tr>
      <w:tr w:rsidR="00165472" w:rsidRPr="000942A3" w14:paraId="4B45DF56" w14:textId="77777777">
        <w:tc>
          <w:tcPr>
            <w:tcW w:w="1300" w:type="pct"/>
            <w:tcMar>
              <w:top w:w="60" w:type="dxa"/>
              <w:left w:w="80" w:type="dxa"/>
              <w:bottom w:w="60" w:type="dxa"/>
              <w:right w:w="80" w:type="dxa"/>
            </w:tcMar>
            <w:vAlign w:val="center"/>
          </w:tcPr>
          <w:p w14:paraId="791DD833" w14:textId="77777777" w:rsidR="00165472" w:rsidRPr="000942A3" w:rsidRDefault="00E95977">
            <w:pPr>
              <w:rPr>
                <w:rFonts w:ascii="Arial" w:hAnsi="Arial" w:cs="Arial"/>
                <w:sz w:val="22"/>
                <w:szCs w:val="22"/>
              </w:rPr>
            </w:pPr>
            <w:r w:rsidRPr="000942A3">
              <w:rPr>
                <w:rFonts w:ascii="Arial" w:hAnsi="Arial" w:cs="Arial"/>
                <w:sz w:val="22"/>
                <w:szCs w:val="22"/>
              </w:rPr>
              <w:t>Objective identification</w:t>
            </w:r>
          </w:p>
        </w:tc>
        <w:tc>
          <w:tcPr>
            <w:tcW w:w="3700" w:type="pct"/>
            <w:tcMar>
              <w:top w:w="60" w:type="dxa"/>
              <w:left w:w="80" w:type="dxa"/>
              <w:bottom w:w="60" w:type="dxa"/>
              <w:right w:w="80" w:type="dxa"/>
            </w:tcMar>
            <w:vAlign w:val="center"/>
          </w:tcPr>
          <w:p w14:paraId="08FC1F35" w14:textId="77777777" w:rsidR="00165472" w:rsidRPr="000942A3" w:rsidRDefault="00E95977">
            <w:pPr>
              <w:rPr>
                <w:rFonts w:ascii="Arial" w:hAnsi="Arial" w:cs="Arial"/>
                <w:sz w:val="22"/>
                <w:szCs w:val="22"/>
              </w:rPr>
            </w:pPr>
            <w:r w:rsidRPr="000942A3">
              <w:rPr>
                <w:rFonts w:ascii="Arial" w:hAnsi="Arial" w:cs="Arial"/>
                <w:sz w:val="22"/>
                <w:szCs w:val="22"/>
              </w:rPr>
              <w:t>A documented clinical/physiological event with an identifiable onset or clinically defensible event date in the EHR.</w:t>
            </w:r>
          </w:p>
        </w:tc>
      </w:tr>
      <w:tr w:rsidR="00165472" w:rsidRPr="000942A3" w14:paraId="3D52C38B" w14:textId="77777777">
        <w:tc>
          <w:tcPr>
            <w:tcW w:w="1300" w:type="pct"/>
            <w:tcMar>
              <w:top w:w="60" w:type="dxa"/>
              <w:left w:w="80" w:type="dxa"/>
              <w:bottom w:w="60" w:type="dxa"/>
              <w:right w:w="80" w:type="dxa"/>
            </w:tcMar>
            <w:vAlign w:val="center"/>
          </w:tcPr>
          <w:p w14:paraId="5295D117" w14:textId="77777777" w:rsidR="00165472" w:rsidRPr="000942A3" w:rsidRDefault="00E95977">
            <w:pPr>
              <w:rPr>
                <w:rFonts w:ascii="Arial" w:hAnsi="Arial" w:cs="Arial"/>
                <w:sz w:val="22"/>
                <w:szCs w:val="22"/>
              </w:rPr>
            </w:pPr>
            <w:r w:rsidRPr="000942A3">
              <w:rPr>
                <w:rFonts w:ascii="Arial" w:hAnsi="Arial" w:cs="Arial"/>
                <w:sz w:val="22"/>
                <w:szCs w:val="22"/>
              </w:rPr>
              <w:t>Physiological relevance</w:t>
            </w:r>
          </w:p>
        </w:tc>
        <w:tc>
          <w:tcPr>
            <w:tcW w:w="3700" w:type="pct"/>
            <w:tcMar>
              <w:top w:w="60" w:type="dxa"/>
              <w:left w:w="80" w:type="dxa"/>
              <w:bottom w:w="60" w:type="dxa"/>
              <w:right w:w="80" w:type="dxa"/>
            </w:tcMar>
            <w:vAlign w:val="center"/>
          </w:tcPr>
          <w:p w14:paraId="588339F1" w14:textId="77777777" w:rsidR="00165472" w:rsidRPr="000942A3" w:rsidRDefault="00E95977">
            <w:pPr>
              <w:rPr>
                <w:rFonts w:ascii="Arial" w:hAnsi="Arial" w:cs="Arial"/>
                <w:sz w:val="22"/>
                <w:szCs w:val="22"/>
              </w:rPr>
            </w:pPr>
            <w:r w:rsidRPr="000942A3">
              <w:rPr>
                <w:rFonts w:ascii="Arial" w:hAnsi="Arial" w:cs="Arial"/>
                <w:sz w:val="22"/>
                <w:szCs w:val="22"/>
              </w:rPr>
              <w:t>Evidence that the event constitutes a physiological demand capable of producing a measurable perturbation in the BSI trajectory.</w:t>
            </w:r>
          </w:p>
        </w:tc>
      </w:tr>
      <w:tr w:rsidR="00165472" w:rsidRPr="000942A3" w14:paraId="61018835" w14:textId="77777777">
        <w:tc>
          <w:tcPr>
            <w:tcW w:w="1300" w:type="pct"/>
            <w:tcMar>
              <w:top w:w="60" w:type="dxa"/>
              <w:left w:w="80" w:type="dxa"/>
              <w:bottom w:w="60" w:type="dxa"/>
              <w:right w:w="80" w:type="dxa"/>
            </w:tcMar>
            <w:vAlign w:val="center"/>
          </w:tcPr>
          <w:p w14:paraId="2B24820A" w14:textId="77777777" w:rsidR="00165472" w:rsidRPr="000942A3" w:rsidRDefault="00E95977">
            <w:pPr>
              <w:rPr>
                <w:rFonts w:ascii="Arial" w:hAnsi="Arial" w:cs="Arial"/>
                <w:sz w:val="22"/>
                <w:szCs w:val="22"/>
              </w:rPr>
            </w:pPr>
            <w:r w:rsidRPr="000942A3">
              <w:rPr>
                <w:rFonts w:ascii="Arial" w:hAnsi="Arial" w:cs="Arial"/>
                <w:sz w:val="22"/>
                <w:szCs w:val="22"/>
              </w:rPr>
              <w:t>Pre-event baseline</w:t>
            </w:r>
          </w:p>
        </w:tc>
        <w:tc>
          <w:tcPr>
            <w:tcW w:w="3700" w:type="pct"/>
            <w:tcMar>
              <w:top w:w="60" w:type="dxa"/>
              <w:left w:w="80" w:type="dxa"/>
              <w:bottom w:w="60" w:type="dxa"/>
              <w:right w:w="80" w:type="dxa"/>
            </w:tcMar>
            <w:vAlign w:val="center"/>
          </w:tcPr>
          <w:p w14:paraId="329D8B9B" w14:textId="77777777" w:rsidR="00165472" w:rsidRPr="000942A3" w:rsidRDefault="00E95977">
            <w:pPr>
              <w:rPr>
                <w:rFonts w:ascii="Arial" w:hAnsi="Arial" w:cs="Arial"/>
                <w:sz w:val="22"/>
                <w:szCs w:val="22"/>
              </w:rPr>
            </w:pPr>
            <w:r w:rsidRPr="000942A3">
              <w:rPr>
                <w:rFonts w:ascii="Arial" w:hAnsi="Arial" w:cs="Arial"/>
                <w:sz w:val="22"/>
                <w:szCs w:val="22"/>
              </w:rPr>
              <w:t>Sufficient pre-perturbation observations to estimate the patient's baseline state and its recent trajectory.</w:t>
            </w:r>
          </w:p>
        </w:tc>
      </w:tr>
      <w:tr w:rsidR="00165472" w:rsidRPr="000942A3" w14:paraId="24F70DBE" w14:textId="77777777">
        <w:tc>
          <w:tcPr>
            <w:tcW w:w="1300" w:type="pct"/>
            <w:tcMar>
              <w:top w:w="60" w:type="dxa"/>
              <w:left w:w="80" w:type="dxa"/>
              <w:bottom w:w="60" w:type="dxa"/>
              <w:right w:w="80" w:type="dxa"/>
            </w:tcMar>
            <w:vAlign w:val="center"/>
          </w:tcPr>
          <w:p w14:paraId="12D33D5C" w14:textId="77777777" w:rsidR="00165472" w:rsidRPr="000942A3" w:rsidRDefault="00E95977">
            <w:pPr>
              <w:rPr>
                <w:rFonts w:ascii="Arial" w:hAnsi="Arial" w:cs="Arial"/>
                <w:sz w:val="22"/>
                <w:szCs w:val="22"/>
              </w:rPr>
            </w:pPr>
            <w:r w:rsidRPr="000942A3">
              <w:rPr>
                <w:rFonts w:ascii="Arial" w:hAnsi="Arial" w:cs="Arial"/>
                <w:sz w:val="22"/>
                <w:szCs w:val="22"/>
              </w:rPr>
              <w:t>Post-event observations</w:t>
            </w:r>
          </w:p>
        </w:tc>
        <w:tc>
          <w:tcPr>
            <w:tcW w:w="3700" w:type="pct"/>
            <w:tcMar>
              <w:top w:w="60" w:type="dxa"/>
              <w:left w:w="80" w:type="dxa"/>
              <w:bottom w:w="60" w:type="dxa"/>
              <w:right w:w="80" w:type="dxa"/>
            </w:tcMar>
            <w:vAlign w:val="center"/>
          </w:tcPr>
          <w:p w14:paraId="4CE5BFAC" w14:textId="77777777" w:rsidR="00165472" w:rsidRPr="000942A3" w:rsidRDefault="00E95977">
            <w:pPr>
              <w:rPr>
                <w:rFonts w:ascii="Arial" w:hAnsi="Arial" w:cs="Arial"/>
                <w:sz w:val="22"/>
                <w:szCs w:val="22"/>
              </w:rPr>
            </w:pPr>
            <w:r w:rsidRPr="000942A3">
              <w:rPr>
                <w:rFonts w:ascii="Arial" w:hAnsi="Arial" w:cs="Arial"/>
                <w:sz w:val="22"/>
                <w:szCs w:val="22"/>
              </w:rPr>
              <w:t>Sufficient observations after the event to characterize the recovery trajectory.</w:t>
            </w:r>
          </w:p>
        </w:tc>
      </w:tr>
      <w:tr w:rsidR="00165472" w:rsidRPr="000942A3" w14:paraId="7571B067" w14:textId="77777777">
        <w:tc>
          <w:tcPr>
            <w:tcW w:w="1300" w:type="pct"/>
            <w:tcMar>
              <w:top w:w="60" w:type="dxa"/>
              <w:left w:w="80" w:type="dxa"/>
              <w:bottom w:w="60" w:type="dxa"/>
              <w:right w:w="80" w:type="dxa"/>
            </w:tcMar>
            <w:vAlign w:val="center"/>
          </w:tcPr>
          <w:p w14:paraId="34D6E6D9" w14:textId="77777777" w:rsidR="00165472" w:rsidRPr="000942A3" w:rsidRDefault="00E95977">
            <w:pPr>
              <w:rPr>
                <w:rFonts w:ascii="Arial" w:hAnsi="Arial" w:cs="Arial"/>
                <w:sz w:val="22"/>
                <w:szCs w:val="22"/>
              </w:rPr>
            </w:pPr>
            <w:r w:rsidRPr="000942A3">
              <w:rPr>
                <w:rFonts w:ascii="Arial" w:hAnsi="Arial" w:cs="Arial"/>
                <w:sz w:val="22"/>
                <w:szCs w:val="22"/>
              </w:rPr>
              <w:t>Temporal separability</w:t>
            </w:r>
          </w:p>
        </w:tc>
        <w:tc>
          <w:tcPr>
            <w:tcW w:w="3700" w:type="pct"/>
            <w:tcMar>
              <w:top w:w="60" w:type="dxa"/>
              <w:left w:w="80" w:type="dxa"/>
              <w:bottom w:w="60" w:type="dxa"/>
              <w:right w:w="80" w:type="dxa"/>
            </w:tcMar>
            <w:vAlign w:val="center"/>
          </w:tcPr>
          <w:p w14:paraId="3362EED8" w14:textId="77777777" w:rsidR="00165472" w:rsidRPr="000942A3" w:rsidRDefault="00E95977">
            <w:pPr>
              <w:rPr>
                <w:rFonts w:ascii="Arial" w:hAnsi="Arial" w:cs="Arial"/>
                <w:sz w:val="22"/>
                <w:szCs w:val="22"/>
              </w:rPr>
            </w:pPr>
            <w:r w:rsidRPr="000942A3">
              <w:rPr>
                <w:rFonts w:ascii="Arial" w:hAnsi="Arial" w:cs="Arial"/>
                <w:sz w:val="22"/>
                <w:szCs w:val="22"/>
              </w:rPr>
              <w:t>No overlapping major perturbation that prevents attribution of the observed trajectory to the index event.</w:t>
            </w:r>
          </w:p>
        </w:tc>
      </w:tr>
      <w:tr w:rsidR="00165472" w:rsidRPr="000942A3" w14:paraId="2D0920D2" w14:textId="77777777">
        <w:tc>
          <w:tcPr>
            <w:tcW w:w="1300" w:type="pct"/>
            <w:tcMar>
              <w:top w:w="60" w:type="dxa"/>
              <w:left w:w="80" w:type="dxa"/>
              <w:bottom w:w="60" w:type="dxa"/>
              <w:right w:w="80" w:type="dxa"/>
            </w:tcMar>
            <w:vAlign w:val="center"/>
          </w:tcPr>
          <w:p w14:paraId="25895AC0" w14:textId="77777777" w:rsidR="00165472" w:rsidRPr="000942A3" w:rsidRDefault="00E95977">
            <w:pPr>
              <w:rPr>
                <w:rFonts w:ascii="Arial" w:hAnsi="Arial" w:cs="Arial"/>
                <w:sz w:val="22"/>
                <w:szCs w:val="22"/>
              </w:rPr>
            </w:pPr>
            <w:r w:rsidRPr="000942A3">
              <w:rPr>
                <w:rFonts w:ascii="Arial" w:hAnsi="Arial" w:cs="Arial"/>
                <w:sz w:val="22"/>
                <w:szCs w:val="22"/>
              </w:rPr>
              <w:t>Coding/data quality</w:t>
            </w:r>
          </w:p>
        </w:tc>
        <w:tc>
          <w:tcPr>
            <w:tcW w:w="3700" w:type="pct"/>
            <w:tcMar>
              <w:top w:w="60" w:type="dxa"/>
              <w:left w:w="80" w:type="dxa"/>
              <w:bottom w:w="60" w:type="dxa"/>
              <w:right w:w="80" w:type="dxa"/>
            </w:tcMar>
            <w:vAlign w:val="center"/>
          </w:tcPr>
          <w:p w14:paraId="216B50D8" w14:textId="77777777" w:rsidR="00165472" w:rsidRPr="000942A3" w:rsidRDefault="00E95977">
            <w:pPr>
              <w:rPr>
                <w:rFonts w:ascii="Arial" w:hAnsi="Arial" w:cs="Arial"/>
                <w:sz w:val="22"/>
                <w:szCs w:val="22"/>
              </w:rPr>
            </w:pPr>
            <w:r w:rsidRPr="000942A3">
              <w:rPr>
                <w:rFonts w:ascii="Arial" w:hAnsi="Arial" w:cs="Arial"/>
                <w:sz w:val="22"/>
                <w:szCs w:val="22"/>
              </w:rPr>
              <w:t>Adequate coding consistency and measurement density to support reproducible identification.</w:t>
            </w:r>
          </w:p>
        </w:tc>
      </w:tr>
      <w:tr w:rsidR="00165472" w:rsidRPr="000942A3" w14:paraId="7ADD4248" w14:textId="77777777">
        <w:tc>
          <w:tcPr>
            <w:tcW w:w="1300" w:type="pct"/>
            <w:tcMar>
              <w:top w:w="60" w:type="dxa"/>
              <w:left w:w="80" w:type="dxa"/>
              <w:bottom w:w="60" w:type="dxa"/>
              <w:right w:w="80" w:type="dxa"/>
            </w:tcMar>
            <w:vAlign w:val="center"/>
          </w:tcPr>
          <w:p w14:paraId="523CF486" w14:textId="77777777" w:rsidR="00165472" w:rsidRPr="000942A3" w:rsidRDefault="00E95977">
            <w:pPr>
              <w:rPr>
                <w:rFonts w:ascii="Arial" w:hAnsi="Arial" w:cs="Arial"/>
                <w:sz w:val="22"/>
                <w:szCs w:val="22"/>
              </w:rPr>
            </w:pPr>
            <w:r w:rsidRPr="000942A3">
              <w:rPr>
                <w:rFonts w:ascii="Arial" w:hAnsi="Arial" w:cs="Arial"/>
                <w:sz w:val="22"/>
                <w:szCs w:val="22"/>
              </w:rPr>
              <w:t>Minimum analytic frequency</w:t>
            </w:r>
          </w:p>
        </w:tc>
        <w:tc>
          <w:tcPr>
            <w:tcW w:w="3700" w:type="pct"/>
            <w:tcMar>
              <w:top w:w="60" w:type="dxa"/>
              <w:left w:w="80" w:type="dxa"/>
              <w:bottom w:w="60" w:type="dxa"/>
              <w:right w:w="80" w:type="dxa"/>
            </w:tcMar>
            <w:vAlign w:val="center"/>
          </w:tcPr>
          <w:p w14:paraId="077DA987" w14:textId="77777777" w:rsidR="00165472" w:rsidRPr="000942A3" w:rsidRDefault="00E95977">
            <w:pPr>
              <w:rPr>
                <w:rFonts w:ascii="Arial" w:hAnsi="Arial" w:cs="Arial"/>
                <w:sz w:val="22"/>
                <w:szCs w:val="22"/>
              </w:rPr>
            </w:pPr>
            <w:r w:rsidRPr="000942A3">
              <w:rPr>
                <w:rFonts w:ascii="Arial" w:hAnsi="Arial" w:cs="Arial"/>
                <w:sz w:val="22"/>
                <w:szCs w:val="22"/>
              </w:rPr>
              <w:t>Sufficient eligible events to support the prespecified primary statistical model and its validation/sensitivity analyses.</w:t>
            </w:r>
          </w:p>
        </w:tc>
      </w:tr>
      <w:tr w:rsidR="00165472" w:rsidRPr="000942A3" w14:paraId="7ADD4248" w14:textId="77777777">
        <w:tc>
          <w:tcPr>
            <w:tcW w:w="1300" w:type="pct"/>
            <w:tcMar>
              <w:top w:w="60" w:type="dxa"/>
              <w:left w:w="80" w:type="dxa"/>
              <w:bottom w:w="60" w:type="dxa"/>
              <w:right w:w="80" w:type="dxa"/>
            </w:tcMar>
            <w:vAlign w:val="center"/>
          </w:tcPr>
          <w:p w14:paraId="523CF486" w14:textId="77777777" w:rsidR="00165472" w:rsidRPr="000942A3" w:rsidRDefault="00E95977">
            <w:pPr>
              <w:rPr>
                <w:rFonts w:ascii="Arial" w:hAnsi="Arial" w:cs="Arial"/>
                <w:sz w:val="22"/>
                <w:szCs w:val="22"/>
              </w:rPr>
            </w:pPr>
            <w:r w:rsidRPr="000942A3">
              <w:rPr>
                <w:rFonts w:ascii="Arial" w:hAnsi="Arial" w:cs="Arial"/>
                <w:sz w:val="22"/>
                <w:szCs w:val="22"/>
              </w:rPr>
              <w:t>Minimum clinical deviation</w:t>
            </w:r>
          </w:p>
        </w:tc>
        <w:tc>
          <w:tcPr>
            <w:tcW w:w="3700" w:type="pct"/>
            <w:tcMar>
              <w:top w:w="60" w:type="dxa"/>
              <w:left w:w="80" w:type="dxa"/>
              <w:bottom w:w="60" w:type="dxa"/>
              <w:right w:w="80" w:type="dxa"/>
            </w:tcMar>
            <w:vAlign w:val="center"/>
          </w:tcPr>
          <w:p w14:paraId="077DA987" w14:textId="77777777" w:rsidR="00165472" w:rsidRPr="000942A3" w:rsidRDefault="00E95977">
            <w:pPr>
              <w:rPr>
                <w:rFonts w:ascii="Arial" w:hAnsi="Arial" w:cs="Arial"/>
                <w:sz w:val="22"/>
                <w:szCs w:val="22"/>
              </w:rPr>
            </w:pPr>
            <w:r w:rsidRPr="000942A3">
              <w:rPr>
                <w:rFonts w:ascii="Arial" w:hAnsi="Arial" w:cs="Arial"/>
                <w:sz w:val="22"/>
                <w:szCs w:val="22"/>
              </w:rPr>
              <w:t>The event meets a minimum physiological-demand threshold defined from clinical information independent of the BSI (for example documented fever, antibiotic prescription or admission order for infectious episodes; magnitude of dose change for medication changes), never from the BSI-derived deviation D_i.</w:t>
            </w:r>
          </w:p>
        </w:tc>
      </w:tr>
    </w:tbl>
    <w:p w14:paraId="1544C4BC"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Candidate perturbations include documented infectious episodes as the primary candidate, with significant medication changes, mild metabolic decompensation, and brief unrelated hospitalization as secondary candidates.</w:t>
      </w:r>
    </w:p>
    <w:p w14:paraId="0A3C2E73"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Selection rule: </w:t>
      </w:r>
      <w:r w:rsidRPr="000942A3">
        <w:rPr>
          <w:rFonts w:ascii="Arial" w:hAnsi="Arial" w:cs="Arial"/>
          <w:sz w:val="22"/>
          <w:szCs w:val="22"/>
        </w:rPr>
        <w:t>among candidate perturbation types meeting all eligibility criteria above, the principal perturbation type will be the one yielding the largest number of eligible perturbation-recovery events with adequate temporal separation between baseline, perturbation, and recovery phases. This selection rule is fixed in advance and applied mechanically to the data; it is not chosen post hoc based on which perturbation type produces a stronger observed BSI–Adaptive Capacity relationship. The resulting event counts and data-quality profile will be documented before the primary PE3 model is fitted.</w:t>
      </w:r>
    </w:p>
    <w:p w14:paraId="41CEB690" w14:textId="77777777" w:rsidR="00165472" w:rsidRPr="000942A3" w:rsidRDefault="00E95977">
      <w:pPr>
        <w:spacing w:before="120" w:after="60"/>
        <w:rPr>
          <w:rFonts w:ascii="Arial" w:hAnsi="Arial" w:cs="Arial"/>
          <w:sz w:val="22"/>
          <w:szCs w:val="22"/>
        </w:rPr>
      </w:pPr>
      <w:r w:rsidRPr="000942A3">
        <w:rPr>
          <w:rFonts w:ascii="Arial" w:hAnsi="Arial" w:cs="Arial"/>
          <w:b/>
          <w:bCs/>
          <w:i/>
          <w:iCs/>
          <w:sz w:val="22"/>
          <w:szCs w:val="22"/>
        </w:rPr>
        <w:t>6.4.2 Recovery-window algorithm</w:t>
      </w:r>
    </w:p>
    <w:p w14:paraId="323E8269"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Recovery is evaluated using a perturbation-type-specific window rather than a universal fixed duration. For each eligible perturbation, the recovery window [T0, T0+W] is defined only from prespecified rules based on: (a) the perturbation type; (b) its expected clinical timescale, fixed in a table of W by perturbation type before outcome access; and (c) measurement availability (a minimum number of BSI observations inside the window). W is never defined from the post-event trajectory, and no criterion may use evidence of return toward the pre-event state, because that would select the window on the recovery itself. Subsequent perturbations that make the trajectory non-attributable are identified from coded events only, never from the BSI trajectory. The algorithm and all parameters are fixed before PE3 outcome modeling.</w:t>
      </w:r>
    </w:p>
    <w:p w14:paraId="231DD6A7"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The resulting trajectory will distinguish baseline, perturbation, and recovery phases. If a patient has multiple eligible events, events will be treated as repeated observations within patient, with dependence handled in the statistical model or through clustered/robust estimation as appropriate.</w:t>
      </w:r>
    </w:p>
    <w:p w14:paraId="4AC09CB5" w14:textId="77777777" w:rsidR="00165472" w:rsidRPr="000942A3" w:rsidRDefault="00E95977">
      <w:pPr>
        <w:spacing w:before="120" w:after="60"/>
        <w:rPr>
          <w:rFonts w:ascii="Arial" w:hAnsi="Arial" w:cs="Arial"/>
          <w:sz w:val="22"/>
          <w:szCs w:val="22"/>
        </w:rPr>
      </w:pPr>
      <w:r w:rsidRPr="000942A3">
        <w:rPr>
          <w:rFonts w:ascii="Arial" w:hAnsi="Arial" w:cs="Arial"/>
          <w:b/>
          <w:bCs/>
          <w:i/>
          <w:iCs/>
          <w:sz w:val="22"/>
          <w:szCs w:val="22"/>
        </w:rPr>
        <w:t>6.4.3 Closed mathematical definition of Adaptive Capacity</w:t>
      </w:r>
    </w:p>
    <w:p w14:paraId="5A48B600" w14:textId="77777777" w:rsidR="00165472" w:rsidRPr="000942A3" w:rsidRDefault="00E95977">
      <w:pPr>
        <w:spacing w:after="110" w:line="258" w:lineRule="auto"/>
        <w:rPr>
          <w:rFonts w:ascii="Arial" w:hAnsi="Arial" w:cs="Arial"/>
          <w:sz w:val="22"/>
          <w:szCs w:val="22"/>
        </w:rPr>
      </w:pPr>
      <w:r w:rsidRPr="000942A3">
        <w:rPr>
          <w:rFonts w:ascii="Arial" w:hAnsi="Arial" w:cs="Arial"/>
          <w:i/>
          <w:iCs/>
          <w:sz w:val="22"/>
          <w:szCs w:val="22"/>
        </w:rPr>
        <w:t>This subsection provides the closed definition with unambiguous notation.</w:t>
      </w:r>
    </w:p>
    <w:p w14:paraId="327B0D92"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Let BSI_i(t) denote patient i's Biological State Index trajectory, T0_i the onset of an eligible perturbation (6.4.1), and [T0_i, T0_i+W_i] the recovery window determined by the Section 6.4.2 temporal algorithm.</w:t>
      </w:r>
    </w:p>
    <w:p w14:paraId="35C45F46"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Baseline: BSI_i^base is the mean of BSI_i(t) over the pre-perturbation window [T0_i−w, T0_i), with w fixed a priori by perturbation type.</w:t>
      </w:r>
    </w:p>
    <w:p w14:paraId="4987D3F9"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Primary perturbation severity: S_i is defined from objective clinical information independent of the BSI construction. The BSI-derived deviation D_i = BSI_i^base − BSI_i^nadir is retained only as a secondary sensitivity measure and is not used as the primary severity adjustment.</w:t>
      </w:r>
    </w:p>
    <w:p w14:paraId="7ADBE599"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BSI_i^nadir is a robust nadir: the mean of the two lowest BSI observations within a nadir window [T0_i, T0_i+W^n] whose length W^n is fixed in advance by perturbation type (a smoothed minimum is a sensitivity alternative). The raw minimum is used only as a sensitivity analysis, because the minimum of a noisy, irregularly sampled series is biased downward and inflates R_i, most of all when measurements are dense. The number of observations in the window (measurement density) is included in Z_i.</w:t>
      </w:r>
    </w:p>
    <w:p w14:paraId="61041F3B" w14:textId="77777777" w:rsidR="00165472" w:rsidRPr="000942A3" w:rsidRDefault="00E95977">
      <w:pPr>
        <w:spacing w:after="110" w:line="258" w:lineRule="auto"/>
        <w:rPr>
          <w:rFonts w:ascii="Arial" w:hAnsi="Arial" w:cs="Arial"/>
          <w:sz w:val="22"/>
          <w:szCs w:val="22"/>
        </w:rPr>
      </w:pPr>
      <w:r>
        <w:t>Observed recovery amount: R_i = BSI_i^end − BSI_i^nadir, where BSI_i^end is the mean of the (up to) two last BSI observations inside the closing window [T0_i+W_i−w^e, T0_i+W_i], with w^e fixed in advance by perturbation type (a single observation is accepted only if the minimum measurement availability of Section 6.4.2 is met), symmetric to the robust nadir. Events below the prespecified minimum clinical deviation criterion (defined independently of the BSI) are excluded under Section 6.4.1. D_i is not used to normalize the primary outcome, except under the registered switching rule of Section 6.4.7.</w:t>
      </w:r>
    </w:p>
    <w:p w14:paraId="762F15FD" w14:textId="77777777" w:rsidR="00165472" w:rsidRPr="000942A3" w:rsidRDefault="00E95977">
      <w:pPr>
        <w:spacing w:after="110" w:line="258" w:lineRule="auto"/>
        <w:rPr>
          <w:rFonts w:ascii="Arial" w:hAnsi="Arial" w:cs="Arial"/>
          <w:sz w:val="22"/>
          <w:szCs w:val="22"/>
        </w:rPr>
      </w:pPr>
      <w:r>
        <w:t>Expected recovery: Ê[R | S_i, X_i] is estimated from eligible perturbation-recovery events conditional on prespecified clinical severity variables S_i and covariates X_i. Baseline BSI_i^base is not included in this expected-recovery model because it is the primary exposure in PE3. Patient-level cross-fitting excludes all events from the patient contributing event i from the training data used to estimate its expected recovery.</w:t>
      </w:r>
    </w:p>
    <w:p w14:paraId="076B78E9" w14:textId="77777777" w:rsidR="00165472" w:rsidRPr="000942A3" w:rsidRDefault="00E95977">
      <w:pPr>
        <w:spacing w:after="110" w:line="258" w:lineRule="auto"/>
        <w:rPr>
          <w:rFonts w:ascii="Arial" w:hAnsi="Arial" w:cs="Arial"/>
          <w:sz w:val="22"/>
          <w:szCs w:val="22"/>
        </w:rPr>
      </w:pPr>
      <w:r>
        <w:t>Adaptive Capacity: AC_i = R_i − Ê[R | S_i, X_i]. AC_i represents recovery relative to what would be expected for an event of comparable clinical severity and prespecified covariate profile, without residualizing away baseline BSI.</w:t>
      </w:r>
    </w:p>
    <w:p w14:paraId="410A28A2" w14:textId="77777777" w:rsidR="00165472" w:rsidRPr="000942A3" w:rsidRDefault="00E95977">
      <w:pPr>
        <w:spacing w:before="120" w:after="60"/>
        <w:rPr>
          <w:rFonts w:ascii="Arial" w:hAnsi="Arial" w:cs="Arial"/>
          <w:sz w:val="22"/>
          <w:szCs w:val="22"/>
        </w:rPr>
      </w:pPr>
      <w:r w:rsidRPr="000942A3">
        <w:rPr>
          <w:rFonts w:ascii="Arial" w:hAnsi="Arial" w:cs="Arial"/>
          <w:b/>
          <w:bCs/>
          <w:i/>
          <w:iCs/>
          <w:sz w:val="22"/>
          <w:szCs w:val="22"/>
        </w:rPr>
        <w:t>6.4.4 Primary statistical analysis</w:t>
      </w:r>
    </w:p>
    <w:p w14:paraId="3DC5AC36" w14:textId="77777777" w:rsidR="00165472" w:rsidRPr="000942A3" w:rsidRDefault="00E95977">
      <w:pPr>
        <w:spacing w:after="110" w:line="258" w:lineRule="auto"/>
        <w:rPr>
          <w:rFonts w:ascii="Arial" w:hAnsi="Arial" w:cs="Arial"/>
          <w:sz w:val="22"/>
          <w:szCs w:val="22"/>
        </w:rPr>
      </w:pPr>
      <w:r>
        <w:t>The primary PE3 analysis will use quantile regression to test whether baseline Biological State constrains the upper ceiling of Adaptive Capacity rather than merely shifting its conditional mean. Adaptive Capacity is defined from the absolute recovery amount R_i after adjustment for expected recovery under comparable clinical perturbation severity.</w:t>
      </w:r>
    </w:p>
    <w:p w14:paraId="636C79E4" w14:textId="77777777" w:rsidR="00F45B20" w:rsidRDefault="002B1661">
      <w:r>
        <w:t>The primary hypothesis is that the BSH-predicted ceiling appears as an upper-quantile slope steeper than the median slope. With the BSI scaled so that higher values indicate a better state, the primary parameter is the contrast Δβ = β_1,0.90 − β_1,0.50, and the BSH predicts Δβ &gt; 0. A slope at τ=0.90 alone is not accepted as evidence of a ceiling, because it can also arise from heteroscedasticity or from a shift in the conditional mean.</w:t>
      </w:r>
    </w:p>
    <w:p w14:paraId="538D1DB5" w14:textId="77777777" w:rsidR="00F45B20" w:rsidRDefault="002B1661">
      <w:r>
        <w:t>The primary quantile is τ=0.90 and the median τ=0.50 is its reference; τ=0.75 and τ=0.95 are supportive analyses. Z_i includes the prespecified severity variables S_i, chronological age, measurement density, and other prespecified covariates available at or before the perturbation. Repeated events within patients are handled by a patient-level (cluster) bootstrap; each replicate repeats the whole pipeline, including the patient-level cross-fitting of the expected recovery, so that the interval reflects the uncertainty of that estimation. The decision rule for Δβ uses critical values calibrated against the null simulation of Section 6.4.7, not asymptotic ones.</w:t>
      </w:r>
    </w:p>
    <w:p w14:paraId="67B98896" w14:textId="77777777" w:rsidR="00F45B20" w:rsidRDefault="002B1661">
      <w:r>
        <w:t>Q_τ(AC_i | BSI_i^base, Z_i) = β_0,τ + β_1,τ·BSI_i^base + γ_τ^T Z_i, for τ ∈ {0.50, 0.75, 0.90, 0.95}. The BSI term is linear in the primary analysis, as written, and is replaced by a natural cubic spline f(BSI_i^base) with 3 degrees of freedom in a sensitivity analysis. No patient-level random effect is included; dependence among repeated events is handled by the cluster bootstrap.</w:t>
      </w:r>
    </w:p>
    <w:p w14:paraId="53B9C88B" w14:textId="77777777" w:rsidR="00F45B20" w:rsidRDefault="002B1661">
      <w:r>
        <w:t>The primary estimand is Δβ = β_1,0.90 − β_1,0.50, the difference between the upper-quantile and the median association of baseline BSI with AC_i, given the prespecified covariates.</w:t>
      </w:r>
    </w:p>
    <w:p w14:paraId="194F6579" w14:textId="77777777" w:rsidR="00165472" w:rsidRPr="000942A3" w:rsidRDefault="00E95977">
      <w:pPr>
        <w:spacing w:before="120" w:after="60"/>
        <w:rPr>
          <w:rFonts w:ascii="Arial" w:hAnsi="Arial" w:cs="Arial"/>
          <w:sz w:val="22"/>
          <w:szCs w:val="22"/>
        </w:rPr>
      </w:pPr>
      <w:r w:rsidRPr="000942A3">
        <w:rPr>
          <w:rFonts w:ascii="Arial" w:hAnsi="Arial" w:cs="Arial"/>
          <w:b/>
          <w:bCs/>
          <w:i/>
          <w:iCs/>
          <w:sz w:val="22"/>
          <w:szCs w:val="22"/>
        </w:rPr>
        <w:t>6.4.5 PE3 robustness and sensitivity analyses</w:t>
      </w:r>
    </w:p>
    <w:p w14:paraId="15F498CB"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The primary BSI→Adaptive Capacity relationship will be subjected to prespecified sensitivity analyses: (1) alternative clinically defensible recovery-window specifications; (2) alternative perturbation-severity thresholds where applicable; (3) exclusion of events occurring too close to another major perturbation; (4) alternative handling of repeated events within patient; and (5) complete-case or alternative missing-data specifications where justified; (6) the fraction of the drop recovered, R_i/D_i, restricted to events with D_i above the prespecified threshold D_min (Section 6.4.7) (D_i is BSI-derived and is therefore used only in this analysis); (7) a model of the post-window BSI conditioned on baseline and nadir, BSI_i^end ~ BSI_i^base + BSI_i^nadir + S_i + X_i, with the same contrast of upper-quantile and median slopes for BSI_i^base; (8) the raw-minimum nadir; (9) baseline BSI residualized on chronological age; and (10) the cubic-spline form of f(·). The purpose is to determine whether the estimated ceiling relationship is robust to reasonable changes in operationalization, not to select a specification that maximizes the observed association.</w:t>
      </w:r>
    </w:p>
    <w:p w14:paraId="15F498CB"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Selection and informative measurement: requiring post-event observations and excluding patients who die or are transferred selects on the outcome. The protocol therefore reports, for every exclusion step, the number of patients and events removed and their baseline characteristics; models inclusion and measurement density (more severely ill patients are measured more often) with inverse-probability weights and includes measurement density in Z_i; treats death or transfer inside the recovery window as competing events, not as missing data; and adds a worst-case sensitivity analysis in which such patients are assigned the lowest observed recovery in their severity stratum.</w:t>
      </w:r>
    </w:p>
    <w:p w14:paraId="6396624F" w14:textId="77777777" w:rsidR="00165472" w:rsidRPr="000942A3" w:rsidRDefault="00E95977">
      <w:pPr>
        <w:spacing w:before="120" w:after="60"/>
        <w:rPr>
          <w:rFonts w:ascii="Arial" w:hAnsi="Arial" w:cs="Arial"/>
          <w:sz w:val="22"/>
          <w:szCs w:val="22"/>
        </w:rPr>
      </w:pPr>
      <w:r w:rsidRPr="000942A3">
        <w:rPr>
          <w:rFonts w:ascii="Arial" w:hAnsi="Arial" w:cs="Arial"/>
          <w:b/>
          <w:bCs/>
          <w:i/>
          <w:iCs/>
          <w:sz w:val="22"/>
          <w:szCs w:val="22"/>
        </w:rPr>
        <w:t>6.4.6 Leakage prevention</w:t>
      </w:r>
    </w:p>
    <w:p w14:paraId="1B46643E" w14:textId="77777777" w:rsidR="00165472" w:rsidRPr="000942A3" w:rsidRDefault="00E95977">
      <w:pPr>
        <w:spacing w:after="110" w:line="258" w:lineRule="auto"/>
        <w:rPr>
          <w:rFonts w:ascii="Arial" w:hAnsi="Arial" w:cs="Arial"/>
          <w:sz w:val="22"/>
          <w:szCs w:val="22"/>
        </w:rPr>
      </w:pPr>
      <w:r>
        <w:t>No BSI input biomarker may by itself define the recovery differential. Predictor features will be restricted to information available before or at the prespecified prediction time. Post-perturbation information used to define ACᵢ will not be used as a predictor. The outcome is a recovery differential derived from the post-perturbation response and is therefore temporally distinct from predictor information. Temporal validation, feature time-availability verification, patient-level separation between development and validation data, and patient-level cross-fitting for expected recovery estimation will be enforced. The primary perturbation-severity variables are defined independently of the BSI; the BSI-derived baseline-to-nadir deviation is restricted to sensitivity analyses, except under the registered switching rule of Section 6.4.7.</w:t>
      </w:r>
    </w:p>
    <w:p w14:paraId="6396624F" w14:textId="77777777" w:rsidR="00165472" w:rsidRPr="000942A3" w:rsidRDefault="00E95977">
      <w:pPr>
        <w:spacing w:before="120" w:after="60"/>
        <w:rPr>
          <w:rFonts w:ascii="Arial" w:hAnsi="Arial" w:cs="Arial"/>
          <w:sz w:val="22"/>
          <w:szCs w:val="22"/>
        </w:rPr>
      </w:pPr>
      <w:r w:rsidRPr="000942A3">
        <w:rPr>
          <w:rFonts w:ascii="Arial" w:hAnsi="Arial" w:cs="Arial"/>
          <w:b/>
          <w:bCs/>
          <w:i/>
          <w:iCs/>
          <w:sz w:val="22"/>
          <w:szCs w:val="22"/>
        </w:rPr>
        <w:t>6.4.7 Pre-data null simulation and calibration of the primary test</w:t>
      </w:r>
    </w:p>
    <w:p w14:paraId="1B46643E" w14:textId="77777777" w:rsidR="00165472" w:rsidRPr="000942A3" w:rsidRDefault="00E95977">
      <w:pPr>
        <w:spacing w:after="110" w:line="258" w:lineRule="auto"/>
        <w:rPr>
          <w:rFonts w:ascii="Arial" w:hAnsi="Arial" w:cs="Arial"/>
          <w:sz w:val="22"/>
          <w:szCs w:val="22"/>
        </w:rPr>
      </w:pPr>
      <w:r>
        <w:t>Before any outcome data are accessed, a null simulation is designed to check that the full PE3 pipeline (robust nadir, expected recovery with patient-level cross-fitting, quantile regression, cluster bootstrap) does not produce a false ceiling. The provisional run reported below implements that full pipeline with parametric inputs: robust nadir (mean of the two lowest observations in the nadir window), end value as the mean of the last two observations in the closing window (Section 6.4.3), one to three events per patient that share the patient's latent baseline state, patient-level cross-fitting repeated inside every bootstrap replicate, and the inclusion rule. An earlier run of a simplified version (raw-minimum nadir, last observation as end value, one event per patient) is reported only for the small-sample false-ceiling rates. The simulation is repeated with the empirical sampling pattern and noise before any outcome data are accessed. Synthetic patients are generated with baseline-dependent perturbation depth (mathematical coupling), measurement noise on the logit scale of the BSI, irregular sampling that is denser in more severe patients, and a minimum-observation inclusion rule. World A has no ceiling; world B has a ceiling whose strength is a parameter. The simulation is outcome-blind and uses no Rebagliati data; code, seeds and results are in the public repository (notebooks BSI_simulacion_nula_PE3 for the earlier simplified run and BSI_simulacion_nula_PE3_v2_completa for the full-pipeline run).</w:t>
      </w:r>
    </w:p>
    <w:p w14:paraId="1B46643E" w14:textId="77777777" w:rsidR="00165472" w:rsidRPr="000942A3" w:rsidRDefault="00E95977">
      <w:pPr>
        <w:spacing w:after="110" w:line="258" w:lineRule="auto"/>
        <w:rPr>
          <w:rFonts w:ascii="Arial" w:hAnsi="Arial" w:cs="Arial"/>
          <w:sz w:val="22"/>
          <w:szCs w:val="22"/>
        </w:rPr>
      </w:pPr>
      <w:r>
        <w:t>Provisional results, earlier simplified run (raw-minimum nadir, one event per patient; parametric sampling pattern, assumed noise standard deviation 0.3 and 0.6, 150 replications per scenario, false-ceiling rates from 40 bootstrap replications, margin of about ±8 percentage points): the uncalibrated primary test on the raw recovery R_i declared a ceiling in world A in 22% of replications at n=200, 50% at n=500, 68% at n=1,000 and 98% at n=2,000 (noise 0.3), against a prespecified acceptable rate of 7%. Removing the coupling reduced the rate (40% at n=1,000) without eliminating it, so coupling is not the only source; nadir bias and the bounded BSI scale also contribute. Higher noise (0.6) attenuated both false positives and power. In the full-pipeline run (noise standard deviation 0.3; 40 bootstrap replications per scenario, hence a margin of about ±13 percentage points), the uncalibrated test declared a ceiling in world A in 78% of replications at 1,500 enrolled patients, 95% at 2,000 and 2,500, 98% at 3,000 and 100% at 4,000 and 6,000. These results show that the primary test cannot use asymptotic critical values.</w:t>
      </w:r>
    </w:p>
    <w:p w14:paraId="1B46643E" w14:textId="77777777" w:rsidR="00165472" w:rsidRPr="000942A3" w:rsidRDefault="00E95977">
      <w:pPr>
        <w:spacing w:after="110" w:line="258" w:lineRule="auto"/>
        <w:rPr>
          <w:rFonts w:ascii="Arial" w:hAnsi="Arial" w:cs="Arial"/>
          <w:sz w:val="22"/>
          <w:szCs w:val="22"/>
        </w:rPr>
      </w:pPr>
      <w:r>
        <w:t>Calibration: the critical value of Δβ is the 95th percentile of its distribution in world A, simulated with the empirical measurement noise and timestamps (a one-sided 5% test). A moderate ceiling is one in which the patient with the worst baseline state can recover at most half of what the patient with the best state recovers; a weak ceiling, at most 70%. These two strengths are reference points chosen by the author, not empirical estimates. With the calibrated test in the full-pipeline run (noise standard deviation 0.3; 150 replications per scenario; sizes are patients enrolled, of whom about 68% contribute at least one eligible event, with 1.57 events per patient and 56% of events eligible), the power to detect a moderate ceiling for the fraction of the drop recovered was 0.95 at 1,500 patients (about 1,000 eligible patients, 1,300 eligible events), 0.97 at 2,000, 0.99 at 2,500 and 3,000, and 1.00 at 4,000; for raw recovery it was 0.33 at 1,500, 0.39 at 2,000, 0.57 at 2,500, 0.69 at 3,000, 0.79 at 4,000 (about 2,700 eligible patients, 3,500 events) and 0.82 at 6,000. For a weak ceiling, the power for the fraction recovered was 0.64 at 1,500, 0.76 at 2,000, 0.71 at 2,500, 0.83 at 3,000 (about 2,050 eligible patients, 2,600 events), 0.98 at 4,000 and 0.99 at 6,000, whereas for raw recovery it was 0.17 at 1,500, 0.37 at 3,000, 0.45 at 4,000 and 0.47 at 6,000. Each value carries a margin of about 0.04 to 0.08 (the non-monotone step at 2,500 for the weak ceiling is within that margin). Which of the two outcomes becomes primary depends on the empirical inputs, as set out in the switching rule below.</w:t>
      </w:r>
    </w:p>
    <w:p w14:paraId="1B46643E" w14:textId="77777777" w:rsidR="00165472" w:rsidRPr="000942A3" w:rsidRDefault="00E95977">
      <w:pPr>
        <w:spacing w:after="110" w:line="258" w:lineRule="auto"/>
        <w:rPr>
          <w:rFonts w:ascii="Arial" w:hAnsi="Arial" w:cs="Arial"/>
          <w:sz w:val="22"/>
          <w:szCs w:val="22"/>
        </w:rPr>
      </w:pPr>
      <w:r>
        <w:t>Outcome-blind switching rule: if, in the repeated simulation with the empirical sampling pattern, the calibrated power of the R_i-based AC is below 0.80 at the available N while the fraction of the drop recovered meets it, the fraction recovered becomes the primary outcome (primary contrast Δβ and all other specifications unchanged, apart from the definition below) and the R_i-based AC moves to the sensitivity analyses. This decision is made from the simulation only, before any outcome data are accessed, and is recorded in the registration (Section 6.7).</w:t>
      </w:r>
    </w:p>
    <w:p w14:paraId="1B46643E" w14:textId="77777777" w:rsidR="00165472" w:rsidRPr="000942A3" w:rsidRDefault="00E95977">
      <w:pPr>
        <w:spacing w:after="110" w:line="258" w:lineRule="auto"/>
        <w:rPr>
          <w:rFonts w:ascii="Arial" w:hAnsi="Arial" w:cs="Arial"/>
          <w:sz w:val="22"/>
          <w:szCs w:val="22"/>
        </w:rPr>
      </w:pPr>
      <w:r>
        <w:t>Definition of the fraction-based Adaptive Capacity (applies only if the switching rule is triggered): F_i = R_i / D_i, computed only for events with D_i above a threshold D_min fixed before outcome access from the measurement-error variance of the BSI estimated outcome-blind; AC_i^F = F_i − Ê[F | S_i, X_i], with the expected value estimated by the same patient-level cross-fitting and without baseline BSI. This is an explicit exception to the restriction of D_i to sensitivity analyses in Sections 6.4.3 and 6.4.6: D_i, which is BSI-derived, enters the primary outcome only in this case, because normalizing by depth removes the dependence of absolute recovery on how deep the fall was, which in the simulation was one of the sources of false ceilings; the null simulation is then run on F_i and its critical value calibrated for it. If the rule is not triggered, D_i remains a sensitivity measure only.</w:t>
      </w:r>
    </w:p>
    <w:p w14:paraId="1B46643E" w14:textId="77777777" w:rsidR="00165472" w:rsidRPr="000942A3" w:rsidRDefault="00E95977">
      <w:pPr>
        <w:spacing w:after="110" w:line="258" w:lineRule="auto"/>
        <w:rPr>
          <w:rFonts w:ascii="Arial" w:hAnsi="Arial" w:cs="Arial"/>
          <w:sz w:val="22"/>
          <w:szCs w:val="22"/>
        </w:rPr>
      </w:pPr>
      <w:r>
        <w:t>Limits: the noise, the sampling pattern, the number of events per patient and their dependence (generated through a shared latent baseline state) and the eligibility rule are assumptions until the Rebagliati variable dictionary and timestamps are available. The full-pipeline run covers noise standard deviation 0.3 only; noise 0.6 and alternative sampling densities are repeated with the empirical values. In the generator the ceiling acts on the fraction of the drop that can be recovered, which favours the fraction-based outcome; if the real constraint acts on the absolute amount recovered, the relative power of the two outcomes may differ, and the higher power of the fraction in this simulation is not evidence for the BSH. Each value is a Monte Carlo estimate from 150 replications, and the critical value itself is estimated from those replications. The simulation is repeated with the empirical sampling pattern and its results replace the provisional numbers above.</w:t>
      </w:r>
    </w:p>
    <w:p w14:paraId="76805571" w14:textId="77777777" w:rsidR="00165472" w:rsidRPr="000942A3" w:rsidRDefault="00E95977">
      <w:pPr>
        <w:pStyle w:val="Ttulo2"/>
        <w:spacing w:before="160" w:after="80"/>
        <w:rPr>
          <w:rFonts w:ascii="Arial" w:hAnsi="Arial" w:cs="Arial"/>
          <w:sz w:val="22"/>
          <w:szCs w:val="22"/>
        </w:rPr>
      </w:pPr>
      <w:r w:rsidRPr="000942A3">
        <w:rPr>
          <w:rFonts w:ascii="Arial" w:hAnsi="Arial" w:cs="Arial"/>
          <w:b/>
          <w:bCs/>
          <w:sz w:val="22"/>
          <w:szCs w:val="22"/>
        </w:rPr>
        <w:t>6.5 Biological Trajectory (PE4, secondary)</w:t>
      </w:r>
    </w:p>
    <w:p w14:paraId="345AD5B9"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Group-based trajectory modeling (Nagin, 2005) characterizes longitudinal patterns of BSI/Adaptive Capacity across repeated perturbation-recovery cycles within each patient's EHR history. The trajectory model will be treated as descriptive/associational unless its assumptions and event density support a more formal inferential analysis.</w:t>
      </w:r>
    </w:p>
    <w:p w14:paraId="1BC5F5D9" w14:textId="77777777" w:rsidR="00165472" w:rsidRPr="000942A3" w:rsidRDefault="00E95977">
      <w:pPr>
        <w:pStyle w:val="Ttulo2"/>
        <w:spacing w:before="160" w:after="80"/>
        <w:rPr>
          <w:rFonts w:ascii="Arial" w:hAnsi="Arial" w:cs="Arial"/>
          <w:sz w:val="22"/>
          <w:szCs w:val="22"/>
        </w:rPr>
      </w:pPr>
      <w:r w:rsidRPr="000942A3">
        <w:rPr>
          <w:rFonts w:ascii="Arial" w:hAnsi="Arial" w:cs="Arial"/>
          <w:b/>
          <w:bCs/>
          <w:sz w:val="22"/>
          <w:szCs w:val="22"/>
        </w:rPr>
        <w:t>6.6 NCD progression (PE5, secondary/exploratory — distal outcome)</w:t>
      </w:r>
    </w:p>
    <w:p w14:paraId="14753EEE"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Within the same retrospective cohort's remaining EHR follow-up (no new fieldwork required), association/survival analysis tests whether Adaptive Capacity trajectory class predicts subsequent progression toward NCD outcomes — new confirmed T2D diagnosis (ADA criteria) in patients starting with prediabetes/insulin resistance, a first documented complication, or a first major cardiovascular event. Here, and only here, Charlson and SCORE2-Diabetes serve as direct comparators, since this is the one analysis whose outcome type and horizon genuinely align with what those tools were designed to predict.</w:t>
      </w:r>
    </w:p>
    <w:p w14:paraId="70FBF3AB"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Honest scope limitation on aging: </w:t>
      </w:r>
      <w:r w:rsidRPr="000942A3">
        <w:rPr>
          <w:rFonts w:ascii="Arial" w:hAnsi="Arial" w:cs="Arial"/>
          <w:sz w:val="22"/>
          <w:szCs w:val="22"/>
        </w:rPr>
        <w:t>direct biological-aging quantification (e.g., an epigenetic clock) requires a methylation panel outside the committed core (contingent on future funding). Within this protocol, biological aging is addressed conceptually only (Sections 3-4) and is not independently measured; the NCD-progression outcome defined here is a distal clinical outcome, not a proxy for biological aging, and the thesis makes no inference about biological aging; this is consistent with the BSH's framing of chronic disease and accelerated aging as related downstream manifestations of the same underlying process, not as the same measurement.</w:t>
      </w:r>
    </w:p>
    <w:p w14:paraId="0CBFE4B4" w14:textId="77777777" w:rsidR="00165472" w:rsidRPr="000942A3" w:rsidRDefault="00E95977">
      <w:pPr>
        <w:pStyle w:val="Ttulo2"/>
        <w:spacing w:before="160" w:after="80"/>
        <w:rPr>
          <w:rFonts w:ascii="Arial" w:hAnsi="Arial" w:cs="Arial"/>
          <w:sz w:val="22"/>
          <w:szCs w:val="22"/>
        </w:rPr>
      </w:pPr>
      <w:r w:rsidRPr="000942A3">
        <w:rPr>
          <w:rFonts w:ascii="Arial" w:hAnsi="Arial" w:cs="Arial"/>
          <w:b/>
          <w:bCs/>
          <w:sz w:val="22"/>
          <w:szCs w:val="22"/>
        </w:rPr>
        <w:t>6.7 Statistical hierarchy, sample size, missing data and validation</w:t>
      </w:r>
    </w:p>
    <w:p w14:paraId="38B5915A"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Comparison hierarchy: </w:t>
      </w:r>
      <w:r w:rsidRPr="000942A3">
        <w:rPr>
          <w:rFonts w:ascii="Arial" w:hAnsi="Arial" w:cs="Arial"/>
          <w:sz w:val="22"/>
          <w:szCs w:val="22"/>
        </w:rPr>
        <w:t>PE3 (BS→AC, quantile regression) is the primary confirmatory analysis. PE1, PE2, PE4, PE5, PE6 are secondary/exploratory. Bonferroni correction applies within each tier separately.</w:t>
      </w:r>
    </w:p>
    <w:p w14:paraId="2895F9DF"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Sample size justification: prediction-oriented analyses will use the pre-specified ΔAUC≥0.05 planning criterion where AUC is an applicable estimand, with events-per-variable considerations for candidate fusion architectures. For the primary PE3 analysis, adequacy will be determined by a quantile-regression-specific assessment based on the final eligible perturbation-recovery event count, number of independent patients, model complexity, target quantile (primary τ=0.90), and expected precision of the ceiling estimate. No AUC-based criterion will be used as the sufficiency criterion for PE3.</w:t>
      </w:r>
    </w:p>
    <w:p w14:paraId="1C9FA120"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Event-sufficiency criterion: </w:t>
      </w:r>
      <w:r w:rsidRPr="000942A3">
        <w:rPr>
          <w:rFonts w:ascii="Arial" w:hAnsi="Arial" w:cs="Arial"/>
          <w:sz w:val="22"/>
          <w:szCs w:val="22"/>
        </w:rPr>
        <w:t>before confirmatory PE3 modeling, an event-sufficiency assessment is conducted. PE3 proceeds as specified only if, in the simulation of Section 6.4.7 run with the empirical measurement noise, sampling pattern, number of independent patients and number of eligible events, the calibrated power of the primary contrast Δβ (τ=0.90 versus τ=0.50, one-sided α=0.05) to detect a moderate ceiling is at least 0.80; the expected half-width of the bootstrap interval for Δβ is reported alongside. Provisional planning values from the full-pipeline parametric simulation of Section 6.4.7 (noise standard deviation 0.3, 1.57 events per patient, 68% of enrolled patients and 56% of events eligible): for the fraction of the drop recovered, power of at least 0.80 for a moderate ceiling was already reached at the smallest size simulated (about 1,000 eligible patients) and for a weak ceiling at about 2,000 eligible patients; for raw recovery, about 2,700 to 4,100 eligible patients are needed for a moderate ceiling and 0.80 is not reached for a weak one up to about 4,100 eligible patients. These values replace the earlier planning values of a simplified simulation (about 1,250 to 1,500 independent patients for a moderate ceiling and 3,500 to 4,000 for a weak one). The final N and the minimum number of eligible events are fixed once the Rebagliati variable dictionary and timestamps are available. The assessment is documented independently of the observed BSI–Adaptive Capacity association, so that data adequacy, not the strength of the result, determines whether the primary analysis proceeds. Fallbacks, in this order and fixed in advance: (1) τ=0.75 versus τ=0.50 as the primary contrast; (2) pooling eligible perturbation types with perturbation type as a stratum; (3) PE3 reported as exploratory, with the confirmatory claim withdrawn.</w:t>
      </w:r>
    </w:p>
    <w:p w14:paraId="32F51C8C"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Missing data: </w:t>
      </w:r>
      <w:r w:rsidRPr="000942A3">
        <w:rPr>
          <w:rFonts w:ascii="Arial" w:hAnsi="Arial" w:cs="Arial"/>
          <w:sz w:val="22"/>
          <w:szCs w:val="22"/>
        </w:rPr>
        <w:t>MCAR/MAR via multiple imputation (MICE); MNAR treated as potentially informative via indicator variables, assessed via sensitivity analysis (pattern-mixture models), not assumed by default.</w:t>
      </w:r>
    </w:p>
    <w:p w14:paraId="0054EB20"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Leakage prevention (general): </w:t>
      </w:r>
      <w:r w:rsidRPr="000942A3">
        <w:rPr>
          <w:rFonts w:ascii="Arial" w:hAnsi="Arial" w:cs="Arial"/>
          <w:sz w:val="22"/>
          <w:szCs w:val="22"/>
        </w:rPr>
        <w:t>strict temporal validation, no patient overlap (Kapoor &amp; Narayanan, 2023), and feature time-availability verification.</w:t>
      </w:r>
    </w:p>
    <w:p w14:paraId="54CCC9F2"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Reporting: </w:t>
      </w:r>
      <w:r w:rsidRPr="000942A3">
        <w:rPr>
          <w:rFonts w:ascii="Arial" w:hAnsi="Arial" w:cs="Arial"/>
          <w:sz w:val="22"/>
          <w:szCs w:val="22"/>
        </w:rPr>
        <w:t>RECORD (Benchimol et al., 2015), the extension of STROBE for observational studies using routinely collected health data, for the study as a whole and for PE3 and PE4, whose design is an observational cohort estimation rather than a classification model; TRIPOD+AI (Collins et al., 2024) for classification-style analyses (PE1, PE2, PE5, PE6), with model development and validation following the seven steps of Steyerberg &amp; Vergouwe (2014); Platt-scaled probabilities verified against the Van Calster et al. (2016) calibration hierarchy; NRI and decision curve analysis (Vickers &amp; Elkin, 2006; validity contingent on calibration per Van Calster &amp; Vickers, 2015) for PE5/PE6; DeLong test (DeLong et al., 1988) for AUC comparisons where applicable.</w:t>
      </w:r>
    </w:p>
    <w:p w14:paraId="54CCC9F2"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Reproducibility, benchmarking and documentation: </w:t>
      </w:r>
      <w:r w:rsidRPr="000942A3">
        <w:rPr>
          <w:rFonts w:ascii="Arial" w:hAnsi="Arial" w:cs="Arial"/>
          <w:sz w:val="22"/>
          <w:szCs w:val="22"/>
        </w:rPr>
        <w:t>seeds are fixed before any result is seen (at least five seeds, each changing the split, the folds and the model initialization) and results are reported as mean ± standard deviation, never as the best seed; model comparisons use paired tests over the same seeds or bootstrap intervals, and no model is declared superior from a single number or a p-value without an effect size and its interval. The additive baseline is tuned with the same search budget and compute as the fusion model, on identical splits, with simple baselines (for example regularized regression) included, and compute is reported. Ablations change one component per variant with everything else fixed, report variance, and report the components that do not help; two ablations are named: Ablation A (PE1; removes SR, M or BP from the additive model) and Ablation B (PE2; additive versus fusion). Code is version-controlled, dependency versions are pinned, the data are fingerprinted, imputation, scaling and the model sit inside one pipeline fitted on the development partition only, and the evaluation partition is used once. A Model Card (Mitchell et al., 2019) and a Datasheet (Gebru et al., 2021) are completed before external validation.</w:t>
      </w:r>
    </w:p>
    <w:p w14:paraId="54CCC9F2"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Pre-registration: </w:t>
      </w:r>
      <w:r w:rsidRPr="000942A3">
        <w:rPr>
          <w:rFonts w:ascii="Arial" w:hAnsi="Arial" w:cs="Arial"/>
          <w:sz w:val="22"/>
          <w:szCs w:val="22"/>
        </w:rPr>
        <w:t>the perturbation type and its selection rule, the table of W and nadir windows by perturbation type, the nadir and end-value definitions, the BSI_fixed construction and its minimum domain availability, the training target of Layers 2 and 3, the primary contrast and its calibration, the switching rule of Section 6.4.7 (including the definition of F_i and D_min), and the sufficiency threshold are registered on the Open Science Framework (OSF) with a timestamp before any PE3 outcome data are accessed; the registration identifier is added to this protocol when issued.</w:t>
      </w:r>
    </w:p>
    <w:p w14:paraId="4F6C1FE8" w14:textId="77777777" w:rsidR="00165472" w:rsidRPr="000942A3" w:rsidRDefault="00E95977">
      <w:pPr>
        <w:pStyle w:val="Ttulo1"/>
        <w:spacing w:before="220" w:after="100"/>
        <w:rPr>
          <w:rFonts w:ascii="Arial" w:hAnsi="Arial" w:cs="Arial"/>
          <w:sz w:val="22"/>
          <w:szCs w:val="22"/>
        </w:rPr>
      </w:pPr>
      <w:r w:rsidRPr="000942A3">
        <w:rPr>
          <w:rFonts w:ascii="Arial" w:hAnsi="Arial" w:cs="Arial"/>
          <w:b/>
          <w:bCs/>
          <w:sz w:val="22"/>
          <w:szCs w:val="22"/>
        </w:rPr>
        <w:t>7. Ethical Considerations</w:t>
      </w:r>
    </w:p>
    <w:p w14:paraId="0210EB17"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Participants and consent: </w:t>
      </w:r>
      <w:r w:rsidRPr="000942A3">
        <w:rPr>
          <w:rFonts w:ascii="Arial" w:hAnsi="Arial" w:cs="Arial"/>
          <w:sz w:val="22"/>
          <w:szCs w:val="22"/>
        </w:rPr>
        <w:t>Rebagliati patients under secondary use of already-collected data; scope of original consent to be verified. No new prospective data collection (e.g., standardized challenge protocols) is part of this thesis; such designs remain a separate future extension.</w:t>
      </w:r>
    </w:p>
    <w:p w14:paraId="5E1782BB"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Collection method: </w:t>
      </w:r>
      <w:r w:rsidRPr="000942A3">
        <w:rPr>
          <w:rFonts w:ascii="Arial" w:hAnsi="Arial" w:cs="Arial"/>
          <w:sz w:val="22"/>
          <w:szCs w:val="22"/>
        </w:rPr>
        <w:t>automated EHR extraction under HL7 FHIR, no direct patient contact.</w:t>
      </w:r>
    </w:p>
    <w:p w14:paraId="46FF34AD"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Named risks and mitigation: </w:t>
      </w:r>
      <w:r w:rsidRPr="000942A3">
        <w:rPr>
          <w:rFonts w:ascii="Arial" w:hAnsi="Arial" w:cs="Arial"/>
          <w:sz w:val="22"/>
          <w:szCs w:val="22"/>
        </w:rPr>
        <w:t>(a) model error producing false reassurance or missed intervention — mitigated by physician as final decision-maker via SHAP/attention maps/counterfactuals; (b) data breach — mitigated via de-identification, secure hosting, Ley 29733 and DS 016-2024-JUS; (c) underperformance in underrepresented subgroups — mitigated via disaggregated subgroup reporting.</w:t>
      </w:r>
    </w:p>
    <w:p w14:paraId="47949B2D"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Confidentiality: </w:t>
      </w:r>
      <w:r w:rsidRPr="000942A3">
        <w:rPr>
          <w:rFonts w:ascii="Arial" w:hAnsi="Arial" w:cs="Arial"/>
          <w:sz w:val="22"/>
          <w:szCs w:val="22"/>
        </w:rPr>
        <w:t>de-identification within the ETL pipeline, restricted team access.</w:t>
      </w:r>
    </w:p>
    <w:p w14:paraId="2B11EE62"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Required approvals — three approval processes: </w:t>
      </w:r>
      <w:r w:rsidRPr="000942A3">
        <w:rPr>
          <w:rFonts w:ascii="Arial" w:hAnsi="Arial" w:cs="Arial"/>
          <w:sz w:val="22"/>
          <w:szCs w:val="22"/>
        </w:rPr>
        <w:t>(i) UNMSM CEI — to be filed once UNMSM opens the submission; (ii) Rebagliati institutional approval — initiated September 2026; and (iii) for PE6, ethics approval and a data-use agreement of the external hospital (Seguín Escobedo primary; Almenara secondary), to be filed before Phase C begins. Regulatory frameworks that apply: the CONCYTEC Code (Res. 028-2024-CONCYTEC-P) and the AI Law 31814 Regulation (DS 115-2025-PCM).</w:t>
      </w:r>
    </w:p>
    <w:p w14:paraId="69F2E1B1"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Note on future extensions: </w:t>
      </w:r>
      <w:r w:rsidRPr="000942A3">
        <w:rPr>
          <w:rFonts w:ascii="Arial" w:hAnsi="Arial" w:cs="Arial"/>
          <w:sz w:val="22"/>
          <w:szCs w:val="22"/>
        </w:rPr>
        <w:t>a future methylation sub-phase (direct epigenetic aging quantification) and/or a prospective standardized-challenge protocol (extending Adaptive Capacity measurement beyond EHR-derived perturbations) would each require their own informed-consent process and ethics approval; neither is part of the current approval processes.</w:t>
      </w:r>
    </w:p>
    <w:p w14:paraId="25C93711"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Conflict of interest: </w:t>
      </w:r>
      <w:r w:rsidRPr="000942A3">
        <w:rPr>
          <w:rFonts w:ascii="Arial" w:hAnsi="Arial" w:cs="Arial"/>
          <w:sz w:val="22"/>
          <w:szCs w:val="22"/>
        </w:rPr>
        <w:t>the principal investigator is Scientific director of ADAPTIVE Health OS, for which ChroniCare-AI is conceived as the predictive engine. Explicitly declared; validation holds to the same rigor regardless of commercial application.</w:t>
      </w:r>
    </w:p>
    <w:p w14:paraId="33525301" w14:textId="77777777" w:rsidR="00165472" w:rsidRPr="000942A3" w:rsidRDefault="00E95977">
      <w:pPr>
        <w:spacing w:after="110" w:line="258" w:lineRule="auto"/>
        <w:rPr>
          <w:rFonts w:ascii="Arial" w:hAnsi="Arial" w:cs="Arial"/>
          <w:sz w:val="22"/>
          <w:szCs w:val="22"/>
        </w:rPr>
      </w:pPr>
      <w:r w:rsidRPr="000942A3">
        <w:rPr>
          <w:rFonts w:ascii="Arial" w:hAnsi="Arial" w:cs="Arial"/>
          <w:b/>
          <w:bCs/>
          <w:sz w:val="22"/>
          <w:szCs w:val="22"/>
        </w:rPr>
        <w:t xml:space="preserve">AI-use declaration: </w:t>
      </w:r>
      <w:r w:rsidRPr="000942A3">
        <w:rPr>
          <w:rFonts w:ascii="Arial" w:hAnsi="Arial" w:cs="Arial"/>
          <w:sz w:val="22"/>
          <w:szCs w:val="22"/>
        </w:rPr>
        <w:t>the researcher conceived and decided the study design, paradigm, and all substantive methodological decisions. A language model (Claude, Anthropic) supported drafting, terminology/citation verification, and iterative consistency review, under continuous researcher supervision, following RAISE recommendations (Flemyng et al., 2025).</w:t>
      </w:r>
    </w:p>
    <w:p w14:paraId="7847204E" w14:textId="77777777" w:rsidR="00165472" w:rsidRPr="000942A3" w:rsidRDefault="00E95977">
      <w:pPr>
        <w:pStyle w:val="Ttulo1"/>
        <w:spacing w:before="220" w:after="100"/>
        <w:rPr>
          <w:rFonts w:ascii="Arial" w:hAnsi="Arial" w:cs="Arial"/>
          <w:sz w:val="22"/>
          <w:szCs w:val="22"/>
        </w:rPr>
      </w:pPr>
      <w:r w:rsidRPr="000942A3">
        <w:rPr>
          <w:rFonts w:ascii="Arial" w:hAnsi="Arial" w:cs="Arial"/>
          <w:b/>
          <w:bCs/>
          <w:sz w:val="22"/>
          <w:szCs w:val="22"/>
        </w:rPr>
        <w:t>8. Expected Results</w:t>
      </w:r>
    </w:p>
    <w:p w14:paraId="5BAF5376"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The doctoral contribution does not depend on confirming the BSH's predictions. Within that frame: (1) BSI discrimination, calibration, and clinical utility evidence (PE1); (2) evidence on whether multimodal fusion adds value over the additive form (PE2/BSH's L1); (3) primary evidence on whether the BSI constrains the ceiling of Adaptive Capacity via quantile regression (PE3/BSH's Prediction 1); (4) characterized Biological Trajectory patterns (PE4); (5) secondary/exploratory evidence on whether Adaptive Capacity trajectory associates with subsequent NCD progression, completing an empirical test of the BSH's full proposed chain within a single cohort (PE5); (6) evidence on whether ChroniCare-AI generalizes to an independent external Peruvian hospital (PE6); (7) TRL 4-5 prototype (TRL 6+ out of scope); (8) at least one publication in npj Digital Medicine or Frontiers in Digital Health. The thesis makes no inference about biological aging. A pre-data null simulation (Section 6.4.7) documents the false-ceiling risk of the primary test and sets the data requirements for PE3 before any outcome is seen.</w:t>
      </w:r>
    </w:p>
    <w:p w14:paraId="7021AAC2" w14:textId="77777777" w:rsidR="00165472" w:rsidRPr="000942A3" w:rsidRDefault="00E95977">
      <w:pPr>
        <w:pStyle w:val="Ttulo1"/>
        <w:spacing w:before="220" w:after="100"/>
        <w:rPr>
          <w:rFonts w:ascii="Arial" w:hAnsi="Arial" w:cs="Arial"/>
          <w:sz w:val="22"/>
          <w:szCs w:val="22"/>
        </w:rPr>
      </w:pPr>
      <w:r w:rsidRPr="000942A3">
        <w:rPr>
          <w:rFonts w:ascii="Arial" w:hAnsi="Arial" w:cs="Arial"/>
          <w:b/>
          <w:bCs/>
          <w:sz w:val="22"/>
          <w:szCs w:val="22"/>
        </w:rPr>
        <w:t>9. Timeline and Budget</w:t>
      </w:r>
    </w:p>
    <w:p w14:paraId="56A0CCF6"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Phase A — ethics and data access: September 2026 – April 2027 (8 months). Phase B — BSI construction, multimodal fusion, Adaptive Capacity and trajectory analysis, and the secondary NCD-progression analysis (same retrospective cohort, no new fieldwork): May 2027 – April 2028 (12 months); a single computational pipeline supports all components. Phase C — external validation (Seguín Escobedo primary), writing: May – December 2028 (8 months). Phase D — contingency buffer, final revisions, defense preparation: January – July 2029 (7 months). Benchmark: PROCIENCIA-funded ENARES project (Universidad Continental, 2025), 20 months, S/99,800.</w:t>
      </w:r>
    </w:p>
    <w:p w14:paraId="71E3D633"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Budget: compute via FISI-UNMSM supercomputing (access being arranged). Core study (Phases A-B, including the NCD-progression secondary analysis) executable without external funding, since it reuses the same retrospective cohort. External validation runs at minimum scope using established institutional contacts; PROCIENCIA/ProInnóvate funding targets expansion (additional sites, APC fees), not a condition for Phase C. A methylation sub-phase (direct aging quantification) and/or a prospective standardized-challenge extension remain future extensions, contingent on additional funding, outside the committed core.</w:t>
      </w:r>
    </w:p>
    <w:p w14:paraId="4C9D64C1" w14:textId="77777777" w:rsidR="00165472" w:rsidRPr="000942A3" w:rsidRDefault="00E95977">
      <w:pPr>
        <w:spacing w:after="110" w:line="258" w:lineRule="auto"/>
        <w:rPr>
          <w:rFonts w:ascii="Arial" w:hAnsi="Arial" w:cs="Arial"/>
          <w:sz w:val="22"/>
          <w:szCs w:val="22"/>
        </w:rPr>
      </w:pPr>
      <w:r w:rsidRPr="000942A3">
        <w:rPr>
          <w:rFonts w:ascii="Arial" w:hAnsi="Arial" w:cs="Arial"/>
          <w:sz w:val="22"/>
          <w:szCs w:val="22"/>
        </w:rPr>
        <w:t>Total: 33-35 months from September 2026, completion estimated July 2029 — consistent with the doctoral program's 3-year duration.</w:t>
      </w:r>
    </w:p>
    <w:p w14:paraId="4D2F0E1D" w14:textId="77777777" w:rsidR="00165472" w:rsidRPr="000942A3" w:rsidRDefault="00E95977">
      <w:pPr>
        <w:pStyle w:val="Ttulo1"/>
        <w:spacing w:before="220" w:after="100"/>
        <w:rPr>
          <w:rFonts w:ascii="Arial" w:hAnsi="Arial" w:cs="Arial"/>
          <w:sz w:val="22"/>
          <w:szCs w:val="22"/>
        </w:rPr>
      </w:pPr>
      <w:r w:rsidRPr="000942A3">
        <w:rPr>
          <w:rFonts w:ascii="Arial" w:hAnsi="Arial" w:cs="Arial"/>
          <w:b/>
          <w:bCs/>
          <w:sz w:val="22"/>
          <w:szCs w:val="22"/>
        </w:rPr>
        <w:t>10. Bibliography (References)</w:t>
      </w:r>
    </w:p>
    <w:p w14:paraId="213D4BC0"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Benchimol, E.I., Smeeth, L., Guttmann, A., Harron, K., Moher, D., Petersen, I., Sørensen, H.T., von Elm, E., Langan, S.M., &amp; the RECORD Working Committee (2015). The REporting of studies Conducted using Observational Routinely-collected health Data (RECORD) statement. PLoS Medicine, 12(10), e1001885. https://doi.org/10.1371/journal.pmed.1001885</w:t>
      </w:r>
    </w:p>
    <w:p w14:paraId="213D4BC0"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Cade, B.S., Terrell, J.W., &amp; Schroeder, R.L. (1999). Estimating effects of limiting factors with regression quantiles. Ecology, 80(1), 311-323.</w:t>
      </w:r>
    </w:p>
    <w:p w14:paraId="478FB6BA"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Charlson, M.E., Pompei, P., Ales, K.L., &amp; MacKenzie, C.R. (1987). A new method of classifying prognostic comorbidity in longitudinal studies: development and validation. Journal of Chronic Diseases, 40(5), 373-383.</w:t>
      </w:r>
    </w:p>
    <w:p w14:paraId="6F61DD53"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Collins, G.S. et al. (2024). TRIPOD+AI statement. BMJ, 385, e078378.</w:t>
      </w:r>
    </w:p>
    <w:p w14:paraId="1874BE9A"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Dao, C.-T., Phan, N.M.T., Ding, J.-E., Wu, C., Restrepo, D., Luo, D., et al. (2026). CURENet: combining unified representations for efficient chronic disease prediction. Health Information Science and Systems, 14(1), 7. https://doi.org/10.1007/s13755-025-00396-w</w:t>
      </w:r>
    </w:p>
    <w:p w14:paraId="51C0E0C0"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DeLong, E.R., DeLong, D.M., &amp; Clarke-Pearson, D.L. (1988). Comparing the areas under two or more correlated receiver operating characteristic curves: a nonparametric approach. Biometrics, 44(3), 837-845.</w:t>
      </w:r>
    </w:p>
    <w:p w14:paraId="6F7B188A"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Flemyng, E. et al. (2025). Position statement on artificial intelligence (AI) use in evidence synthesis across Cochrane, the Campbell Collaboration, JBI and the Collaboration for Environmental Evidence 2025. Environmental Evidence, 14, 20.</w:t>
      </w:r>
    </w:p>
    <w:p w14:paraId="60694A76"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Gallo López, A. (2026). The biological state hypothesis: biological state as a systems-level constraint on human adaptive capacity. Frontiers in Physiology, 17, 1909109. https://doi.org/10.3389/fphys.2026.1909109</w:t>
      </w:r>
    </w:p>
    <w:p w14:paraId="425A7319"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Gallo López, A. (submitted). Adaptive capacity and the differential vulnerability in the arbitration between deliberate and automatic control: a testable extension of the Biological State Hypothesis. Manuscript submitted to Frontiers in Human Neuroscience.</w:t>
      </w:r>
    </w:p>
    <w:p w14:paraId="22FE64F1"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Gallo López, A., García-Quispes, W.A., &amp; Laván Quiroz, D. (2026). Modelo genotípico para predecir sobrepeso y obesidad en población peruana mediante aprendizaje automático: estudio piloto (in Spanish). Revista de la Facultad de Medicina Humana, 25(3). https://doi.org/10.25176/RFMH.v25i3.8471</w:t>
      </w:r>
    </w:p>
    <w:p w14:paraId="213D4BC0"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Gebru, T., Morgenstern, J., Vecchione, B., Wortman Vaughan, J., Wallach, H., Daumé III, H., &amp; Crawford, K. (2021). Datasheets for datasets. Communications of the ACM, 64(12), 86-92.</w:t>
      </w:r>
    </w:p>
    <w:p w14:paraId="22FE64F1"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Gijzel, S.M.W., Whitson, H.E., van de Leemput, I.A., Scheffer, M., van Asselt, D., Rector, J.L., Olde Rikkert, M.G.M., &amp; Melis, R.J.F. (2019). Resilience in clinical care: getting a grip on the recovery potential of older adults. Journal of the American Geriatrics Society, 67(12), 2650-2657. https://doi.org/10.1111/jgs.16149</w:t>
      </w:r>
    </w:p>
    <w:p w14:paraId="147349BF"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Gregor, S., &amp; Hevner, A.R. (2013). Positioning and presenting design science research for maximum impact. MIS Quarterly, 37(2), 337-355.</w:t>
      </w:r>
    </w:p>
    <w:p w14:paraId="3C9278CC"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Hevner, A.R., March, S.T., Park, J., &amp; Ram, S. (2004). Design science in information systems research. MIS Quarterly, 28(1), 75-105.</w:t>
      </w:r>
    </w:p>
    <w:p w14:paraId="5A30F017"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Horning, M. (2012). Constraint lines and performance envelopes in behavioral physiology: the case of the aerobic dive limit. Frontiers in Physiology, 3, 381.</w:t>
      </w:r>
    </w:p>
    <w:p w14:paraId="22779539"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Kapoor, S., &amp; Narayanan, A. (2023). Leakage and the reproducibility crisis in machine-learning-based science. Patterns, 4(9), 100804.</w:t>
      </w:r>
    </w:p>
    <w:p w14:paraId="60A470A4"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Laván, D., Argüelles, N., Rea, R., Morales, J., Montes, S., Huaman, D., Lluncor, A., Moyano, J., Peña, M., Herencia-Reyes, V., Guerra, A., Calderón, G., Vela-Ruiz, J.M., &amp; Gallo, A. (2026). Chronic military stress and glandular epithelial tumor biology: an integrative neuroendocrine–inflammatory framework with insights from microgravity gene discovery. Frontiers in Oncology, 16, 1817973.</w:t>
      </w:r>
    </w:p>
    <w:p w14:paraId="1F82219E"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Li, Y., Rao, S., Solares, J.R.A. et al. (2020). BEHRT: Transformer for Electronic Health Records. Scientific Reports, 10, 7155.</w:t>
      </w:r>
    </w:p>
    <w:p w14:paraId="5E505C4D"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Lim, B., Arık, S.Ö., Loeff, N., &amp; Pfister, T. (2021). Temporal Fusion Transformers for interpretable multi-horizon time series forecasting. International Journal of Forecasting, 37(4), 1748-1764.</w:t>
      </w:r>
    </w:p>
    <w:p w14:paraId="213D4BC0"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Mitchell, M., Wu, S., Zaldivar, A., Barnes, P., Vasserman, L., Hutchinson, B., Spitzer, E., Raji, I.D., &amp; Gebru, T. (2019). Model cards for model reporting. Proceedings of the Conference on Fairness, Accountability, and Transparency (FAT* '19). https://doi.org/10.1145/3287560.3287596</w:t>
      </w:r>
    </w:p>
    <w:p w14:paraId="4BF1CEC3"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Nagin, D.S. (2005). Group-Based Modeling of Development. Harvard University Press.</w:t>
      </w:r>
    </w:p>
    <w:p w14:paraId="4BF1CEC3"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Scheffer, M., et al. (2018). Quantifying resilience of humans and other animals. Proceedings of the National Academy of Sciences, 115(47), 11883-11890. https://doi.org/10.1073/pnas.1810630115</w:t>
      </w:r>
    </w:p>
    <w:p w14:paraId="1695F20C"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SCORE2-Diabetes Working Group and the ESC Cardiovascular Risk Collaboration (2023). SCORE2-Diabetes: 10-year cardiovascular risk estimation in type 2 diabetes in Europe. European Heart Journal, 44(28), 2544-2556.</w:t>
      </w:r>
    </w:p>
    <w:p w14:paraId="11737CB8"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Steyerberg, E.W., &amp; Vergouwe, Y. (2014). Towards better clinical prediction models: seven steps for development and an ABCD for validation. European Heart Journal, 35(29), 1925-1931.</w:t>
      </w:r>
    </w:p>
    <w:p w14:paraId="168467D4"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Van Calster, B., Nieboer, D., Vergouwe, Y., De Cock, B., Pencina, M.J., &amp; Steyerberg, E.W. (2016). A calibration hierarchy for risk models was defined: from utopia to empirical data. Journal of Clinical Epidemiology, 74, 167-176.</w:t>
      </w:r>
    </w:p>
    <w:p w14:paraId="708FE057"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Van Calster, B., &amp; Vickers, A.J. (2015). Calibration of risk prediction models: impact on decision-analytic performance. Medical Decision Making, 35(2), 162-169.</w:t>
      </w:r>
    </w:p>
    <w:p w14:paraId="5A9E6FE0"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Vaswani, A., Shazeer, N., Parmar, N., Uszkoreit, J., Jones, L., Gomez, A.N., Kaiser, Ł., &amp; Polosukhin, I. (2017). Attention is all you need. Advances in Neural Information Processing Systems, 30.</w:t>
      </w:r>
    </w:p>
    <w:p w14:paraId="0B36D166"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Vickers, A.J., &amp; Elkin, E.B. (2006). Decision curve analysis: a novel method for evaluating prediction models. Medical Decision Making, 26(6), 565-574.</w:t>
      </w:r>
    </w:p>
    <w:p w14:paraId="0B36D166"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Whitson, H.E., Duan-Porter, W., Schmader, K.E., Morey, M.C., Cohen, H.J., &amp; Colón-Emeric, C.S. (2016). Physical resilience in older adults: systematic review and development of an emerging construct. Journals of Gerontology Series A: Biological Sciences and Medical Sciences, 71(4), 489-495. https://doi.org/10.1093/gerona/glv202</w:t>
      </w:r>
    </w:p>
    <w:p w14:paraId="510BF48B" w14:textId="77777777" w:rsidR="00165472" w:rsidRPr="000942A3" w:rsidRDefault="00E95977">
      <w:pPr>
        <w:spacing w:after="90" w:line="250" w:lineRule="auto"/>
        <w:ind w:left="360" w:hanging="360"/>
        <w:rPr>
          <w:rFonts w:ascii="Arial" w:hAnsi="Arial" w:cs="Arial"/>
          <w:sz w:val="22"/>
          <w:szCs w:val="22"/>
        </w:rPr>
      </w:pPr>
      <w:r w:rsidRPr="000942A3">
        <w:rPr>
          <w:rFonts w:ascii="Arial" w:hAnsi="Arial" w:cs="Arial"/>
          <w:sz w:val="22"/>
          <w:szCs w:val="22"/>
        </w:rPr>
        <w:t>Wong, A., Otles, E., Donnelly, J.P. et al. (2021). External validation of a widely implemented proprietary sepsis prediction model in hospitalized patients. JAMA Internal Medicine, 181(8), 1065-1070.</w:t>
      </w:r>
    </w:p>
    <w:sectPr w:rsidR="00165472" w:rsidRPr="000942A3">
      <w:pgSz w:w="12240" w:h="15840"/>
      <w:pgMar w:top="800" w:right="1100" w:bottom="8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C762D"/>
    <w:multiLevelType w:val="hybridMultilevel"/>
    <w:tmpl w:val="D098D09A"/>
    <w:lvl w:ilvl="0" w:tplc="4A6EAC14">
      <w:start w:val="1"/>
      <w:numFmt w:val="bullet"/>
      <w:lvlText w:val="●"/>
      <w:lvlJc w:val="left"/>
      <w:pPr>
        <w:ind w:left="720" w:hanging="360"/>
      </w:pPr>
    </w:lvl>
    <w:lvl w:ilvl="1" w:tplc="EB46A07E">
      <w:start w:val="1"/>
      <w:numFmt w:val="bullet"/>
      <w:lvlText w:val="○"/>
      <w:lvlJc w:val="left"/>
      <w:pPr>
        <w:ind w:left="1440" w:hanging="360"/>
      </w:pPr>
    </w:lvl>
    <w:lvl w:ilvl="2" w:tplc="953CC44A">
      <w:start w:val="1"/>
      <w:numFmt w:val="bullet"/>
      <w:lvlText w:val="■"/>
      <w:lvlJc w:val="left"/>
      <w:pPr>
        <w:ind w:left="2160" w:hanging="360"/>
      </w:pPr>
    </w:lvl>
    <w:lvl w:ilvl="3" w:tplc="CADCD00E">
      <w:start w:val="1"/>
      <w:numFmt w:val="bullet"/>
      <w:lvlText w:val="●"/>
      <w:lvlJc w:val="left"/>
      <w:pPr>
        <w:ind w:left="2880" w:hanging="360"/>
      </w:pPr>
    </w:lvl>
    <w:lvl w:ilvl="4" w:tplc="4B6847EE">
      <w:start w:val="1"/>
      <w:numFmt w:val="bullet"/>
      <w:lvlText w:val="○"/>
      <w:lvlJc w:val="left"/>
      <w:pPr>
        <w:ind w:left="3600" w:hanging="360"/>
      </w:pPr>
    </w:lvl>
    <w:lvl w:ilvl="5" w:tplc="E5487EE4">
      <w:start w:val="1"/>
      <w:numFmt w:val="bullet"/>
      <w:lvlText w:val="■"/>
      <w:lvlJc w:val="left"/>
      <w:pPr>
        <w:ind w:left="4320" w:hanging="360"/>
      </w:pPr>
    </w:lvl>
    <w:lvl w:ilvl="6" w:tplc="70CE1A22">
      <w:start w:val="1"/>
      <w:numFmt w:val="bullet"/>
      <w:lvlText w:val="●"/>
      <w:lvlJc w:val="left"/>
      <w:pPr>
        <w:ind w:left="5040" w:hanging="360"/>
      </w:pPr>
    </w:lvl>
    <w:lvl w:ilvl="7" w:tplc="CE9CDB46">
      <w:start w:val="1"/>
      <w:numFmt w:val="bullet"/>
      <w:lvlText w:val="●"/>
      <w:lvlJc w:val="left"/>
      <w:pPr>
        <w:ind w:left="5760" w:hanging="360"/>
      </w:pPr>
    </w:lvl>
    <w:lvl w:ilvl="8" w:tplc="858AA882">
      <w:start w:val="1"/>
      <w:numFmt w:val="bullet"/>
      <w:lvlText w:val="●"/>
      <w:lvlJc w:val="left"/>
      <w:pPr>
        <w:ind w:left="6480" w:hanging="360"/>
      </w:pPr>
    </w:lvl>
  </w:abstractNum>
  <w:num w:numId="1" w16cid:durableId="768694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472"/>
    <w:rsid w:val="000942A3"/>
    <w:rsid w:val="00165472"/>
    <w:rsid w:val="002B1661"/>
    <w:rsid w:val="00583F2F"/>
    <w:rsid w:val="00AD04DD"/>
    <w:rsid w:val="00B11136"/>
    <w:rsid w:val="00C43496"/>
    <w:rsid w:val="00C54E6B"/>
    <w:rsid w:val="00D07034"/>
    <w:rsid w:val="00E95977"/>
    <w:rsid w:val="00F45B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F6FF"/>
  <w15:docId w15:val="{2749B257-9340-44BD-8C49-E2249C8F4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5349</Words>
  <Characters>29423</Characters>
  <Application>Microsoft Office Word</Application>
  <DocSecurity>0</DocSecurity>
  <Lines>245</Lines>
  <Paragraphs>69</Paragraphs>
  <ScaleCrop>false</ScaleCrop>
  <Company/>
  <LinksUpToDate>false</LinksUpToDate>
  <CharactersWithSpaces>34703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Aly Gallo Lopez</cp:lastModifiedBy>
  <cp:revision>2</cp:revision>
  <dcterms:created xsi:type="dcterms:W3CDTF">2026-10-06T01:41:00Z</dcterms:created>
  <dcterms:modified xsi:type="dcterms:W3CDTF">2026-10-06T01:41:00Z</dcterms:modified>
</cp:coreProperties>
</file>