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E4166" w14:textId="77777777" w:rsidR="00165472" w:rsidRPr="00026097" w:rsidRDefault="00E95977">
      <w:pPr>
        <w:spacing w:after="20"/>
        <w:jc w:val="center"/>
        <w:rPr>
          <w:rFonts w:ascii="Arial" w:hAnsi="Arial" w:cs="Arial"/>
          <w:sz w:val="22"/>
          <w:szCs w:val="22"/>
        </w:rPr>
      </w:pPr>
      <w:r w:rsidRPr="00026097">
        <w:rPr>
          <w:rFonts w:ascii="Arial" w:hAnsi="Arial" w:cs="Arial"/>
          <w:b/>
          <w:bCs/>
          <w:sz w:val="22"/>
          <w:szCs w:val="22"/>
        </w:rPr>
        <w:t>Research Protocol FINAL</w:t>
      </w:r>
    </w:p>
    <w:p w14:paraId="6CFFCEA7" w14:textId="77777777" w:rsidR="00165472" w:rsidRPr="00026097" w:rsidRDefault="00E95977">
      <w:pPr>
        <w:spacing w:after="220"/>
        <w:jc w:val="center"/>
        <w:rPr>
          <w:rFonts w:ascii="Arial" w:hAnsi="Arial" w:cs="Arial"/>
          <w:sz w:val="22"/>
          <w:szCs w:val="22"/>
        </w:rPr>
      </w:pPr>
      <w:r w:rsidRPr="00026097">
        <w:rPr>
          <w:rFonts w:ascii="Arial" w:hAnsi="Arial" w:cs="Arial"/>
          <w:i/>
          <w:iCs/>
          <w:sz w:val="22"/>
          <w:szCs w:val="22"/>
        </w:rPr>
        <w:t>Aly Gallo López · PhD in Deep Tech, FISI-UNMSM · Doctoral Seminar (R6S10714)</w:t>
      </w:r>
    </w:p>
    <w:p w14:paraId="2CA7CC63" w14:textId="77777777" w:rsidR="00165472" w:rsidRPr="00026097" w:rsidRDefault="00E95977">
      <w:pPr>
        <w:pStyle w:val="Ttulo1"/>
        <w:spacing w:before="220" w:after="100"/>
        <w:rPr>
          <w:rFonts w:ascii="Arial" w:hAnsi="Arial" w:cs="Arial"/>
          <w:sz w:val="22"/>
          <w:szCs w:val="22"/>
        </w:rPr>
      </w:pPr>
      <w:r w:rsidRPr="00026097">
        <w:rPr>
          <w:rFonts w:ascii="Arial" w:hAnsi="Arial" w:cs="Arial"/>
          <w:b/>
          <w:bCs/>
          <w:sz w:val="22"/>
          <w:szCs w:val="22"/>
        </w:rPr>
        <w:t>1. Title</w:t>
      </w:r>
    </w:p>
    <w:p w14:paraId="3C58C536"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ChroniCare-AI: A Multimodal-Temporal Biological State Index for Characterizing Adaptive Capacity and Its Trajectory Toward Chronic Disease at Hospital Rebagliati, Lima.</w:t>
      </w:r>
    </w:p>
    <w:p w14:paraId="34927AE4" w14:textId="77777777" w:rsidR="00165472" w:rsidRPr="00026097" w:rsidRDefault="00E95977">
      <w:pPr>
        <w:pStyle w:val="Ttulo1"/>
        <w:spacing w:before="220" w:after="100"/>
        <w:rPr>
          <w:rFonts w:ascii="Arial" w:hAnsi="Arial" w:cs="Arial"/>
          <w:sz w:val="22"/>
          <w:szCs w:val="22"/>
        </w:rPr>
      </w:pPr>
      <w:r w:rsidRPr="00026097">
        <w:rPr>
          <w:rFonts w:ascii="Arial" w:hAnsi="Arial" w:cs="Arial"/>
          <w:b/>
          <w:bCs/>
          <w:sz w:val="22"/>
          <w:szCs w:val="22"/>
        </w:rPr>
        <w:t>2. Abstract</w:t>
      </w:r>
    </w:p>
    <w:p w14:paraId="7281413C"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This study develops ChroniCare-AI, a multimodal-temporal AI artifact (current TRL 2; target TRL 4-5) that computes a Biological State Index (BSI) from Rebagliati electronic health records. Following the Biological State Hypothesis (BSH; Gallo López, 2026), the study tests the proposition that biological state constrains Adaptive Capacity — operationalized as a mathematically defined recovery differential following a prespecified, objectively identifiable physiological perturbation (Section 6.4.3) — and, as a secondary exploratory analysis using the same retrospective cohort's remaining follow-up, examines whether Adaptive Capacity trajectories associate with subsequent progression toward noncommunicable chronic disease (NCD). Biological aging is addressed conceptually, as a related downstream manifestation proposed by the BSH, and is not independently quantified in this protocol (Section 6.6). This design tests the BSH's proposed causal chain (Biological State → Adaptive Capacity → Biological Trajectory → NCD) within a single retrospective EHR cohort, under the Design Science Research paradigm, without requiring new prospective data collection. The protocol predefines domain-level BSI construction rules, eligibility criteria and a selection rule for perturbation-recovery events, a recovery-window algorithm, a closed mathematical definition of the Adaptive Capacity score, an event-sufficiency criterion for sample size, temporal leakage safeguards, and sensitivity analyses before outcome modeling.</w:t>
      </w:r>
    </w:p>
    <w:p w14:paraId="63B094C7" w14:textId="77777777" w:rsidR="00165472" w:rsidRPr="00026097" w:rsidRDefault="00E95977">
      <w:pPr>
        <w:pStyle w:val="Ttulo1"/>
        <w:spacing w:before="220" w:after="100"/>
        <w:rPr>
          <w:rFonts w:ascii="Arial" w:hAnsi="Arial" w:cs="Arial"/>
          <w:sz w:val="22"/>
          <w:szCs w:val="22"/>
        </w:rPr>
      </w:pPr>
      <w:r w:rsidRPr="00026097">
        <w:rPr>
          <w:rFonts w:ascii="Arial" w:hAnsi="Arial" w:cs="Arial"/>
          <w:b/>
          <w:bCs/>
          <w:sz w:val="22"/>
          <w:szCs w:val="22"/>
        </w:rPr>
        <w:t>3. Introduction and Problem Statement</w:t>
      </w:r>
    </w:p>
    <w:p w14:paraId="08488B69"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The Biological State Hypothesis (BSH; Gallo López, 2026) proposes that chronic disease and accelerated biological aging are not primary events but late, downstream consequences of sustained biological state deterioration, which first manifests as a narrowing of Adaptive Capacity — the organism's capacity to respond to and recover from physiological demand. This proposition remains empirically untested: no existing tool, in this population or elsewhere, measures that intermediate construct directly. In patients with obesity, type 2 diabetes, and cardiovascular disease at Hospital Nacional Edgardo Rebagliati Martins (EsSalud, Lima), acute-care severity scores such as SOFA and APACHE are inapplicable to this largely non-ICU population, requiring variables unavailable outside intensive care; the NEWS2 early-warning score was validated for 24-hour deterioration, not the progressive timescale relevant here. More general tools — the Charlson Comorbidity Index (1987) and SCORE2-Diabetes (SCORE2-Diabetes Working Group, 2023) — are calculable from routine data, but, like the acute-care scores, they estimate risk of disease itself, not the capacity to respond to and recover from physiological demand that the BSH identifies as the mechanism preceding it. This is the specific gap this thesis addresses: a validated measure of Adaptive Capacity, derived from routinely collected EHR data, does not yet exist for this or comparable populations. This gap matters now because Peru's public hospitals are digitizing EHR under HL7 FHIR precisely as AI-based clinical decision tools are piloted internationally — the Epic Sepsis Model case (internal AUC 0.76-0.83, but AUC 0.63 in independent external validation, missing 67% of sepsis cases; Wong et al., 2021) shows that internal accuracy is not a finding, and that local validation before uncritical adoption is a real, not theoretical, necessity.</w:t>
      </w:r>
    </w:p>
    <w:p w14:paraId="6218EAF2" w14:textId="77777777" w:rsidR="00165472" w:rsidRPr="00026097" w:rsidRDefault="00E95977">
      <w:pPr>
        <w:pStyle w:val="Ttulo1"/>
        <w:spacing w:before="220" w:after="100"/>
        <w:rPr>
          <w:rFonts w:ascii="Arial" w:hAnsi="Arial" w:cs="Arial"/>
          <w:sz w:val="22"/>
          <w:szCs w:val="22"/>
        </w:rPr>
      </w:pPr>
      <w:r w:rsidRPr="00026097">
        <w:rPr>
          <w:rFonts w:ascii="Arial" w:hAnsi="Arial" w:cs="Arial"/>
          <w:b/>
          <w:bCs/>
          <w:sz w:val="22"/>
          <w:szCs w:val="22"/>
        </w:rPr>
        <w:t>4. Literature Review</w:t>
      </w:r>
    </w:p>
    <w:p w14:paraId="70FA41C5"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 xml:space="preserve">The literature on clinical prognostic scores (Charlson et al., 1987) and Design Science Research (Hevner et al., 2004) is well established, but neither has addressed adaptive-capacity characterization via multimodal AI in Peruvian populations. Gregor &amp; Hevner (2013) argue that a design artifact alone is an engineering outcome; a doctoral-level contribution additionally requires tested, generalizable design </w:t>
      </w:r>
      <w:r w:rsidRPr="00026097">
        <w:rPr>
          <w:rFonts w:ascii="Arial" w:hAnsi="Arial" w:cs="Arial"/>
          <w:sz w:val="22"/>
          <w:szCs w:val="22"/>
        </w:rPr>
        <w:lastRenderedPageBreak/>
        <w:t xml:space="preserve">knowledge. The Biological State Hypothesis (Gallo López, 2026) formalizes biological state as BS = </w:t>
      </w:r>
      <w:r w:rsidR="00583F2F" w:rsidRPr="00026097">
        <w:rPr>
          <w:rFonts w:ascii="Arial" w:hAnsi="Arial" w:cs="Arial"/>
          <w:sz w:val="22"/>
          <w:szCs w:val="22"/>
        </w:rPr>
        <w:t>f (</w:t>
      </w:r>
      <w:r w:rsidRPr="00026097">
        <w:rPr>
          <w:rFonts w:ascii="Arial" w:hAnsi="Arial" w:cs="Arial"/>
          <w:sz w:val="22"/>
          <w:szCs w:val="22"/>
        </w:rPr>
        <w:t>SR, M, BP | E), with f() empirically determined, and defines Adaptive Capacity as the organism's capacity to maintain or restore physiological coherence under demand — evaluated explicitly under challenge, never at rest. A parallel theoretical extension (Gallo López, en preparación — manuscrito en revisión, Frontiers in Human Neuroscience) operationalizes Adaptive Capacity as a response-recovery trajectory, using a residualized recovery score to avoid confounding with baseline level (the law of initial values), and tests biological state as a ceiling constraint via quantile regression — a methodological precedent directly adopted in this protocol. The ceiling/constraint logic itself has a long empirical tradition: Cade, Terrell, &amp; Schroeder (1999) established regression quantiles as the appropriate tool when a factor limits a response's upper bound rather than shifting its mean, and Horning (2012) applied the same constraint-line logic within physiology. My own prior evidence shows a single data modality has a predictive ceiling (Gallo López, García-Quispes, &amp; Laván Quiroz, 2026), and a hypothesis-driven review supports Systemic Regulation as a driver of disease progression (Laván et al., 2026). The closest direct technical comparator identified is CURENet (Dao et al., 2026), a transformer-based architecture combining clinical notes, laboratory results, and visit time series for chronic disease prediction in a Taiwanese hospital cohort — it predicts disease diagnosis directly, with no adaptive-capacity or recovery-trajectory construct, the specific distinction this protocol's Prediction 1 test addresses. The Session 4 systematic review (ChroniCare-AI corpus, n=10 verified primary studies via Scopus, single-database search) found that existing multimodal clinical AI models predict disease events directly, with no study testing adaptive-capacity restriction as an intermediate, preventive construct — the specific gap this thesis addresses.</w:t>
      </w:r>
    </w:p>
    <w:p w14:paraId="4BBA0612" w14:textId="77777777" w:rsidR="00165472" w:rsidRPr="00026097" w:rsidRDefault="00E95977">
      <w:pPr>
        <w:pStyle w:val="Ttulo1"/>
        <w:spacing w:before="220" w:after="100"/>
        <w:rPr>
          <w:rFonts w:ascii="Arial" w:hAnsi="Arial" w:cs="Arial"/>
          <w:sz w:val="22"/>
          <w:szCs w:val="22"/>
        </w:rPr>
      </w:pPr>
      <w:r w:rsidRPr="00026097">
        <w:rPr>
          <w:rFonts w:ascii="Arial" w:hAnsi="Arial" w:cs="Arial"/>
          <w:b/>
          <w:bCs/>
          <w:sz w:val="22"/>
          <w:szCs w:val="22"/>
        </w:rPr>
        <w:t>5. Research Questions, Objectives, and Hypotheses</w:t>
      </w:r>
    </w:p>
    <w:p w14:paraId="3A87C2C5"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 xml:space="preserve">General question: </w:t>
      </w:r>
      <w:r w:rsidR="00AD04DD" w:rsidRPr="00026097">
        <w:rPr>
          <w:rFonts w:ascii="Arial" w:hAnsi="Arial" w:cs="Arial"/>
          <w:sz w:val="22"/>
          <w:szCs w:val="22"/>
        </w:rPr>
        <w:t>To what extent does a multimodal-temporal Biological State Index characterize Adaptive Capacity, and in what measure does the resulting Biological Trajectory associate with subsequent progression toward noncommunicable chronic disease, in obese, type 2 diabetic, ¿and cardiovascular patients at Rebagliati Hospital?</w:t>
      </w:r>
    </w:p>
    <w:p w14:paraId="0547DE6E" w14:textId="77777777" w:rsidR="00165472" w:rsidRPr="00026097" w:rsidRDefault="00E95977">
      <w:pPr>
        <w:spacing w:after="110" w:line="258" w:lineRule="auto"/>
        <w:rPr>
          <w:rFonts w:ascii="Arial" w:hAnsi="Arial" w:cs="Arial"/>
          <w:sz w:val="22"/>
          <w:szCs w:val="22"/>
        </w:rPr>
      </w:pPr>
      <w:r w:rsidRPr="00026097">
        <w:rPr>
          <w:rFonts w:ascii="Arial" w:hAnsi="Arial" w:cs="Arial"/>
          <w:b/>
          <w:bCs/>
          <w:sz w:val="22"/>
          <w:szCs w:val="22"/>
        </w:rPr>
        <w:t xml:space="preserve">General SMART Objective: </w:t>
      </w:r>
      <w:r w:rsidRPr="00026097">
        <w:rPr>
          <w:rFonts w:ascii="Arial" w:hAnsi="Arial" w:cs="Arial"/>
          <w:sz w:val="22"/>
          <w:szCs w:val="22"/>
        </w:rPr>
        <w:t>By July 2029, with data access already in process with Rebagliati (owner: Aly Gallo), construct and evaluate the ChroniCare-AI BSI as a predictor of Adaptive Capacity (primary analysis) and, secondarily, of Biological Trajectory toward NCD progression, using exclusively Rebagliati EHR data within a single retrospective cohort design.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2"/>
        <w:gridCol w:w="4714"/>
        <w:gridCol w:w="4714"/>
      </w:tblGrid>
      <w:tr w:rsidR="00165472" w:rsidRPr="00026097" w14:paraId="358E0254" w14:textId="77777777">
        <w:trPr>
          <w:tblHeader/>
        </w:trPr>
        <w:tc>
          <w:tcPr>
            <w:tcW w:w="300" w:type="pct"/>
            <w:shd w:val="clear" w:color="auto" w:fill="2E3B4E"/>
            <w:tcMar>
              <w:top w:w="60" w:type="dxa"/>
              <w:left w:w="80" w:type="dxa"/>
              <w:bottom w:w="60" w:type="dxa"/>
              <w:right w:w="80" w:type="dxa"/>
            </w:tcMar>
            <w:vAlign w:val="center"/>
          </w:tcPr>
          <w:p w14:paraId="312CD3CA" w14:textId="77777777" w:rsidR="00165472" w:rsidRPr="00026097" w:rsidRDefault="00E95977">
            <w:pPr>
              <w:rPr>
                <w:rFonts w:ascii="Arial" w:hAnsi="Arial" w:cs="Arial"/>
                <w:sz w:val="22"/>
                <w:szCs w:val="22"/>
              </w:rPr>
            </w:pPr>
            <w:r w:rsidRPr="00026097">
              <w:rPr>
                <w:rFonts w:ascii="Arial" w:hAnsi="Arial" w:cs="Arial"/>
                <w:b/>
                <w:bCs/>
                <w:sz w:val="22"/>
                <w:szCs w:val="22"/>
              </w:rPr>
              <w:t>#</w:t>
            </w:r>
          </w:p>
        </w:tc>
        <w:tc>
          <w:tcPr>
            <w:tcW w:w="2350" w:type="pct"/>
            <w:shd w:val="clear" w:color="auto" w:fill="2E3B4E"/>
            <w:tcMar>
              <w:top w:w="60" w:type="dxa"/>
              <w:left w:w="80" w:type="dxa"/>
              <w:bottom w:w="60" w:type="dxa"/>
              <w:right w:w="80" w:type="dxa"/>
            </w:tcMar>
            <w:vAlign w:val="center"/>
          </w:tcPr>
          <w:p w14:paraId="1FC5BE35" w14:textId="77777777" w:rsidR="00165472" w:rsidRPr="00026097" w:rsidRDefault="00E95977">
            <w:pPr>
              <w:rPr>
                <w:rFonts w:ascii="Arial" w:hAnsi="Arial" w:cs="Arial"/>
                <w:sz w:val="22"/>
                <w:szCs w:val="22"/>
              </w:rPr>
            </w:pPr>
            <w:r w:rsidRPr="00026097">
              <w:rPr>
                <w:rFonts w:ascii="Arial" w:hAnsi="Arial" w:cs="Arial"/>
                <w:b/>
                <w:bCs/>
                <w:sz w:val="22"/>
                <w:szCs w:val="22"/>
              </w:rPr>
              <w:t>Research Question (PE)</w:t>
            </w:r>
          </w:p>
        </w:tc>
        <w:tc>
          <w:tcPr>
            <w:tcW w:w="2350" w:type="pct"/>
            <w:shd w:val="clear" w:color="auto" w:fill="2E3B4E"/>
            <w:tcMar>
              <w:top w:w="60" w:type="dxa"/>
              <w:left w:w="80" w:type="dxa"/>
              <w:bottom w:w="60" w:type="dxa"/>
              <w:right w:w="80" w:type="dxa"/>
            </w:tcMar>
            <w:vAlign w:val="center"/>
          </w:tcPr>
          <w:p w14:paraId="001EB839" w14:textId="77777777" w:rsidR="00165472" w:rsidRPr="00026097" w:rsidRDefault="00E95977">
            <w:pPr>
              <w:rPr>
                <w:rFonts w:ascii="Arial" w:hAnsi="Arial" w:cs="Arial"/>
                <w:sz w:val="22"/>
                <w:szCs w:val="22"/>
              </w:rPr>
            </w:pPr>
            <w:r w:rsidRPr="00026097">
              <w:rPr>
                <w:rFonts w:ascii="Arial" w:hAnsi="Arial" w:cs="Arial"/>
                <w:b/>
                <w:bCs/>
                <w:sz w:val="22"/>
                <w:szCs w:val="22"/>
              </w:rPr>
              <w:t>Objective (OE)</w:t>
            </w:r>
          </w:p>
        </w:tc>
      </w:tr>
      <w:tr w:rsidR="00165472" w:rsidRPr="00026097" w14:paraId="21F1CE4B" w14:textId="77777777">
        <w:tc>
          <w:tcPr>
            <w:tcW w:w="300" w:type="pct"/>
            <w:tcMar>
              <w:top w:w="60" w:type="dxa"/>
              <w:left w:w="80" w:type="dxa"/>
              <w:bottom w:w="60" w:type="dxa"/>
              <w:right w:w="80" w:type="dxa"/>
            </w:tcMar>
            <w:vAlign w:val="center"/>
          </w:tcPr>
          <w:p w14:paraId="23FC1D05" w14:textId="77777777" w:rsidR="00165472" w:rsidRPr="00026097" w:rsidRDefault="00E95977">
            <w:pPr>
              <w:rPr>
                <w:rFonts w:ascii="Arial" w:hAnsi="Arial" w:cs="Arial"/>
                <w:sz w:val="22"/>
                <w:szCs w:val="22"/>
              </w:rPr>
            </w:pPr>
            <w:r w:rsidRPr="00026097">
              <w:rPr>
                <w:rFonts w:ascii="Arial" w:hAnsi="Arial" w:cs="Arial"/>
                <w:sz w:val="22"/>
                <w:szCs w:val="22"/>
              </w:rPr>
              <w:t>1</w:t>
            </w:r>
          </w:p>
        </w:tc>
        <w:tc>
          <w:tcPr>
            <w:tcW w:w="2350" w:type="pct"/>
            <w:tcMar>
              <w:top w:w="60" w:type="dxa"/>
              <w:left w:w="80" w:type="dxa"/>
              <w:bottom w:w="60" w:type="dxa"/>
              <w:right w:w="80" w:type="dxa"/>
            </w:tcMar>
            <w:vAlign w:val="center"/>
          </w:tcPr>
          <w:p w14:paraId="19F21C24" w14:textId="77777777" w:rsidR="00165472" w:rsidRPr="00026097" w:rsidRDefault="00E95977">
            <w:pPr>
              <w:rPr>
                <w:rFonts w:ascii="Arial" w:hAnsi="Arial" w:cs="Arial"/>
                <w:sz w:val="22"/>
                <w:szCs w:val="22"/>
              </w:rPr>
            </w:pPr>
            <w:r w:rsidRPr="00026097">
              <w:rPr>
                <w:rFonts w:ascii="Arial" w:hAnsi="Arial" w:cs="Arial"/>
                <w:sz w:val="22"/>
                <w:szCs w:val="22"/>
              </w:rPr>
              <w:t>Does the BSI achieve adequate discrimination, calibration, and clinical utility as a measure of Biological State, with verified per-domain contribution?</w:t>
            </w:r>
          </w:p>
        </w:tc>
        <w:tc>
          <w:tcPr>
            <w:tcW w:w="2350" w:type="pct"/>
            <w:tcMar>
              <w:top w:w="60" w:type="dxa"/>
              <w:left w:w="80" w:type="dxa"/>
              <w:bottom w:w="60" w:type="dxa"/>
              <w:right w:w="80" w:type="dxa"/>
            </w:tcMar>
            <w:vAlign w:val="center"/>
          </w:tcPr>
          <w:p w14:paraId="782E43F4" w14:textId="77777777" w:rsidR="00165472" w:rsidRPr="00026097" w:rsidRDefault="00E95977">
            <w:pPr>
              <w:rPr>
                <w:rFonts w:ascii="Arial" w:hAnsi="Arial" w:cs="Arial"/>
                <w:sz w:val="22"/>
                <w:szCs w:val="22"/>
              </w:rPr>
            </w:pPr>
            <w:r w:rsidRPr="00026097">
              <w:rPr>
                <w:rFonts w:ascii="Arial" w:hAnsi="Arial" w:cs="Arial"/>
                <w:sz w:val="22"/>
                <w:szCs w:val="22"/>
              </w:rPr>
              <w:t>Validate the BSI (discrimination/calibration/clinical utility) plus per-domain ablation (SR/M/BP) — secondary.</w:t>
            </w:r>
          </w:p>
        </w:tc>
      </w:tr>
      <w:tr w:rsidR="00165472" w:rsidRPr="00026097" w14:paraId="7DDB9D36" w14:textId="77777777">
        <w:tc>
          <w:tcPr>
            <w:tcW w:w="300" w:type="pct"/>
            <w:tcMar>
              <w:top w:w="60" w:type="dxa"/>
              <w:left w:w="80" w:type="dxa"/>
              <w:bottom w:w="60" w:type="dxa"/>
              <w:right w:w="80" w:type="dxa"/>
            </w:tcMar>
            <w:vAlign w:val="center"/>
          </w:tcPr>
          <w:p w14:paraId="5483E73D" w14:textId="77777777" w:rsidR="00165472" w:rsidRPr="00026097" w:rsidRDefault="00E95977">
            <w:pPr>
              <w:rPr>
                <w:rFonts w:ascii="Arial" w:hAnsi="Arial" w:cs="Arial"/>
                <w:sz w:val="22"/>
                <w:szCs w:val="22"/>
              </w:rPr>
            </w:pPr>
            <w:r w:rsidRPr="00026097">
              <w:rPr>
                <w:rFonts w:ascii="Arial" w:hAnsi="Arial" w:cs="Arial"/>
                <w:sz w:val="22"/>
                <w:szCs w:val="22"/>
              </w:rPr>
              <w:t>2</w:t>
            </w:r>
          </w:p>
        </w:tc>
        <w:tc>
          <w:tcPr>
            <w:tcW w:w="2350" w:type="pct"/>
            <w:tcMar>
              <w:top w:w="60" w:type="dxa"/>
              <w:left w:w="80" w:type="dxa"/>
              <w:bottom w:w="60" w:type="dxa"/>
              <w:right w:w="80" w:type="dxa"/>
            </w:tcMar>
            <w:vAlign w:val="center"/>
          </w:tcPr>
          <w:p w14:paraId="634B00C0" w14:textId="77777777" w:rsidR="00165472" w:rsidRPr="00026097" w:rsidRDefault="00E95977">
            <w:pPr>
              <w:rPr>
                <w:rFonts w:ascii="Arial" w:hAnsi="Arial" w:cs="Arial"/>
                <w:sz w:val="22"/>
                <w:szCs w:val="22"/>
              </w:rPr>
            </w:pPr>
            <w:r w:rsidRPr="00026097">
              <w:rPr>
                <w:rFonts w:ascii="Arial" w:hAnsi="Arial" w:cs="Arial"/>
                <w:sz w:val="22"/>
                <w:szCs w:val="22"/>
              </w:rPr>
              <w:t>Does multimodal integration (cross-attention fusion) improve over the simple additive model? (BSH's L1)</w:t>
            </w:r>
          </w:p>
        </w:tc>
        <w:tc>
          <w:tcPr>
            <w:tcW w:w="2350" w:type="pct"/>
            <w:tcMar>
              <w:top w:w="60" w:type="dxa"/>
              <w:left w:w="80" w:type="dxa"/>
              <w:bottom w:w="60" w:type="dxa"/>
              <w:right w:w="80" w:type="dxa"/>
            </w:tcMar>
            <w:vAlign w:val="center"/>
          </w:tcPr>
          <w:p w14:paraId="4F68ADAD" w14:textId="77777777" w:rsidR="00165472" w:rsidRPr="00026097" w:rsidRDefault="00E95977">
            <w:pPr>
              <w:rPr>
                <w:rFonts w:ascii="Arial" w:hAnsi="Arial" w:cs="Arial"/>
                <w:sz w:val="22"/>
                <w:szCs w:val="22"/>
              </w:rPr>
            </w:pPr>
            <w:r w:rsidRPr="00026097">
              <w:rPr>
                <w:rFonts w:ascii="Arial" w:hAnsi="Arial" w:cs="Arial"/>
                <w:sz w:val="22"/>
                <w:szCs w:val="22"/>
              </w:rPr>
              <w:t>Compare full-fusion architecture vs. additive BSI — secondary.</w:t>
            </w:r>
          </w:p>
        </w:tc>
      </w:tr>
      <w:tr w:rsidR="00165472" w:rsidRPr="00026097" w14:paraId="1F6F03F9" w14:textId="77777777">
        <w:tc>
          <w:tcPr>
            <w:tcW w:w="300" w:type="pct"/>
            <w:tcMar>
              <w:top w:w="60" w:type="dxa"/>
              <w:left w:w="80" w:type="dxa"/>
              <w:bottom w:w="60" w:type="dxa"/>
              <w:right w:w="80" w:type="dxa"/>
            </w:tcMar>
            <w:vAlign w:val="center"/>
          </w:tcPr>
          <w:p w14:paraId="6D2B18E0" w14:textId="77777777" w:rsidR="00165472" w:rsidRPr="00026097" w:rsidRDefault="00E95977">
            <w:pPr>
              <w:rPr>
                <w:rFonts w:ascii="Arial" w:hAnsi="Arial" w:cs="Arial"/>
                <w:sz w:val="22"/>
                <w:szCs w:val="22"/>
              </w:rPr>
            </w:pPr>
            <w:r w:rsidRPr="00026097">
              <w:rPr>
                <w:rFonts w:ascii="Arial" w:hAnsi="Arial" w:cs="Arial"/>
                <w:sz w:val="22"/>
                <w:szCs w:val="22"/>
              </w:rPr>
              <w:t>3</w:t>
            </w:r>
          </w:p>
        </w:tc>
        <w:tc>
          <w:tcPr>
            <w:tcW w:w="2350" w:type="pct"/>
            <w:tcMar>
              <w:top w:w="60" w:type="dxa"/>
              <w:left w:w="80" w:type="dxa"/>
              <w:bottom w:w="60" w:type="dxa"/>
              <w:right w:w="80" w:type="dxa"/>
            </w:tcMar>
            <w:vAlign w:val="center"/>
          </w:tcPr>
          <w:p w14:paraId="296637BF" w14:textId="77777777" w:rsidR="00165472" w:rsidRPr="00026097" w:rsidRDefault="00E95977">
            <w:pPr>
              <w:rPr>
                <w:rFonts w:ascii="Arial" w:hAnsi="Arial" w:cs="Arial"/>
                <w:sz w:val="22"/>
                <w:szCs w:val="22"/>
              </w:rPr>
            </w:pPr>
            <w:r w:rsidRPr="00026097">
              <w:rPr>
                <w:rFonts w:ascii="Arial" w:hAnsi="Arial" w:cs="Arial"/>
                <w:sz w:val="22"/>
                <w:szCs w:val="22"/>
              </w:rPr>
              <w:t>Does Biological State (BSI) constrain the ceiling of Adaptive Capacity, measured as the recovery differential following a physiological perturbation? (BSH Prediction 1)</w:t>
            </w:r>
          </w:p>
        </w:tc>
        <w:tc>
          <w:tcPr>
            <w:tcW w:w="2350" w:type="pct"/>
            <w:tcMar>
              <w:top w:w="60" w:type="dxa"/>
              <w:left w:w="80" w:type="dxa"/>
              <w:bottom w:w="60" w:type="dxa"/>
              <w:right w:w="80" w:type="dxa"/>
            </w:tcMar>
            <w:vAlign w:val="center"/>
          </w:tcPr>
          <w:p w14:paraId="5175634B" w14:textId="77777777" w:rsidR="00165472" w:rsidRPr="00026097" w:rsidRDefault="00E95977">
            <w:pPr>
              <w:rPr>
                <w:rFonts w:ascii="Arial" w:hAnsi="Arial" w:cs="Arial"/>
                <w:sz w:val="22"/>
                <w:szCs w:val="22"/>
              </w:rPr>
            </w:pPr>
            <w:r w:rsidRPr="00026097">
              <w:rPr>
                <w:rFonts w:ascii="Arial" w:hAnsi="Arial" w:cs="Arial"/>
                <w:sz w:val="22"/>
                <w:szCs w:val="22"/>
              </w:rPr>
              <w:t>Evaluate the BSI→Adaptive Capacity relationship via quantile regression on upper quantiles of recovery — PRIMARY.</w:t>
            </w:r>
          </w:p>
        </w:tc>
      </w:tr>
      <w:tr w:rsidR="00165472" w:rsidRPr="00026097" w14:paraId="5798214F" w14:textId="77777777">
        <w:tc>
          <w:tcPr>
            <w:tcW w:w="300" w:type="pct"/>
            <w:tcMar>
              <w:top w:w="60" w:type="dxa"/>
              <w:left w:w="80" w:type="dxa"/>
              <w:bottom w:w="60" w:type="dxa"/>
              <w:right w:w="80" w:type="dxa"/>
            </w:tcMar>
            <w:vAlign w:val="center"/>
          </w:tcPr>
          <w:p w14:paraId="00F82521" w14:textId="77777777" w:rsidR="00165472" w:rsidRPr="00026097" w:rsidRDefault="00E95977">
            <w:pPr>
              <w:rPr>
                <w:rFonts w:ascii="Arial" w:hAnsi="Arial" w:cs="Arial"/>
                <w:sz w:val="22"/>
                <w:szCs w:val="22"/>
              </w:rPr>
            </w:pPr>
            <w:r w:rsidRPr="00026097">
              <w:rPr>
                <w:rFonts w:ascii="Arial" w:hAnsi="Arial" w:cs="Arial"/>
                <w:sz w:val="22"/>
                <w:szCs w:val="22"/>
              </w:rPr>
              <w:t>4</w:t>
            </w:r>
          </w:p>
        </w:tc>
        <w:tc>
          <w:tcPr>
            <w:tcW w:w="2350" w:type="pct"/>
            <w:tcMar>
              <w:top w:w="60" w:type="dxa"/>
              <w:left w:w="80" w:type="dxa"/>
              <w:bottom w:w="60" w:type="dxa"/>
              <w:right w:w="80" w:type="dxa"/>
            </w:tcMar>
            <w:vAlign w:val="center"/>
          </w:tcPr>
          <w:p w14:paraId="4AB502E8" w14:textId="77777777" w:rsidR="00165472" w:rsidRPr="00026097" w:rsidRDefault="00E95977">
            <w:pPr>
              <w:rPr>
                <w:rFonts w:ascii="Arial" w:hAnsi="Arial" w:cs="Arial"/>
                <w:sz w:val="22"/>
                <w:szCs w:val="22"/>
              </w:rPr>
            </w:pPr>
            <w:r w:rsidRPr="00026097">
              <w:rPr>
                <w:rFonts w:ascii="Arial" w:hAnsi="Arial" w:cs="Arial"/>
                <w:sz w:val="22"/>
                <w:szCs w:val="22"/>
              </w:rPr>
              <w:t>What longitudinal trajectory patterns does BSI/Adaptive Capacity show across multiple perturbation-recovery events in a patient's history?</w:t>
            </w:r>
          </w:p>
        </w:tc>
        <w:tc>
          <w:tcPr>
            <w:tcW w:w="2350" w:type="pct"/>
            <w:tcMar>
              <w:top w:w="60" w:type="dxa"/>
              <w:left w:w="80" w:type="dxa"/>
              <w:bottom w:w="60" w:type="dxa"/>
              <w:right w:w="80" w:type="dxa"/>
            </w:tcMar>
            <w:vAlign w:val="center"/>
          </w:tcPr>
          <w:p w14:paraId="1D3D66A9" w14:textId="77777777" w:rsidR="00165472" w:rsidRPr="00026097" w:rsidRDefault="00E95977">
            <w:pPr>
              <w:rPr>
                <w:rFonts w:ascii="Arial" w:hAnsi="Arial" w:cs="Arial"/>
                <w:sz w:val="22"/>
                <w:szCs w:val="22"/>
              </w:rPr>
            </w:pPr>
            <w:r w:rsidRPr="00026097">
              <w:rPr>
                <w:rFonts w:ascii="Arial" w:hAnsi="Arial" w:cs="Arial"/>
                <w:sz w:val="22"/>
                <w:szCs w:val="22"/>
              </w:rPr>
              <w:t>Characterize longitudinal trajectories via group-based trajectory modeling — secondary.</w:t>
            </w:r>
          </w:p>
        </w:tc>
      </w:tr>
      <w:tr w:rsidR="00165472" w:rsidRPr="00026097" w14:paraId="138ED004" w14:textId="77777777">
        <w:tc>
          <w:tcPr>
            <w:tcW w:w="300" w:type="pct"/>
            <w:tcMar>
              <w:top w:w="60" w:type="dxa"/>
              <w:left w:w="80" w:type="dxa"/>
              <w:bottom w:w="60" w:type="dxa"/>
              <w:right w:w="80" w:type="dxa"/>
            </w:tcMar>
            <w:vAlign w:val="center"/>
          </w:tcPr>
          <w:p w14:paraId="0242AB38" w14:textId="77777777" w:rsidR="00165472" w:rsidRPr="00026097" w:rsidRDefault="00E95977">
            <w:pPr>
              <w:rPr>
                <w:rFonts w:ascii="Arial" w:hAnsi="Arial" w:cs="Arial"/>
                <w:sz w:val="22"/>
                <w:szCs w:val="22"/>
              </w:rPr>
            </w:pPr>
            <w:r w:rsidRPr="00026097">
              <w:rPr>
                <w:rFonts w:ascii="Arial" w:hAnsi="Arial" w:cs="Arial"/>
                <w:sz w:val="22"/>
                <w:szCs w:val="22"/>
              </w:rPr>
              <w:lastRenderedPageBreak/>
              <w:t>5</w:t>
            </w:r>
          </w:p>
        </w:tc>
        <w:tc>
          <w:tcPr>
            <w:tcW w:w="2350" w:type="pct"/>
            <w:tcMar>
              <w:top w:w="60" w:type="dxa"/>
              <w:left w:w="80" w:type="dxa"/>
              <w:bottom w:w="60" w:type="dxa"/>
              <w:right w:w="80" w:type="dxa"/>
            </w:tcMar>
            <w:vAlign w:val="center"/>
          </w:tcPr>
          <w:p w14:paraId="52AF3CD0" w14:textId="77777777" w:rsidR="00165472" w:rsidRPr="00026097" w:rsidRDefault="00B11136">
            <w:pPr>
              <w:rPr>
                <w:rFonts w:ascii="Arial" w:hAnsi="Arial" w:cs="Arial"/>
                <w:sz w:val="22"/>
                <w:szCs w:val="22"/>
              </w:rPr>
            </w:pPr>
            <w:r w:rsidRPr="00026097">
              <w:rPr>
                <w:rFonts w:ascii="Arial" w:hAnsi="Arial" w:cs="Arial"/>
                <w:sz w:val="22"/>
                <w:szCs w:val="22"/>
              </w:rPr>
              <w:t>Do Adaptive Capacity and its trajectory associate with subsequent progression toward NCD, within the same cohort’s remaining follow-up?</w:t>
            </w:r>
          </w:p>
        </w:tc>
        <w:tc>
          <w:tcPr>
            <w:tcW w:w="2350" w:type="pct"/>
            <w:tcMar>
              <w:top w:w="60" w:type="dxa"/>
              <w:left w:w="80" w:type="dxa"/>
              <w:bottom w:w="60" w:type="dxa"/>
              <w:right w:w="80" w:type="dxa"/>
            </w:tcMar>
            <w:vAlign w:val="center"/>
          </w:tcPr>
          <w:p w14:paraId="27BCDD9E" w14:textId="77777777" w:rsidR="00165472" w:rsidRPr="00026097" w:rsidRDefault="00E95977">
            <w:pPr>
              <w:rPr>
                <w:rFonts w:ascii="Arial" w:hAnsi="Arial" w:cs="Arial"/>
                <w:sz w:val="22"/>
                <w:szCs w:val="22"/>
              </w:rPr>
            </w:pPr>
            <w:r w:rsidRPr="00026097">
              <w:rPr>
                <w:rFonts w:ascii="Arial" w:hAnsi="Arial" w:cs="Arial"/>
                <w:sz w:val="22"/>
                <w:szCs w:val="22"/>
              </w:rPr>
              <w:t>Association/survival analysis between AC trajectory and NCD progression — secondary/exploratory.</w:t>
            </w:r>
          </w:p>
        </w:tc>
      </w:tr>
      <w:tr w:rsidR="00165472" w:rsidRPr="00026097" w14:paraId="57F25564" w14:textId="77777777">
        <w:tc>
          <w:tcPr>
            <w:tcW w:w="300" w:type="pct"/>
            <w:tcMar>
              <w:top w:w="60" w:type="dxa"/>
              <w:left w:w="80" w:type="dxa"/>
              <w:bottom w:w="60" w:type="dxa"/>
              <w:right w:w="80" w:type="dxa"/>
            </w:tcMar>
            <w:vAlign w:val="center"/>
          </w:tcPr>
          <w:p w14:paraId="68CEE638" w14:textId="77777777" w:rsidR="00165472" w:rsidRPr="00026097" w:rsidRDefault="00E95977">
            <w:pPr>
              <w:rPr>
                <w:rFonts w:ascii="Arial" w:hAnsi="Arial" w:cs="Arial"/>
                <w:sz w:val="22"/>
                <w:szCs w:val="22"/>
              </w:rPr>
            </w:pPr>
            <w:r w:rsidRPr="00026097">
              <w:rPr>
                <w:rFonts w:ascii="Arial" w:hAnsi="Arial" w:cs="Arial"/>
                <w:sz w:val="22"/>
                <w:szCs w:val="22"/>
              </w:rPr>
              <w:t>6</w:t>
            </w:r>
          </w:p>
        </w:tc>
        <w:tc>
          <w:tcPr>
            <w:tcW w:w="2350" w:type="pct"/>
            <w:tcMar>
              <w:top w:w="60" w:type="dxa"/>
              <w:left w:w="80" w:type="dxa"/>
              <w:bottom w:w="60" w:type="dxa"/>
              <w:right w:w="80" w:type="dxa"/>
            </w:tcMar>
            <w:vAlign w:val="center"/>
          </w:tcPr>
          <w:p w14:paraId="6462D818" w14:textId="77777777" w:rsidR="00165472" w:rsidRPr="00026097" w:rsidRDefault="00E95977">
            <w:pPr>
              <w:rPr>
                <w:rFonts w:ascii="Arial" w:hAnsi="Arial" w:cs="Arial"/>
                <w:sz w:val="22"/>
                <w:szCs w:val="22"/>
              </w:rPr>
            </w:pPr>
            <w:r w:rsidRPr="00026097">
              <w:rPr>
                <w:rFonts w:ascii="Arial" w:hAnsi="Arial" w:cs="Arial"/>
                <w:sz w:val="22"/>
                <w:szCs w:val="22"/>
              </w:rPr>
              <w:t>Does BSI/AC behavior generalize to an independent external Peruvian hospital?</w:t>
            </w:r>
          </w:p>
        </w:tc>
        <w:tc>
          <w:tcPr>
            <w:tcW w:w="2350" w:type="pct"/>
            <w:tcMar>
              <w:top w:w="60" w:type="dxa"/>
              <w:left w:w="80" w:type="dxa"/>
              <w:bottom w:w="60" w:type="dxa"/>
              <w:right w:w="80" w:type="dxa"/>
            </w:tcMar>
            <w:vAlign w:val="center"/>
          </w:tcPr>
          <w:p w14:paraId="3F09042F" w14:textId="77777777" w:rsidR="00165472" w:rsidRPr="00026097" w:rsidRDefault="00E95977">
            <w:pPr>
              <w:rPr>
                <w:rFonts w:ascii="Arial" w:hAnsi="Arial" w:cs="Arial"/>
                <w:sz w:val="22"/>
                <w:szCs w:val="22"/>
              </w:rPr>
            </w:pPr>
            <w:r w:rsidRPr="00026097">
              <w:rPr>
                <w:rFonts w:ascii="Arial" w:hAnsi="Arial" w:cs="Arial"/>
                <w:sz w:val="22"/>
                <w:szCs w:val="22"/>
              </w:rPr>
              <w:t>Prospective external validation (primary: Seguín Escobedo; secondary: Almenara) + XAI + TRL 4-5.</w:t>
            </w:r>
          </w:p>
        </w:tc>
      </w:tr>
    </w:tbl>
    <w:p w14:paraId="06C2C0C3" w14:textId="77777777" w:rsidR="00165472" w:rsidRPr="00026097" w:rsidRDefault="00E95977">
      <w:pPr>
        <w:spacing w:after="200" w:line="258" w:lineRule="auto"/>
        <w:rPr>
          <w:rFonts w:ascii="Arial" w:hAnsi="Arial" w:cs="Arial"/>
          <w:sz w:val="22"/>
          <w:szCs w:val="22"/>
        </w:rPr>
      </w:pPr>
      <w:r w:rsidRPr="00026097">
        <w:rPr>
          <w:rFonts w:ascii="Arial" w:hAnsi="Arial" w:cs="Arial"/>
          <w:sz w:val="22"/>
          <w:szCs w:val="22"/>
        </w:rPr>
        <w:t>Research questions, not formal hypotheses, because the declared paradigm is Design Science Research. PE3 is the primary confirmatory analysis — direct test of the BSH's Prediction 1; PE1, PE2, PE4, PE5, PE6 are secondary/exploratory, including the distal NCD outcome (with biological aging addressed conceptually, Section 6.6) as the chain's terminus. The Spanish NLP module remains an enabling component within the Methodology, not an independent research question.</w:t>
      </w:r>
    </w:p>
    <w:p w14:paraId="7869ADBC" w14:textId="77777777" w:rsidR="00165472" w:rsidRPr="00026097" w:rsidRDefault="00E95977">
      <w:pPr>
        <w:pStyle w:val="Ttulo1"/>
        <w:spacing w:before="220" w:after="100"/>
        <w:rPr>
          <w:rFonts w:ascii="Arial" w:hAnsi="Arial" w:cs="Arial"/>
          <w:sz w:val="22"/>
          <w:szCs w:val="22"/>
        </w:rPr>
      </w:pPr>
      <w:r w:rsidRPr="00026097">
        <w:rPr>
          <w:rFonts w:ascii="Arial" w:hAnsi="Arial" w:cs="Arial"/>
          <w:b/>
          <w:bCs/>
          <w:sz w:val="22"/>
          <w:szCs w:val="22"/>
        </w:rPr>
        <w:t>6. Methodology</w:t>
      </w:r>
    </w:p>
    <w:p w14:paraId="093B0EA5"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Design Science Research (Hevner et al., 2004), build-evaluate-refine cycle.</w:t>
      </w:r>
    </w:p>
    <w:p w14:paraId="39AD8178" w14:textId="77777777" w:rsidR="00165472" w:rsidRPr="00026097" w:rsidRDefault="00E95977">
      <w:pPr>
        <w:spacing w:after="110" w:line="258" w:lineRule="auto"/>
        <w:rPr>
          <w:rFonts w:ascii="Arial" w:hAnsi="Arial" w:cs="Arial"/>
          <w:sz w:val="22"/>
          <w:szCs w:val="22"/>
        </w:rPr>
      </w:pPr>
      <w:r w:rsidRPr="00026097">
        <w:rPr>
          <w:rFonts w:ascii="Arial" w:hAnsi="Arial" w:cs="Arial"/>
          <w:b/>
          <w:bCs/>
          <w:sz w:val="22"/>
          <w:szCs w:val="22"/>
        </w:rPr>
        <w:t xml:space="preserve">Contribution hierarchy: </w:t>
      </w:r>
      <w:r w:rsidRPr="00026097">
        <w:rPr>
          <w:rFonts w:ascii="Arial" w:hAnsi="Arial" w:cs="Arial"/>
          <w:sz w:val="22"/>
          <w:szCs w:val="22"/>
        </w:rPr>
        <w:t>the doctoral core is BSH → BSI → Adaptive Capacity (primary) → Biological Trajectory → NCD (secondary, same cohort; biological aging addressed conceptually, Section 6.6). The Spanish NLP module, XAI, and external validation are enabling components, not independent contributions.</w:t>
      </w:r>
    </w:p>
    <w:p w14:paraId="504CB4E8" w14:textId="77777777" w:rsidR="00165472" w:rsidRPr="00026097" w:rsidRDefault="00E95977">
      <w:pPr>
        <w:spacing w:after="110" w:line="258" w:lineRule="auto"/>
        <w:rPr>
          <w:rFonts w:ascii="Arial" w:hAnsi="Arial" w:cs="Arial"/>
          <w:sz w:val="22"/>
          <w:szCs w:val="22"/>
        </w:rPr>
      </w:pPr>
      <w:r w:rsidRPr="00026097">
        <w:rPr>
          <w:rFonts w:ascii="Arial" w:hAnsi="Arial" w:cs="Arial"/>
          <w:b/>
          <w:bCs/>
          <w:sz w:val="22"/>
          <w:szCs w:val="22"/>
        </w:rPr>
        <w:t xml:space="preserve">Data: </w:t>
      </w:r>
      <w:r w:rsidRPr="00026097">
        <w:rPr>
          <w:rFonts w:ascii="Arial" w:hAnsi="Arial" w:cs="Arial"/>
          <w:sz w:val="22"/>
          <w:szCs w:val="22"/>
        </w:rPr>
        <w:t>exclusively HL7 FHIR EHR from Rebagliati — structured data and free-text clinical notes via a Spanish-language NLP module (SNOMED CT/ICD-10; F1≥0.85, engineering benchmark).</w:t>
      </w:r>
    </w:p>
    <w:p w14:paraId="29C4F9BB" w14:textId="77777777" w:rsidR="00165472" w:rsidRPr="00026097" w:rsidRDefault="00E95977">
      <w:pPr>
        <w:spacing w:before="120" w:after="60"/>
        <w:rPr>
          <w:rFonts w:ascii="Arial" w:hAnsi="Arial" w:cs="Arial"/>
          <w:sz w:val="22"/>
          <w:szCs w:val="22"/>
        </w:rPr>
      </w:pPr>
      <w:r w:rsidRPr="00026097">
        <w:rPr>
          <w:rFonts w:ascii="Arial" w:hAnsi="Arial" w:cs="Arial"/>
          <w:b/>
          <w:bCs/>
          <w:i/>
          <w:iCs/>
          <w:sz w:val="22"/>
          <w:szCs w:val="22"/>
        </w:rPr>
        <w:t>Table 0. Operationalization matrix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9"/>
        <w:gridCol w:w="2132"/>
        <w:gridCol w:w="2147"/>
        <w:gridCol w:w="1345"/>
        <w:gridCol w:w="2092"/>
        <w:gridCol w:w="955"/>
      </w:tblGrid>
      <w:tr w:rsidR="00165472" w:rsidRPr="00026097" w14:paraId="42654390" w14:textId="77777777">
        <w:trPr>
          <w:tblHeader/>
        </w:trPr>
        <w:tc>
          <w:tcPr>
            <w:tcW w:w="700" w:type="pct"/>
            <w:shd w:val="clear" w:color="auto" w:fill="2E3B4E"/>
            <w:tcMar>
              <w:top w:w="60" w:type="dxa"/>
              <w:left w:w="80" w:type="dxa"/>
              <w:bottom w:w="60" w:type="dxa"/>
              <w:right w:w="80" w:type="dxa"/>
            </w:tcMar>
            <w:vAlign w:val="center"/>
          </w:tcPr>
          <w:p w14:paraId="04AD3F6C" w14:textId="77777777" w:rsidR="00165472" w:rsidRPr="00026097" w:rsidRDefault="00E95977">
            <w:pPr>
              <w:rPr>
                <w:rFonts w:ascii="Arial" w:hAnsi="Arial" w:cs="Arial"/>
                <w:sz w:val="22"/>
                <w:szCs w:val="22"/>
              </w:rPr>
            </w:pPr>
            <w:r w:rsidRPr="00026097">
              <w:rPr>
                <w:rFonts w:ascii="Arial" w:hAnsi="Arial" w:cs="Arial"/>
                <w:b/>
                <w:bCs/>
                <w:sz w:val="22"/>
                <w:szCs w:val="22"/>
              </w:rPr>
              <w:t>Construct</w:t>
            </w:r>
          </w:p>
        </w:tc>
        <w:tc>
          <w:tcPr>
            <w:tcW w:w="1100" w:type="pct"/>
            <w:shd w:val="clear" w:color="auto" w:fill="2E3B4E"/>
            <w:tcMar>
              <w:top w:w="60" w:type="dxa"/>
              <w:left w:w="80" w:type="dxa"/>
              <w:bottom w:w="60" w:type="dxa"/>
              <w:right w:w="80" w:type="dxa"/>
            </w:tcMar>
            <w:vAlign w:val="center"/>
          </w:tcPr>
          <w:p w14:paraId="0566C677" w14:textId="77777777" w:rsidR="00165472" w:rsidRPr="00026097" w:rsidRDefault="00E95977">
            <w:pPr>
              <w:rPr>
                <w:rFonts w:ascii="Arial" w:hAnsi="Arial" w:cs="Arial"/>
                <w:sz w:val="22"/>
                <w:szCs w:val="22"/>
              </w:rPr>
            </w:pPr>
            <w:r w:rsidRPr="00026097">
              <w:rPr>
                <w:rFonts w:ascii="Arial" w:hAnsi="Arial" w:cs="Arial"/>
                <w:b/>
                <w:bCs/>
                <w:sz w:val="22"/>
                <w:szCs w:val="22"/>
              </w:rPr>
              <w:t>Definition</w:t>
            </w:r>
          </w:p>
        </w:tc>
        <w:tc>
          <w:tcPr>
            <w:tcW w:w="1100" w:type="pct"/>
            <w:shd w:val="clear" w:color="auto" w:fill="2E3B4E"/>
            <w:tcMar>
              <w:top w:w="60" w:type="dxa"/>
              <w:left w:w="80" w:type="dxa"/>
              <w:bottom w:w="60" w:type="dxa"/>
              <w:right w:w="80" w:type="dxa"/>
            </w:tcMar>
            <w:vAlign w:val="center"/>
          </w:tcPr>
          <w:p w14:paraId="52D8677F" w14:textId="77777777" w:rsidR="00165472" w:rsidRPr="00026097" w:rsidRDefault="00E95977">
            <w:pPr>
              <w:rPr>
                <w:rFonts w:ascii="Arial" w:hAnsi="Arial" w:cs="Arial"/>
                <w:sz w:val="22"/>
                <w:szCs w:val="22"/>
              </w:rPr>
            </w:pPr>
            <w:r w:rsidRPr="00026097">
              <w:rPr>
                <w:rFonts w:ascii="Arial" w:hAnsi="Arial" w:cs="Arial"/>
                <w:b/>
                <w:bCs/>
                <w:sz w:val="22"/>
                <w:szCs w:val="22"/>
              </w:rPr>
              <w:t>Variables</w:t>
            </w:r>
          </w:p>
        </w:tc>
        <w:tc>
          <w:tcPr>
            <w:tcW w:w="700" w:type="pct"/>
            <w:shd w:val="clear" w:color="auto" w:fill="2E3B4E"/>
            <w:tcMar>
              <w:top w:w="60" w:type="dxa"/>
              <w:left w:w="80" w:type="dxa"/>
              <w:bottom w:w="60" w:type="dxa"/>
              <w:right w:w="80" w:type="dxa"/>
            </w:tcMar>
            <w:vAlign w:val="center"/>
          </w:tcPr>
          <w:p w14:paraId="530749AE" w14:textId="77777777" w:rsidR="00165472" w:rsidRPr="00026097" w:rsidRDefault="00E95977">
            <w:pPr>
              <w:rPr>
                <w:rFonts w:ascii="Arial" w:hAnsi="Arial" w:cs="Arial"/>
                <w:sz w:val="22"/>
                <w:szCs w:val="22"/>
              </w:rPr>
            </w:pPr>
            <w:r w:rsidRPr="00026097">
              <w:rPr>
                <w:rFonts w:ascii="Arial" w:hAnsi="Arial" w:cs="Arial"/>
                <w:b/>
                <w:bCs/>
                <w:sz w:val="22"/>
                <w:szCs w:val="22"/>
              </w:rPr>
              <w:t>Time point</w:t>
            </w:r>
          </w:p>
        </w:tc>
        <w:tc>
          <w:tcPr>
            <w:tcW w:w="1000" w:type="pct"/>
            <w:shd w:val="clear" w:color="auto" w:fill="2E3B4E"/>
            <w:tcMar>
              <w:top w:w="60" w:type="dxa"/>
              <w:left w:w="80" w:type="dxa"/>
              <w:bottom w:w="60" w:type="dxa"/>
              <w:right w:w="80" w:type="dxa"/>
            </w:tcMar>
            <w:vAlign w:val="center"/>
          </w:tcPr>
          <w:p w14:paraId="59A26A2E" w14:textId="77777777" w:rsidR="00165472" w:rsidRPr="00026097" w:rsidRDefault="00E95977">
            <w:pPr>
              <w:rPr>
                <w:rFonts w:ascii="Arial" w:hAnsi="Arial" w:cs="Arial"/>
                <w:sz w:val="22"/>
                <w:szCs w:val="22"/>
              </w:rPr>
            </w:pPr>
            <w:r w:rsidRPr="00026097">
              <w:rPr>
                <w:rFonts w:ascii="Arial" w:hAnsi="Arial" w:cs="Arial"/>
                <w:b/>
                <w:bCs/>
                <w:sz w:val="22"/>
                <w:szCs w:val="22"/>
              </w:rPr>
              <w:t>Method</w:t>
            </w:r>
          </w:p>
        </w:tc>
        <w:tc>
          <w:tcPr>
            <w:tcW w:w="400" w:type="pct"/>
            <w:shd w:val="clear" w:color="auto" w:fill="2E3B4E"/>
            <w:tcMar>
              <w:top w:w="60" w:type="dxa"/>
              <w:left w:w="80" w:type="dxa"/>
              <w:bottom w:w="60" w:type="dxa"/>
              <w:right w:w="80" w:type="dxa"/>
            </w:tcMar>
            <w:vAlign w:val="center"/>
          </w:tcPr>
          <w:p w14:paraId="46D05BF9" w14:textId="77777777" w:rsidR="00165472" w:rsidRPr="00026097" w:rsidRDefault="00E95977">
            <w:pPr>
              <w:rPr>
                <w:rFonts w:ascii="Arial" w:hAnsi="Arial" w:cs="Arial"/>
                <w:sz w:val="22"/>
                <w:szCs w:val="22"/>
              </w:rPr>
            </w:pPr>
            <w:r w:rsidRPr="00026097">
              <w:rPr>
                <w:rFonts w:ascii="Arial" w:hAnsi="Arial" w:cs="Arial"/>
                <w:b/>
                <w:bCs/>
                <w:sz w:val="22"/>
                <w:szCs w:val="22"/>
              </w:rPr>
              <w:t>Section</w:t>
            </w:r>
          </w:p>
        </w:tc>
      </w:tr>
      <w:tr w:rsidR="00165472" w:rsidRPr="00026097" w14:paraId="099C2F50" w14:textId="77777777">
        <w:tc>
          <w:tcPr>
            <w:tcW w:w="700" w:type="pct"/>
            <w:tcMar>
              <w:top w:w="60" w:type="dxa"/>
              <w:left w:w="80" w:type="dxa"/>
              <w:bottom w:w="60" w:type="dxa"/>
              <w:right w:w="80" w:type="dxa"/>
            </w:tcMar>
            <w:vAlign w:val="center"/>
          </w:tcPr>
          <w:p w14:paraId="41DDB890" w14:textId="77777777" w:rsidR="00165472" w:rsidRPr="00026097" w:rsidRDefault="00E95977">
            <w:pPr>
              <w:rPr>
                <w:rFonts w:ascii="Arial" w:hAnsi="Arial" w:cs="Arial"/>
                <w:sz w:val="22"/>
                <w:szCs w:val="22"/>
              </w:rPr>
            </w:pPr>
            <w:r w:rsidRPr="00026097">
              <w:rPr>
                <w:rFonts w:ascii="Arial" w:hAnsi="Arial" w:cs="Arial"/>
                <w:sz w:val="22"/>
                <w:szCs w:val="22"/>
              </w:rPr>
              <w:t>Biological State</w:t>
            </w:r>
          </w:p>
        </w:tc>
        <w:tc>
          <w:tcPr>
            <w:tcW w:w="1100" w:type="pct"/>
            <w:tcMar>
              <w:top w:w="60" w:type="dxa"/>
              <w:left w:w="80" w:type="dxa"/>
              <w:bottom w:w="60" w:type="dxa"/>
              <w:right w:w="80" w:type="dxa"/>
            </w:tcMar>
            <w:vAlign w:val="center"/>
          </w:tcPr>
          <w:p w14:paraId="71FE5090" w14:textId="77777777" w:rsidR="00165472" w:rsidRPr="00026097" w:rsidRDefault="00E95977">
            <w:pPr>
              <w:rPr>
                <w:rFonts w:ascii="Arial" w:hAnsi="Arial" w:cs="Arial"/>
                <w:sz w:val="22"/>
                <w:szCs w:val="22"/>
              </w:rPr>
            </w:pPr>
            <w:r w:rsidRPr="00026097">
              <w:rPr>
                <w:rFonts w:ascii="Arial" w:hAnsi="Arial" w:cs="Arial"/>
                <w:sz w:val="22"/>
                <w:szCs w:val="22"/>
              </w:rPr>
              <w:t>Integrative systemic state</w:t>
            </w:r>
          </w:p>
        </w:tc>
        <w:tc>
          <w:tcPr>
            <w:tcW w:w="1100" w:type="pct"/>
            <w:tcMar>
              <w:top w:w="60" w:type="dxa"/>
              <w:left w:w="80" w:type="dxa"/>
              <w:bottom w:w="60" w:type="dxa"/>
              <w:right w:w="80" w:type="dxa"/>
            </w:tcMar>
            <w:vAlign w:val="center"/>
          </w:tcPr>
          <w:p w14:paraId="4465A5DD" w14:textId="77777777" w:rsidR="00165472" w:rsidRPr="00026097" w:rsidRDefault="00E95977">
            <w:pPr>
              <w:rPr>
                <w:rFonts w:ascii="Arial" w:hAnsi="Arial" w:cs="Arial"/>
                <w:sz w:val="22"/>
                <w:szCs w:val="22"/>
              </w:rPr>
            </w:pPr>
            <w:r w:rsidRPr="00026097">
              <w:rPr>
                <w:rFonts w:ascii="Arial" w:hAnsi="Arial" w:cs="Arial"/>
                <w:sz w:val="22"/>
                <w:szCs w:val="22"/>
              </w:rPr>
              <w:t>SR, M, BP domain variables</w:t>
            </w:r>
          </w:p>
        </w:tc>
        <w:tc>
          <w:tcPr>
            <w:tcW w:w="700" w:type="pct"/>
            <w:tcMar>
              <w:top w:w="60" w:type="dxa"/>
              <w:left w:w="80" w:type="dxa"/>
              <w:bottom w:w="60" w:type="dxa"/>
              <w:right w:w="80" w:type="dxa"/>
            </w:tcMar>
            <w:vAlign w:val="center"/>
          </w:tcPr>
          <w:p w14:paraId="0A98EB60" w14:textId="77777777" w:rsidR="00165472" w:rsidRPr="00026097" w:rsidRDefault="00E95977">
            <w:pPr>
              <w:rPr>
                <w:rFonts w:ascii="Arial" w:hAnsi="Arial" w:cs="Arial"/>
                <w:sz w:val="22"/>
                <w:szCs w:val="22"/>
              </w:rPr>
            </w:pPr>
            <w:r w:rsidRPr="00026097">
              <w:rPr>
                <w:rFonts w:ascii="Arial" w:hAnsi="Arial" w:cs="Arial"/>
                <w:sz w:val="22"/>
                <w:szCs w:val="22"/>
              </w:rPr>
              <w:t>Baseline (pre-perturbation window)</w:t>
            </w:r>
          </w:p>
        </w:tc>
        <w:tc>
          <w:tcPr>
            <w:tcW w:w="1000" w:type="pct"/>
            <w:tcMar>
              <w:top w:w="60" w:type="dxa"/>
              <w:left w:w="80" w:type="dxa"/>
              <w:bottom w:w="60" w:type="dxa"/>
              <w:right w:w="80" w:type="dxa"/>
            </w:tcMar>
            <w:vAlign w:val="center"/>
          </w:tcPr>
          <w:p w14:paraId="278A7E6B" w14:textId="77777777" w:rsidR="00165472" w:rsidRPr="00026097" w:rsidRDefault="00E95977">
            <w:pPr>
              <w:rPr>
                <w:rFonts w:ascii="Arial" w:hAnsi="Arial" w:cs="Arial"/>
                <w:sz w:val="22"/>
                <w:szCs w:val="22"/>
              </w:rPr>
            </w:pPr>
            <w:r w:rsidRPr="00026097">
              <w:rPr>
                <w:rFonts w:ascii="Arial" w:hAnsi="Arial" w:cs="Arial"/>
                <w:sz w:val="22"/>
                <w:szCs w:val="22"/>
              </w:rPr>
              <w:t>BSI computation (Layers 1–3)</w:t>
            </w:r>
          </w:p>
        </w:tc>
        <w:tc>
          <w:tcPr>
            <w:tcW w:w="400" w:type="pct"/>
            <w:tcMar>
              <w:top w:w="60" w:type="dxa"/>
              <w:left w:w="80" w:type="dxa"/>
              <w:bottom w:w="60" w:type="dxa"/>
              <w:right w:w="80" w:type="dxa"/>
            </w:tcMar>
            <w:vAlign w:val="center"/>
          </w:tcPr>
          <w:p w14:paraId="07209FB9" w14:textId="77777777" w:rsidR="00165472" w:rsidRPr="00026097" w:rsidRDefault="00E95977">
            <w:pPr>
              <w:rPr>
                <w:rFonts w:ascii="Arial" w:hAnsi="Arial" w:cs="Arial"/>
                <w:sz w:val="22"/>
                <w:szCs w:val="22"/>
              </w:rPr>
            </w:pPr>
            <w:r w:rsidRPr="00026097">
              <w:rPr>
                <w:rFonts w:ascii="Arial" w:hAnsi="Arial" w:cs="Arial"/>
                <w:sz w:val="22"/>
                <w:szCs w:val="22"/>
              </w:rPr>
              <w:t>6.1–6.3</w:t>
            </w:r>
          </w:p>
        </w:tc>
      </w:tr>
      <w:tr w:rsidR="00165472" w:rsidRPr="00026097" w14:paraId="3DA8B725" w14:textId="77777777">
        <w:tc>
          <w:tcPr>
            <w:tcW w:w="700" w:type="pct"/>
            <w:tcMar>
              <w:top w:w="60" w:type="dxa"/>
              <w:left w:w="80" w:type="dxa"/>
              <w:bottom w:w="60" w:type="dxa"/>
              <w:right w:w="80" w:type="dxa"/>
            </w:tcMar>
            <w:vAlign w:val="center"/>
          </w:tcPr>
          <w:p w14:paraId="47CFBEE4" w14:textId="77777777" w:rsidR="00165472" w:rsidRPr="00026097" w:rsidRDefault="00E95977">
            <w:pPr>
              <w:rPr>
                <w:rFonts w:ascii="Arial" w:hAnsi="Arial" w:cs="Arial"/>
                <w:sz w:val="22"/>
                <w:szCs w:val="22"/>
              </w:rPr>
            </w:pPr>
            <w:r w:rsidRPr="00026097">
              <w:rPr>
                <w:rFonts w:ascii="Arial" w:hAnsi="Arial" w:cs="Arial"/>
                <w:sz w:val="22"/>
                <w:szCs w:val="22"/>
              </w:rPr>
              <w:t>Perturbation</w:t>
            </w:r>
          </w:p>
        </w:tc>
        <w:tc>
          <w:tcPr>
            <w:tcW w:w="1100" w:type="pct"/>
            <w:tcMar>
              <w:top w:w="60" w:type="dxa"/>
              <w:left w:w="80" w:type="dxa"/>
              <w:bottom w:w="60" w:type="dxa"/>
              <w:right w:w="80" w:type="dxa"/>
            </w:tcMar>
            <w:vAlign w:val="center"/>
          </w:tcPr>
          <w:p w14:paraId="07DB1ED4" w14:textId="77777777" w:rsidR="00165472" w:rsidRPr="00026097" w:rsidRDefault="00E95977">
            <w:pPr>
              <w:rPr>
                <w:rFonts w:ascii="Arial" w:hAnsi="Arial" w:cs="Arial"/>
                <w:sz w:val="22"/>
                <w:szCs w:val="22"/>
              </w:rPr>
            </w:pPr>
            <w:r w:rsidRPr="00026097">
              <w:rPr>
                <w:rFonts w:ascii="Arial" w:hAnsi="Arial" w:cs="Arial"/>
                <w:sz w:val="22"/>
                <w:szCs w:val="22"/>
              </w:rPr>
              <w:t>Documented physiological demand</w:t>
            </w:r>
          </w:p>
        </w:tc>
        <w:tc>
          <w:tcPr>
            <w:tcW w:w="1100" w:type="pct"/>
            <w:tcMar>
              <w:top w:w="60" w:type="dxa"/>
              <w:left w:w="80" w:type="dxa"/>
              <w:bottom w:w="60" w:type="dxa"/>
              <w:right w:w="80" w:type="dxa"/>
            </w:tcMar>
            <w:vAlign w:val="center"/>
          </w:tcPr>
          <w:p w14:paraId="7C3A5100" w14:textId="77777777" w:rsidR="00165472" w:rsidRPr="00026097" w:rsidRDefault="00E95977">
            <w:pPr>
              <w:rPr>
                <w:rFonts w:ascii="Arial" w:hAnsi="Arial" w:cs="Arial"/>
                <w:sz w:val="22"/>
                <w:szCs w:val="22"/>
              </w:rPr>
            </w:pPr>
            <w:r w:rsidRPr="00026097">
              <w:rPr>
                <w:rFonts w:ascii="Arial" w:hAnsi="Arial" w:cs="Arial"/>
                <w:sz w:val="22"/>
                <w:szCs w:val="22"/>
              </w:rPr>
              <w:t>EHR-coded event meeting eligibility criteria</w:t>
            </w:r>
          </w:p>
        </w:tc>
        <w:tc>
          <w:tcPr>
            <w:tcW w:w="700" w:type="pct"/>
            <w:tcMar>
              <w:top w:w="60" w:type="dxa"/>
              <w:left w:w="80" w:type="dxa"/>
              <w:bottom w:w="60" w:type="dxa"/>
              <w:right w:w="80" w:type="dxa"/>
            </w:tcMar>
            <w:vAlign w:val="center"/>
          </w:tcPr>
          <w:p w14:paraId="644270B9" w14:textId="77777777" w:rsidR="00165472" w:rsidRPr="00026097" w:rsidRDefault="00E95977">
            <w:pPr>
              <w:rPr>
                <w:rFonts w:ascii="Arial" w:hAnsi="Arial" w:cs="Arial"/>
                <w:sz w:val="22"/>
                <w:szCs w:val="22"/>
              </w:rPr>
            </w:pPr>
            <w:r w:rsidRPr="00026097">
              <w:rPr>
                <w:rFonts w:ascii="Arial" w:hAnsi="Arial" w:cs="Arial"/>
                <w:sz w:val="22"/>
                <w:szCs w:val="22"/>
              </w:rPr>
              <w:t>T0 (event onset)</w:t>
            </w:r>
          </w:p>
        </w:tc>
        <w:tc>
          <w:tcPr>
            <w:tcW w:w="1000" w:type="pct"/>
            <w:tcMar>
              <w:top w:w="60" w:type="dxa"/>
              <w:left w:w="80" w:type="dxa"/>
              <w:bottom w:w="60" w:type="dxa"/>
              <w:right w:w="80" w:type="dxa"/>
            </w:tcMar>
            <w:vAlign w:val="center"/>
          </w:tcPr>
          <w:p w14:paraId="63EB4F7B" w14:textId="77777777" w:rsidR="00165472" w:rsidRPr="00026097" w:rsidRDefault="00E95977">
            <w:pPr>
              <w:rPr>
                <w:rFonts w:ascii="Arial" w:hAnsi="Arial" w:cs="Arial"/>
                <w:sz w:val="22"/>
                <w:szCs w:val="22"/>
              </w:rPr>
            </w:pPr>
            <w:r w:rsidRPr="00026097">
              <w:rPr>
                <w:rFonts w:ascii="Arial" w:hAnsi="Arial" w:cs="Arial"/>
                <w:sz w:val="22"/>
                <w:szCs w:val="22"/>
              </w:rPr>
              <w:t>Predefined eligibility criteria</w:t>
            </w:r>
          </w:p>
        </w:tc>
        <w:tc>
          <w:tcPr>
            <w:tcW w:w="400" w:type="pct"/>
            <w:tcMar>
              <w:top w:w="60" w:type="dxa"/>
              <w:left w:w="80" w:type="dxa"/>
              <w:bottom w:w="60" w:type="dxa"/>
              <w:right w:w="80" w:type="dxa"/>
            </w:tcMar>
            <w:vAlign w:val="center"/>
          </w:tcPr>
          <w:p w14:paraId="55551F90" w14:textId="77777777" w:rsidR="00165472" w:rsidRPr="00026097" w:rsidRDefault="00E95977">
            <w:pPr>
              <w:rPr>
                <w:rFonts w:ascii="Arial" w:hAnsi="Arial" w:cs="Arial"/>
                <w:sz w:val="22"/>
                <w:szCs w:val="22"/>
              </w:rPr>
            </w:pPr>
            <w:r w:rsidRPr="00026097">
              <w:rPr>
                <w:rFonts w:ascii="Arial" w:hAnsi="Arial" w:cs="Arial"/>
                <w:sz w:val="22"/>
                <w:szCs w:val="22"/>
              </w:rPr>
              <w:t>6.4.1</w:t>
            </w:r>
          </w:p>
        </w:tc>
      </w:tr>
      <w:tr w:rsidR="00165472" w:rsidRPr="00026097" w14:paraId="3ED7C874" w14:textId="77777777">
        <w:tc>
          <w:tcPr>
            <w:tcW w:w="700" w:type="pct"/>
            <w:tcMar>
              <w:top w:w="60" w:type="dxa"/>
              <w:left w:w="80" w:type="dxa"/>
              <w:bottom w:w="60" w:type="dxa"/>
              <w:right w:w="80" w:type="dxa"/>
            </w:tcMar>
            <w:vAlign w:val="center"/>
          </w:tcPr>
          <w:p w14:paraId="0C86EC7F" w14:textId="77777777" w:rsidR="00165472" w:rsidRPr="00026097" w:rsidRDefault="00E95977">
            <w:pPr>
              <w:rPr>
                <w:rFonts w:ascii="Arial" w:hAnsi="Arial" w:cs="Arial"/>
                <w:sz w:val="22"/>
                <w:szCs w:val="22"/>
              </w:rPr>
            </w:pPr>
            <w:r w:rsidRPr="00026097">
              <w:rPr>
                <w:rFonts w:ascii="Arial" w:hAnsi="Arial" w:cs="Arial"/>
                <w:sz w:val="22"/>
                <w:szCs w:val="22"/>
              </w:rPr>
              <w:t>Recovery</w:t>
            </w:r>
          </w:p>
        </w:tc>
        <w:tc>
          <w:tcPr>
            <w:tcW w:w="1100" w:type="pct"/>
            <w:tcMar>
              <w:top w:w="60" w:type="dxa"/>
              <w:left w:w="80" w:type="dxa"/>
              <w:bottom w:w="60" w:type="dxa"/>
              <w:right w:w="80" w:type="dxa"/>
            </w:tcMar>
            <w:vAlign w:val="center"/>
          </w:tcPr>
          <w:p w14:paraId="2F2B86C0" w14:textId="77777777" w:rsidR="00165472" w:rsidRPr="00026097" w:rsidRDefault="00E95977">
            <w:pPr>
              <w:rPr>
                <w:rFonts w:ascii="Arial" w:hAnsi="Arial" w:cs="Arial"/>
                <w:sz w:val="22"/>
                <w:szCs w:val="22"/>
              </w:rPr>
            </w:pPr>
            <w:r w:rsidRPr="00026097">
              <w:rPr>
                <w:rFonts w:ascii="Arial" w:hAnsi="Arial" w:cs="Arial"/>
                <w:sz w:val="22"/>
                <w:szCs w:val="22"/>
              </w:rPr>
              <w:t>Post-event return toward baseline</w:t>
            </w:r>
          </w:p>
        </w:tc>
        <w:tc>
          <w:tcPr>
            <w:tcW w:w="1100" w:type="pct"/>
            <w:tcMar>
              <w:top w:w="60" w:type="dxa"/>
              <w:left w:w="80" w:type="dxa"/>
              <w:bottom w:w="60" w:type="dxa"/>
              <w:right w:w="80" w:type="dxa"/>
            </w:tcMar>
            <w:vAlign w:val="center"/>
          </w:tcPr>
          <w:p w14:paraId="33DD3996" w14:textId="77777777" w:rsidR="00165472" w:rsidRPr="00026097" w:rsidRDefault="00E95977">
            <w:pPr>
              <w:rPr>
                <w:rFonts w:ascii="Arial" w:hAnsi="Arial" w:cs="Arial"/>
                <w:sz w:val="22"/>
                <w:szCs w:val="22"/>
              </w:rPr>
            </w:pPr>
            <w:r w:rsidRPr="00026097">
              <w:rPr>
                <w:rFonts w:ascii="Arial" w:hAnsi="Arial" w:cs="Arial"/>
                <w:sz w:val="22"/>
                <w:szCs w:val="22"/>
              </w:rPr>
              <w:t>BSI trajectory, T0 to T0+W</w:t>
            </w:r>
          </w:p>
        </w:tc>
        <w:tc>
          <w:tcPr>
            <w:tcW w:w="700" w:type="pct"/>
            <w:tcMar>
              <w:top w:w="60" w:type="dxa"/>
              <w:left w:w="80" w:type="dxa"/>
              <w:bottom w:w="60" w:type="dxa"/>
              <w:right w:w="80" w:type="dxa"/>
            </w:tcMar>
            <w:vAlign w:val="center"/>
          </w:tcPr>
          <w:p w14:paraId="48F6EE0F" w14:textId="77777777" w:rsidR="00165472" w:rsidRPr="00026097" w:rsidRDefault="00E95977">
            <w:pPr>
              <w:rPr>
                <w:rFonts w:ascii="Arial" w:hAnsi="Arial" w:cs="Arial"/>
                <w:sz w:val="22"/>
                <w:szCs w:val="22"/>
              </w:rPr>
            </w:pPr>
            <w:r w:rsidRPr="00026097">
              <w:rPr>
                <w:rFonts w:ascii="Arial" w:hAnsi="Arial" w:cs="Arial"/>
                <w:sz w:val="22"/>
                <w:szCs w:val="22"/>
              </w:rPr>
              <w:t>T0 to T0+W</w:t>
            </w:r>
          </w:p>
        </w:tc>
        <w:tc>
          <w:tcPr>
            <w:tcW w:w="1000" w:type="pct"/>
            <w:tcMar>
              <w:top w:w="60" w:type="dxa"/>
              <w:left w:w="80" w:type="dxa"/>
              <w:bottom w:w="60" w:type="dxa"/>
              <w:right w:w="80" w:type="dxa"/>
            </w:tcMar>
            <w:vAlign w:val="center"/>
          </w:tcPr>
          <w:p w14:paraId="441782A0" w14:textId="77777777" w:rsidR="00165472" w:rsidRPr="00026097" w:rsidRDefault="00E95977">
            <w:pPr>
              <w:rPr>
                <w:rFonts w:ascii="Arial" w:hAnsi="Arial" w:cs="Arial"/>
                <w:sz w:val="22"/>
                <w:szCs w:val="22"/>
              </w:rPr>
            </w:pPr>
            <w:r w:rsidRPr="00026097">
              <w:rPr>
                <w:rFonts w:ascii="Arial" w:hAnsi="Arial" w:cs="Arial"/>
                <w:sz w:val="22"/>
                <w:szCs w:val="22"/>
              </w:rPr>
              <w:t>Recovery-window algorithm</w:t>
            </w:r>
          </w:p>
        </w:tc>
        <w:tc>
          <w:tcPr>
            <w:tcW w:w="400" w:type="pct"/>
            <w:tcMar>
              <w:top w:w="60" w:type="dxa"/>
              <w:left w:w="80" w:type="dxa"/>
              <w:bottom w:w="60" w:type="dxa"/>
              <w:right w:w="80" w:type="dxa"/>
            </w:tcMar>
            <w:vAlign w:val="center"/>
          </w:tcPr>
          <w:p w14:paraId="54FB1169" w14:textId="77777777" w:rsidR="00165472" w:rsidRPr="00026097" w:rsidRDefault="00E95977">
            <w:pPr>
              <w:rPr>
                <w:rFonts w:ascii="Arial" w:hAnsi="Arial" w:cs="Arial"/>
                <w:sz w:val="22"/>
                <w:szCs w:val="22"/>
              </w:rPr>
            </w:pPr>
            <w:r w:rsidRPr="00026097">
              <w:rPr>
                <w:rFonts w:ascii="Arial" w:hAnsi="Arial" w:cs="Arial"/>
                <w:sz w:val="22"/>
                <w:szCs w:val="22"/>
              </w:rPr>
              <w:t>6.4.2</w:t>
            </w:r>
          </w:p>
        </w:tc>
      </w:tr>
      <w:tr w:rsidR="00165472" w:rsidRPr="00026097" w14:paraId="58473F77" w14:textId="77777777">
        <w:tc>
          <w:tcPr>
            <w:tcW w:w="700" w:type="pct"/>
            <w:tcMar>
              <w:top w:w="60" w:type="dxa"/>
              <w:left w:w="80" w:type="dxa"/>
              <w:bottom w:w="60" w:type="dxa"/>
              <w:right w:w="80" w:type="dxa"/>
            </w:tcMar>
            <w:vAlign w:val="center"/>
          </w:tcPr>
          <w:p w14:paraId="7731E5C6" w14:textId="77777777" w:rsidR="00165472" w:rsidRPr="00026097" w:rsidRDefault="00E95977">
            <w:pPr>
              <w:rPr>
                <w:rFonts w:ascii="Arial" w:hAnsi="Arial" w:cs="Arial"/>
                <w:sz w:val="22"/>
                <w:szCs w:val="22"/>
              </w:rPr>
            </w:pPr>
            <w:r w:rsidRPr="00026097">
              <w:rPr>
                <w:rFonts w:ascii="Arial" w:hAnsi="Arial" w:cs="Arial"/>
                <w:sz w:val="22"/>
                <w:szCs w:val="22"/>
              </w:rPr>
              <w:t>Adaptive Capacity</w:t>
            </w:r>
          </w:p>
        </w:tc>
        <w:tc>
          <w:tcPr>
            <w:tcW w:w="1100" w:type="pct"/>
            <w:tcMar>
              <w:top w:w="60" w:type="dxa"/>
              <w:left w:w="80" w:type="dxa"/>
              <w:bottom w:w="60" w:type="dxa"/>
              <w:right w:w="80" w:type="dxa"/>
            </w:tcMar>
            <w:vAlign w:val="center"/>
          </w:tcPr>
          <w:p w14:paraId="5048E2C0" w14:textId="77777777" w:rsidR="00165472" w:rsidRPr="00026097" w:rsidRDefault="00E95977">
            <w:pPr>
              <w:rPr>
                <w:rFonts w:ascii="Arial" w:hAnsi="Arial" w:cs="Arial"/>
                <w:sz w:val="22"/>
                <w:szCs w:val="22"/>
              </w:rPr>
            </w:pPr>
            <w:r w:rsidRPr="00026097">
              <w:rPr>
                <w:rFonts w:ascii="Arial" w:hAnsi="Arial" w:cs="Arial"/>
                <w:sz w:val="22"/>
                <w:szCs w:val="22"/>
              </w:rPr>
              <w:t>Residual recovery relative to population expectation</w:t>
            </w:r>
          </w:p>
        </w:tc>
        <w:tc>
          <w:tcPr>
            <w:tcW w:w="1100" w:type="pct"/>
            <w:tcMar>
              <w:top w:w="60" w:type="dxa"/>
              <w:left w:w="80" w:type="dxa"/>
              <w:bottom w:w="60" w:type="dxa"/>
              <w:right w:w="80" w:type="dxa"/>
            </w:tcMar>
            <w:vAlign w:val="center"/>
          </w:tcPr>
          <w:p w14:paraId="172FC954" w14:textId="77777777" w:rsidR="00165472" w:rsidRPr="00026097" w:rsidRDefault="00E95977">
            <w:pPr>
              <w:rPr>
                <w:rFonts w:ascii="Arial" w:hAnsi="Arial" w:cs="Arial"/>
                <w:sz w:val="22"/>
                <w:szCs w:val="22"/>
              </w:rPr>
            </w:pPr>
            <w:r w:rsidRPr="00026097">
              <w:rPr>
                <w:rFonts w:ascii="Arial" w:hAnsi="Arial" w:cs="Arial"/>
                <w:sz w:val="22"/>
                <w:szCs w:val="22"/>
              </w:rPr>
              <w:t>Rᵢ, Ê[R|Sᵢ,Xᵢ], ACᵢ</w:t>
            </w:r>
          </w:p>
        </w:tc>
        <w:tc>
          <w:tcPr>
            <w:tcW w:w="700" w:type="pct"/>
            <w:tcMar>
              <w:top w:w="60" w:type="dxa"/>
              <w:left w:w="80" w:type="dxa"/>
              <w:bottom w:w="60" w:type="dxa"/>
              <w:right w:w="80" w:type="dxa"/>
            </w:tcMar>
            <w:vAlign w:val="center"/>
          </w:tcPr>
          <w:p w14:paraId="1F4B4C5F" w14:textId="77777777" w:rsidR="00165472" w:rsidRPr="00026097" w:rsidRDefault="00E95977">
            <w:pPr>
              <w:rPr>
                <w:rFonts w:ascii="Arial" w:hAnsi="Arial" w:cs="Arial"/>
                <w:sz w:val="22"/>
                <w:szCs w:val="22"/>
              </w:rPr>
            </w:pPr>
            <w:r w:rsidRPr="00026097">
              <w:rPr>
                <w:rFonts w:ascii="Arial" w:hAnsi="Arial" w:cs="Arial"/>
                <w:sz w:val="22"/>
                <w:szCs w:val="22"/>
              </w:rPr>
              <w:t>End of recovery window</w:t>
            </w:r>
          </w:p>
        </w:tc>
        <w:tc>
          <w:tcPr>
            <w:tcW w:w="1000" w:type="pct"/>
            <w:tcMar>
              <w:top w:w="60" w:type="dxa"/>
              <w:left w:w="80" w:type="dxa"/>
              <w:bottom w:w="60" w:type="dxa"/>
              <w:right w:w="80" w:type="dxa"/>
            </w:tcMar>
            <w:vAlign w:val="center"/>
          </w:tcPr>
          <w:p w14:paraId="26BD9C79" w14:textId="77777777" w:rsidR="00165472" w:rsidRPr="00026097" w:rsidRDefault="00E95977">
            <w:pPr>
              <w:rPr>
                <w:rFonts w:ascii="Arial" w:hAnsi="Arial" w:cs="Arial"/>
                <w:sz w:val="22"/>
                <w:szCs w:val="22"/>
              </w:rPr>
            </w:pPr>
            <w:r w:rsidRPr="00026097">
              <w:rPr>
                <w:rFonts w:ascii="Arial" w:hAnsi="Arial" w:cs="Arial"/>
                <w:sz w:val="22"/>
                <w:szCs w:val="22"/>
              </w:rPr>
              <w:t>Residualization (patient-level cross-fitting of population recovery model)</w:t>
            </w:r>
          </w:p>
        </w:tc>
        <w:tc>
          <w:tcPr>
            <w:tcW w:w="400" w:type="pct"/>
            <w:tcMar>
              <w:top w:w="60" w:type="dxa"/>
              <w:left w:w="80" w:type="dxa"/>
              <w:bottom w:w="60" w:type="dxa"/>
              <w:right w:w="80" w:type="dxa"/>
            </w:tcMar>
            <w:vAlign w:val="center"/>
          </w:tcPr>
          <w:p w14:paraId="53289E21" w14:textId="77777777" w:rsidR="00165472" w:rsidRPr="00026097" w:rsidRDefault="00E95977">
            <w:pPr>
              <w:rPr>
                <w:rFonts w:ascii="Arial" w:hAnsi="Arial" w:cs="Arial"/>
                <w:sz w:val="22"/>
                <w:szCs w:val="22"/>
              </w:rPr>
            </w:pPr>
            <w:r w:rsidRPr="00026097">
              <w:rPr>
                <w:rFonts w:ascii="Arial" w:hAnsi="Arial" w:cs="Arial"/>
                <w:sz w:val="22"/>
                <w:szCs w:val="22"/>
              </w:rPr>
              <w:t>6.4.3–6.4.4</w:t>
            </w:r>
          </w:p>
        </w:tc>
      </w:tr>
      <w:tr w:rsidR="00165472" w:rsidRPr="00026097" w14:paraId="4B4C9FCD" w14:textId="77777777">
        <w:tc>
          <w:tcPr>
            <w:tcW w:w="700" w:type="pct"/>
            <w:tcMar>
              <w:top w:w="60" w:type="dxa"/>
              <w:left w:w="80" w:type="dxa"/>
              <w:bottom w:w="60" w:type="dxa"/>
              <w:right w:w="80" w:type="dxa"/>
            </w:tcMar>
            <w:vAlign w:val="center"/>
          </w:tcPr>
          <w:p w14:paraId="405A8C27" w14:textId="77777777" w:rsidR="00165472" w:rsidRPr="00026097" w:rsidRDefault="00E95977">
            <w:pPr>
              <w:rPr>
                <w:rFonts w:ascii="Arial" w:hAnsi="Arial" w:cs="Arial"/>
                <w:sz w:val="22"/>
                <w:szCs w:val="22"/>
              </w:rPr>
            </w:pPr>
            <w:r w:rsidRPr="00026097">
              <w:rPr>
                <w:rFonts w:ascii="Arial" w:hAnsi="Arial" w:cs="Arial"/>
                <w:sz w:val="22"/>
                <w:szCs w:val="22"/>
              </w:rPr>
              <w:t>Biological Trajectory</w:t>
            </w:r>
          </w:p>
        </w:tc>
        <w:tc>
          <w:tcPr>
            <w:tcW w:w="1100" w:type="pct"/>
            <w:tcMar>
              <w:top w:w="60" w:type="dxa"/>
              <w:left w:w="80" w:type="dxa"/>
              <w:bottom w:w="60" w:type="dxa"/>
              <w:right w:w="80" w:type="dxa"/>
            </w:tcMar>
            <w:vAlign w:val="center"/>
          </w:tcPr>
          <w:p w14:paraId="6CBF786D" w14:textId="77777777" w:rsidR="00165472" w:rsidRPr="00026097" w:rsidRDefault="00E95977">
            <w:pPr>
              <w:rPr>
                <w:rFonts w:ascii="Arial" w:hAnsi="Arial" w:cs="Arial"/>
                <w:sz w:val="22"/>
                <w:szCs w:val="22"/>
              </w:rPr>
            </w:pPr>
            <w:r w:rsidRPr="00026097">
              <w:rPr>
                <w:rFonts w:ascii="Arial" w:hAnsi="Arial" w:cs="Arial"/>
                <w:sz w:val="22"/>
                <w:szCs w:val="22"/>
              </w:rPr>
              <w:t>Longitudinal evolution across repeated events</w:t>
            </w:r>
          </w:p>
        </w:tc>
        <w:tc>
          <w:tcPr>
            <w:tcW w:w="1100" w:type="pct"/>
            <w:tcMar>
              <w:top w:w="60" w:type="dxa"/>
              <w:left w:w="80" w:type="dxa"/>
              <w:bottom w:w="60" w:type="dxa"/>
              <w:right w:w="80" w:type="dxa"/>
            </w:tcMar>
            <w:vAlign w:val="center"/>
          </w:tcPr>
          <w:p w14:paraId="087BD9A6" w14:textId="77777777" w:rsidR="00165472" w:rsidRPr="00026097" w:rsidRDefault="00E95977">
            <w:pPr>
              <w:rPr>
                <w:rFonts w:ascii="Arial" w:hAnsi="Arial" w:cs="Arial"/>
                <w:sz w:val="22"/>
                <w:szCs w:val="22"/>
              </w:rPr>
            </w:pPr>
            <w:r w:rsidRPr="00026097">
              <w:rPr>
                <w:rFonts w:ascii="Arial" w:hAnsi="Arial" w:cs="Arial"/>
                <w:sz w:val="22"/>
                <w:szCs w:val="22"/>
              </w:rPr>
              <w:t>BSI(t), ACᵢ series</w:t>
            </w:r>
          </w:p>
        </w:tc>
        <w:tc>
          <w:tcPr>
            <w:tcW w:w="700" w:type="pct"/>
            <w:tcMar>
              <w:top w:w="60" w:type="dxa"/>
              <w:left w:w="80" w:type="dxa"/>
              <w:bottom w:w="60" w:type="dxa"/>
              <w:right w:w="80" w:type="dxa"/>
            </w:tcMar>
            <w:vAlign w:val="center"/>
          </w:tcPr>
          <w:p w14:paraId="125965F0" w14:textId="77777777" w:rsidR="00165472" w:rsidRPr="00026097" w:rsidRDefault="00E95977">
            <w:pPr>
              <w:rPr>
                <w:rFonts w:ascii="Arial" w:hAnsi="Arial" w:cs="Arial"/>
                <w:sz w:val="22"/>
                <w:szCs w:val="22"/>
              </w:rPr>
            </w:pPr>
            <w:r w:rsidRPr="00026097">
              <w:rPr>
                <w:rFonts w:ascii="Arial" w:hAnsi="Arial" w:cs="Arial"/>
                <w:sz w:val="22"/>
                <w:szCs w:val="22"/>
              </w:rPr>
              <w:t>Multiple events across EHR history</w:t>
            </w:r>
          </w:p>
        </w:tc>
        <w:tc>
          <w:tcPr>
            <w:tcW w:w="1000" w:type="pct"/>
            <w:tcMar>
              <w:top w:w="60" w:type="dxa"/>
              <w:left w:w="80" w:type="dxa"/>
              <w:bottom w:w="60" w:type="dxa"/>
              <w:right w:w="80" w:type="dxa"/>
            </w:tcMar>
            <w:vAlign w:val="center"/>
          </w:tcPr>
          <w:p w14:paraId="0AA8573F" w14:textId="77777777" w:rsidR="00165472" w:rsidRPr="00026097" w:rsidRDefault="00E95977">
            <w:pPr>
              <w:rPr>
                <w:rFonts w:ascii="Arial" w:hAnsi="Arial" w:cs="Arial"/>
                <w:sz w:val="22"/>
                <w:szCs w:val="22"/>
              </w:rPr>
            </w:pPr>
            <w:r w:rsidRPr="00026097">
              <w:rPr>
                <w:rFonts w:ascii="Arial" w:hAnsi="Arial" w:cs="Arial"/>
                <w:sz w:val="22"/>
                <w:szCs w:val="22"/>
              </w:rPr>
              <w:t>Group-based trajectory modeling</w:t>
            </w:r>
          </w:p>
        </w:tc>
        <w:tc>
          <w:tcPr>
            <w:tcW w:w="400" w:type="pct"/>
            <w:tcMar>
              <w:top w:w="60" w:type="dxa"/>
              <w:left w:w="80" w:type="dxa"/>
              <w:bottom w:w="60" w:type="dxa"/>
              <w:right w:w="80" w:type="dxa"/>
            </w:tcMar>
            <w:vAlign w:val="center"/>
          </w:tcPr>
          <w:p w14:paraId="7727C20F" w14:textId="77777777" w:rsidR="00165472" w:rsidRPr="00026097" w:rsidRDefault="00E95977">
            <w:pPr>
              <w:rPr>
                <w:rFonts w:ascii="Arial" w:hAnsi="Arial" w:cs="Arial"/>
                <w:sz w:val="22"/>
                <w:szCs w:val="22"/>
              </w:rPr>
            </w:pPr>
            <w:r w:rsidRPr="00026097">
              <w:rPr>
                <w:rFonts w:ascii="Arial" w:hAnsi="Arial" w:cs="Arial"/>
                <w:sz w:val="22"/>
                <w:szCs w:val="22"/>
              </w:rPr>
              <w:t>6.5</w:t>
            </w:r>
          </w:p>
        </w:tc>
      </w:tr>
      <w:tr w:rsidR="00165472" w:rsidRPr="00026097" w14:paraId="1EE5E6A3" w14:textId="77777777">
        <w:tc>
          <w:tcPr>
            <w:tcW w:w="700" w:type="pct"/>
            <w:tcMar>
              <w:top w:w="60" w:type="dxa"/>
              <w:left w:w="80" w:type="dxa"/>
              <w:bottom w:w="60" w:type="dxa"/>
              <w:right w:w="80" w:type="dxa"/>
            </w:tcMar>
            <w:vAlign w:val="center"/>
          </w:tcPr>
          <w:p w14:paraId="559B59F5" w14:textId="77777777" w:rsidR="00165472" w:rsidRPr="00026097" w:rsidRDefault="00E95977">
            <w:pPr>
              <w:rPr>
                <w:rFonts w:ascii="Arial" w:hAnsi="Arial" w:cs="Arial"/>
                <w:sz w:val="22"/>
                <w:szCs w:val="22"/>
              </w:rPr>
            </w:pPr>
            <w:r w:rsidRPr="00026097">
              <w:rPr>
                <w:rFonts w:ascii="Arial" w:hAnsi="Arial" w:cs="Arial"/>
                <w:sz w:val="22"/>
                <w:szCs w:val="22"/>
              </w:rPr>
              <w:t>NCD progression</w:t>
            </w:r>
          </w:p>
        </w:tc>
        <w:tc>
          <w:tcPr>
            <w:tcW w:w="1100" w:type="pct"/>
            <w:tcMar>
              <w:top w:w="60" w:type="dxa"/>
              <w:left w:w="80" w:type="dxa"/>
              <w:bottom w:w="60" w:type="dxa"/>
              <w:right w:w="80" w:type="dxa"/>
            </w:tcMar>
            <w:vAlign w:val="center"/>
          </w:tcPr>
          <w:p w14:paraId="43D6E7B7" w14:textId="77777777" w:rsidR="00165472" w:rsidRPr="00026097" w:rsidRDefault="00E95977">
            <w:pPr>
              <w:rPr>
                <w:rFonts w:ascii="Arial" w:hAnsi="Arial" w:cs="Arial"/>
                <w:sz w:val="22"/>
                <w:szCs w:val="22"/>
              </w:rPr>
            </w:pPr>
            <w:r w:rsidRPr="00026097">
              <w:rPr>
                <w:rFonts w:ascii="Arial" w:hAnsi="Arial" w:cs="Arial"/>
                <w:sz w:val="22"/>
                <w:szCs w:val="22"/>
              </w:rPr>
              <w:t>Distal clinical outcome</w:t>
            </w:r>
          </w:p>
        </w:tc>
        <w:tc>
          <w:tcPr>
            <w:tcW w:w="1100" w:type="pct"/>
            <w:tcMar>
              <w:top w:w="60" w:type="dxa"/>
              <w:left w:w="80" w:type="dxa"/>
              <w:bottom w:w="60" w:type="dxa"/>
              <w:right w:w="80" w:type="dxa"/>
            </w:tcMar>
            <w:vAlign w:val="center"/>
          </w:tcPr>
          <w:p w14:paraId="26843DE9" w14:textId="77777777" w:rsidR="00165472" w:rsidRPr="00026097" w:rsidRDefault="00E95977">
            <w:pPr>
              <w:rPr>
                <w:rFonts w:ascii="Arial" w:hAnsi="Arial" w:cs="Arial"/>
                <w:sz w:val="22"/>
                <w:szCs w:val="22"/>
              </w:rPr>
            </w:pPr>
            <w:r w:rsidRPr="00026097">
              <w:rPr>
                <w:rFonts w:ascii="Arial" w:hAnsi="Arial" w:cs="Arial"/>
                <w:sz w:val="22"/>
                <w:szCs w:val="22"/>
              </w:rPr>
              <w:t>New T2D diagnosis, complication, CV event</w:t>
            </w:r>
          </w:p>
        </w:tc>
        <w:tc>
          <w:tcPr>
            <w:tcW w:w="700" w:type="pct"/>
            <w:tcMar>
              <w:top w:w="60" w:type="dxa"/>
              <w:left w:w="80" w:type="dxa"/>
              <w:bottom w:w="60" w:type="dxa"/>
              <w:right w:w="80" w:type="dxa"/>
            </w:tcMar>
            <w:vAlign w:val="center"/>
          </w:tcPr>
          <w:p w14:paraId="3A47D2BC" w14:textId="77777777" w:rsidR="00165472" w:rsidRPr="00026097" w:rsidRDefault="00E95977">
            <w:pPr>
              <w:rPr>
                <w:rFonts w:ascii="Arial" w:hAnsi="Arial" w:cs="Arial"/>
                <w:sz w:val="22"/>
                <w:szCs w:val="22"/>
              </w:rPr>
            </w:pPr>
            <w:r w:rsidRPr="00026097">
              <w:rPr>
                <w:rFonts w:ascii="Arial" w:hAnsi="Arial" w:cs="Arial"/>
                <w:sz w:val="22"/>
                <w:szCs w:val="22"/>
              </w:rPr>
              <w:t>Remaining EHR follow-up</w:t>
            </w:r>
          </w:p>
        </w:tc>
        <w:tc>
          <w:tcPr>
            <w:tcW w:w="1000" w:type="pct"/>
            <w:tcMar>
              <w:top w:w="60" w:type="dxa"/>
              <w:left w:w="80" w:type="dxa"/>
              <w:bottom w:w="60" w:type="dxa"/>
              <w:right w:w="80" w:type="dxa"/>
            </w:tcMar>
            <w:vAlign w:val="center"/>
          </w:tcPr>
          <w:p w14:paraId="706C4DE3" w14:textId="77777777" w:rsidR="00165472" w:rsidRPr="00026097" w:rsidRDefault="00E95977">
            <w:pPr>
              <w:rPr>
                <w:rFonts w:ascii="Arial" w:hAnsi="Arial" w:cs="Arial"/>
                <w:sz w:val="22"/>
                <w:szCs w:val="22"/>
              </w:rPr>
            </w:pPr>
            <w:r w:rsidRPr="00026097">
              <w:rPr>
                <w:rFonts w:ascii="Arial" w:hAnsi="Arial" w:cs="Arial"/>
                <w:sz w:val="22"/>
                <w:szCs w:val="22"/>
              </w:rPr>
              <w:t>Association/survival analysis</w:t>
            </w:r>
          </w:p>
        </w:tc>
        <w:tc>
          <w:tcPr>
            <w:tcW w:w="400" w:type="pct"/>
            <w:tcMar>
              <w:top w:w="60" w:type="dxa"/>
              <w:left w:w="80" w:type="dxa"/>
              <w:bottom w:w="60" w:type="dxa"/>
              <w:right w:w="80" w:type="dxa"/>
            </w:tcMar>
            <w:vAlign w:val="center"/>
          </w:tcPr>
          <w:p w14:paraId="05F4E445" w14:textId="77777777" w:rsidR="00165472" w:rsidRPr="00026097" w:rsidRDefault="00E95977">
            <w:pPr>
              <w:rPr>
                <w:rFonts w:ascii="Arial" w:hAnsi="Arial" w:cs="Arial"/>
                <w:sz w:val="22"/>
                <w:szCs w:val="22"/>
              </w:rPr>
            </w:pPr>
            <w:r w:rsidRPr="00026097">
              <w:rPr>
                <w:rFonts w:ascii="Arial" w:hAnsi="Arial" w:cs="Arial"/>
                <w:sz w:val="22"/>
                <w:szCs w:val="22"/>
              </w:rPr>
              <w:t>6.6</w:t>
            </w:r>
          </w:p>
        </w:tc>
      </w:tr>
    </w:tbl>
    <w:p w14:paraId="74CDBE33" w14:textId="77777777" w:rsidR="00165472" w:rsidRPr="00026097" w:rsidRDefault="00E95977">
      <w:pPr>
        <w:spacing w:after="160" w:line="258" w:lineRule="auto"/>
        <w:rPr>
          <w:rFonts w:ascii="Arial" w:hAnsi="Arial" w:cs="Arial"/>
          <w:sz w:val="22"/>
          <w:szCs w:val="22"/>
        </w:rPr>
      </w:pPr>
      <w:r w:rsidRPr="00026097">
        <w:rPr>
          <w:rFonts w:ascii="Arial" w:hAnsi="Arial" w:cs="Arial"/>
          <w:sz w:val="22"/>
          <w:szCs w:val="22"/>
        </w:rPr>
        <w:t>Each row's Method is specified in full in the corresponding subsection, referenced in the Section column.</w:t>
      </w:r>
    </w:p>
    <w:p w14:paraId="14069335" w14:textId="77777777" w:rsidR="00165472" w:rsidRPr="00026097" w:rsidRDefault="00E95977">
      <w:pPr>
        <w:pStyle w:val="Ttulo2"/>
        <w:spacing w:before="160" w:after="80"/>
        <w:rPr>
          <w:rFonts w:ascii="Arial" w:hAnsi="Arial" w:cs="Arial"/>
          <w:sz w:val="22"/>
          <w:szCs w:val="22"/>
        </w:rPr>
      </w:pPr>
      <w:r w:rsidRPr="00026097">
        <w:rPr>
          <w:rFonts w:ascii="Arial" w:hAnsi="Arial" w:cs="Arial"/>
          <w:b/>
          <w:bCs/>
          <w:sz w:val="22"/>
          <w:szCs w:val="22"/>
        </w:rPr>
        <w:t>6.1 Layer 1 — Domain representation and BSI operationalization</w:t>
      </w:r>
    </w:p>
    <w:p w14:paraId="5B4A024A"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lastRenderedPageBreak/>
        <w:t xml:space="preserve">Following the BSH (Gallo López, 2026), BS = </w:t>
      </w:r>
      <w:r w:rsidR="00583F2F" w:rsidRPr="00026097">
        <w:rPr>
          <w:rFonts w:ascii="Arial" w:hAnsi="Arial" w:cs="Arial"/>
          <w:sz w:val="22"/>
          <w:szCs w:val="22"/>
        </w:rPr>
        <w:t>f (</w:t>
      </w:r>
      <w:r w:rsidRPr="00026097">
        <w:rPr>
          <w:rFonts w:ascii="Arial" w:hAnsi="Arial" w:cs="Arial"/>
          <w:sz w:val="22"/>
          <w:szCs w:val="22"/>
        </w:rPr>
        <w:t>SR, M, BP | E). E is approximated via district-level monetary poverty rate (INEI), an ecological proxy declared as a study limitation. Before model fitting, the three biological domains will be operationalized according to predefined domain definitions, variable-eligibility criteria, temporal availability, and data-quality thresholds. The final variable set will depend on confirmed availability and quality in the Rebagliati EHR; this data-driven eligibility step will not use the primary PE3 outcome.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1"/>
        <w:gridCol w:w="2739"/>
        <w:gridCol w:w="3341"/>
        <w:gridCol w:w="2139"/>
      </w:tblGrid>
      <w:tr w:rsidR="00165472" w:rsidRPr="00026097" w14:paraId="134B36EB" w14:textId="77777777">
        <w:trPr>
          <w:tblHeader/>
        </w:trPr>
        <w:tc>
          <w:tcPr>
            <w:tcW w:w="800" w:type="pct"/>
            <w:shd w:val="clear" w:color="auto" w:fill="2E3B4E"/>
            <w:tcMar>
              <w:top w:w="60" w:type="dxa"/>
              <w:left w:w="80" w:type="dxa"/>
              <w:bottom w:w="60" w:type="dxa"/>
              <w:right w:w="80" w:type="dxa"/>
            </w:tcMar>
            <w:vAlign w:val="center"/>
          </w:tcPr>
          <w:p w14:paraId="4146A6E7" w14:textId="77777777" w:rsidR="00165472" w:rsidRPr="00026097" w:rsidRDefault="00E95977">
            <w:pPr>
              <w:rPr>
                <w:rFonts w:ascii="Arial" w:hAnsi="Arial" w:cs="Arial"/>
                <w:sz w:val="22"/>
                <w:szCs w:val="22"/>
              </w:rPr>
            </w:pPr>
            <w:r w:rsidRPr="00026097">
              <w:rPr>
                <w:rFonts w:ascii="Arial" w:hAnsi="Arial" w:cs="Arial"/>
                <w:b/>
                <w:bCs/>
                <w:sz w:val="22"/>
                <w:szCs w:val="22"/>
              </w:rPr>
              <w:t>BSH domain</w:t>
            </w:r>
          </w:p>
        </w:tc>
        <w:tc>
          <w:tcPr>
            <w:tcW w:w="1400" w:type="pct"/>
            <w:shd w:val="clear" w:color="auto" w:fill="2E3B4E"/>
            <w:tcMar>
              <w:top w:w="60" w:type="dxa"/>
              <w:left w:w="80" w:type="dxa"/>
              <w:bottom w:w="60" w:type="dxa"/>
              <w:right w:w="80" w:type="dxa"/>
            </w:tcMar>
            <w:vAlign w:val="center"/>
          </w:tcPr>
          <w:p w14:paraId="4E7DB379" w14:textId="77777777" w:rsidR="00165472" w:rsidRPr="00026097" w:rsidRDefault="00E95977">
            <w:pPr>
              <w:rPr>
                <w:rFonts w:ascii="Arial" w:hAnsi="Arial" w:cs="Arial"/>
                <w:sz w:val="22"/>
                <w:szCs w:val="22"/>
              </w:rPr>
            </w:pPr>
            <w:r w:rsidRPr="00026097">
              <w:rPr>
                <w:rFonts w:ascii="Arial" w:hAnsi="Arial" w:cs="Arial"/>
                <w:b/>
                <w:bCs/>
                <w:sz w:val="22"/>
                <w:szCs w:val="22"/>
              </w:rPr>
              <w:t>Operational meaning</w:t>
            </w:r>
          </w:p>
        </w:tc>
        <w:tc>
          <w:tcPr>
            <w:tcW w:w="1700" w:type="pct"/>
            <w:shd w:val="clear" w:color="auto" w:fill="2E3B4E"/>
            <w:tcMar>
              <w:top w:w="60" w:type="dxa"/>
              <w:left w:w="80" w:type="dxa"/>
              <w:bottom w:w="60" w:type="dxa"/>
              <w:right w:w="80" w:type="dxa"/>
            </w:tcMar>
            <w:vAlign w:val="center"/>
          </w:tcPr>
          <w:p w14:paraId="475B14B4" w14:textId="77777777" w:rsidR="00165472" w:rsidRPr="00026097" w:rsidRDefault="00E95977">
            <w:pPr>
              <w:rPr>
                <w:rFonts w:ascii="Arial" w:hAnsi="Arial" w:cs="Arial"/>
                <w:sz w:val="22"/>
                <w:szCs w:val="22"/>
              </w:rPr>
            </w:pPr>
            <w:r w:rsidRPr="00026097">
              <w:rPr>
                <w:rFonts w:ascii="Arial" w:hAnsi="Arial" w:cs="Arial"/>
                <w:b/>
                <w:bCs/>
                <w:sz w:val="22"/>
                <w:szCs w:val="22"/>
              </w:rPr>
              <w:t>Candidate variable families</w:t>
            </w:r>
          </w:p>
        </w:tc>
        <w:tc>
          <w:tcPr>
            <w:tcW w:w="1100" w:type="pct"/>
            <w:shd w:val="clear" w:color="auto" w:fill="2E3B4E"/>
            <w:tcMar>
              <w:top w:w="60" w:type="dxa"/>
              <w:left w:w="80" w:type="dxa"/>
              <w:bottom w:w="60" w:type="dxa"/>
              <w:right w:w="80" w:type="dxa"/>
            </w:tcMar>
            <w:vAlign w:val="center"/>
          </w:tcPr>
          <w:p w14:paraId="0C361EE0" w14:textId="77777777" w:rsidR="00165472" w:rsidRPr="00026097" w:rsidRDefault="00E95977">
            <w:pPr>
              <w:rPr>
                <w:rFonts w:ascii="Arial" w:hAnsi="Arial" w:cs="Arial"/>
                <w:sz w:val="22"/>
                <w:szCs w:val="22"/>
              </w:rPr>
            </w:pPr>
            <w:r w:rsidRPr="00026097">
              <w:rPr>
                <w:rFonts w:ascii="Arial" w:hAnsi="Arial" w:cs="Arial"/>
                <w:b/>
                <w:bCs/>
                <w:sz w:val="22"/>
                <w:szCs w:val="22"/>
              </w:rPr>
              <w:t>Selection rule</w:t>
            </w:r>
          </w:p>
        </w:tc>
      </w:tr>
      <w:tr w:rsidR="00165472" w:rsidRPr="00026097" w14:paraId="6FE6CCC2" w14:textId="77777777">
        <w:tc>
          <w:tcPr>
            <w:tcW w:w="800" w:type="pct"/>
            <w:tcMar>
              <w:top w:w="60" w:type="dxa"/>
              <w:left w:w="80" w:type="dxa"/>
              <w:bottom w:w="60" w:type="dxa"/>
              <w:right w:w="80" w:type="dxa"/>
            </w:tcMar>
            <w:vAlign w:val="center"/>
          </w:tcPr>
          <w:p w14:paraId="47868A0C" w14:textId="77777777" w:rsidR="00165472" w:rsidRPr="00026097" w:rsidRDefault="00E95977">
            <w:pPr>
              <w:rPr>
                <w:rFonts w:ascii="Arial" w:hAnsi="Arial" w:cs="Arial"/>
                <w:sz w:val="22"/>
                <w:szCs w:val="22"/>
              </w:rPr>
            </w:pPr>
            <w:r w:rsidRPr="00026097">
              <w:rPr>
                <w:rFonts w:ascii="Arial" w:hAnsi="Arial" w:cs="Arial"/>
                <w:sz w:val="22"/>
                <w:szCs w:val="22"/>
              </w:rPr>
              <w:t>SR — Systemic Regulation</w:t>
            </w:r>
          </w:p>
        </w:tc>
        <w:tc>
          <w:tcPr>
            <w:tcW w:w="1400" w:type="pct"/>
            <w:tcMar>
              <w:top w:w="60" w:type="dxa"/>
              <w:left w:w="80" w:type="dxa"/>
              <w:bottom w:w="60" w:type="dxa"/>
              <w:right w:w="80" w:type="dxa"/>
            </w:tcMar>
            <w:vAlign w:val="center"/>
          </w:tcPr>
          <w:p w14:paraId="0F6ABC70" w14:textId="77777777" w:rsidR="00165472" w:rsidRPr="00026097" w:rsidRDefault="00E95977">
            <w:pPr>
              <w:rPr>
                <w:rFonts w:ascii="Arial" w:hAnsi="Arial" w:cs="Arial"/>
                <w:sz w:val="22"/>
                <w:szCs w:val="22"/>
              </w:rPr>
            </w:pPr>
            <w:r w:rsidRPr="00026097">
              <w:rPr>
                <w:rFonts w:ascii="Arial" w:hAnsi="Arial" w:cs="Arial"/>
                <w:sz w:val="22"/>
                <w:szCs w:val="22"/>
              </w:rPr>
              <w:t>Regulatory physiological state relevant to maintaining/restoring physiological coherence.</w:t>
            </w:r>
          </w:p>
        </w:tc>
        <w:tc>
          <w:tcPr>
            <w:tcW w:w="1700" w:type="pct"/>
            <w:tcMar>
              <w:top w:w="60" w:type="dxa"/>
              <w:left w:w="80" w:type="dxa"/>
              <w:bottom w:w="60" w:type="dxa"/>
              <w:right w:w="80" w:type="dxa"/>
            </w:tcMar>
            <w:vAlign w:val="center"/>
          </w:tcPr>
          <w:p w14:paraId="0CCBD282" w14:textId="77777777" w:rsidR="00165472" w:rsidRPr="00026097" w:rsidRDefault="00E95977">
            <w:pPr>
              <w:rPr>
                <w:rFonts w:ascii="Arial" w:hAnsi="Arial" w:cs="Arial"/>
                <w:sz w:val="22"/>
                <w:szCs w:val="22"/>
              </w:rPr>
            </w:pPr>
            <w:r w:rsidRPr="00026097">
              <w:rPr>
                <w:rFonts w:ascii="Arial" w:hAnsi="Arial" w:cs="Arial"/>
                <w:sz w:val="22"/>
                <w:szCs w:val="22"/>
              </w:rPr>
              <w:t>Available laboratory, medication/exposure, inflammatory or neuroendocrine-related indicators that meet predefined clinical and temporal criteria.</w:t>
            </w:r>
          </w:p>
        </w:tc>
        <w:tc>
          <w:tcPr>
            <w:tcW w:w="1100" w:type="pct"/>
            <w:tcMar>
              <w:top w:w="60" w:type="dxa"/>
              <w:left w:w="80" w:type="dxa"/>
              <w:bottom w:w="60" w:type="dxa"/>
              <w:right w:w="80" w:type="dxa"/>
            </w:tcMar>
            <w:vAlign w:val="center"/>
          </w:tcPr>
          <w:p w14:paraId="02577316" w14:textId="77777777" w:rsidR="00165472" w:rsidRPr="00026097" w:rsidRDefault="00E95977">
            <w:pPr>
              <w:rPr>
                <w:rFonts w:ascii="Arial" w:hAnsi="Arial" w:cs="Arial"/>
                <w:sz w:val="22"/>
                <w:szCs w:val="22"/>
              </w:rPr>
            </w:pPr>
            <w:r w:rsidRPr="00026097">
              <w:rPr>
                <w:rFonts w:ascii="Arial" w:hAnsi="Arial" w:cs="Arial"/>
                <w:sz w:val="22"/>
                <w:szCs w:val="22"/>
              </w:rPr>
              <w:t>Retain variables with adequate frequency, valid temporal ordering, clinically interpretable provenance, and prespecified missingness/quality thresholds.</w:t>
            </w:r>
          </w:p>
        </w:tc>
      </w:tr>
      <w:tr w:rsidR="00165472" w:rsidRPr="00026097" w14:paraId="0017A44A" w14:textId="77777777">
        <w:tc>
          <w:tcPr>
            <w:tcW w:w="800" w:type="pct"/>
            <w:tcMar>
              <w:top w:w="60" w:type="dxa"/>
              <w:left w:w="80" w:type="dxa"/>
              <w:bottom w:w="60" w:type="dxa"/>
              <w:right w:w="80" w:type="dxa"/>
            </w:tcMar>
            <w:vAlign w:val="center"/>
          </w:tcPr>
          <w:p w14:paraId="044A3069" w14:textId="77777777" w:rsidR="00165472" w:rsidRPr="00026097" w:rsidRDefault="00E95977">
            <w:pPr>
              <w:rPr>
                <w:rFonts w:ascii="Arial" w:hAnsi="Arial" w:cs="Arial"/>
                <w:sz w:val="22"/>
                <w:szCs w:val="22"/>
              </w:rPr>
            </w:pPr>
            <w:r w:rsidRPr="00026097">
              <w:rPr>
                <w:rFonts w:ascii="Arial" w:hAnsi="Arial" w:cs="Arial"/>
                <w:sz w:val="22"/>
                <w:szCs w:val="22"/>
              </w:rPr>
              <w:t>M — Metabolism</w:t>
            </w:r>
          </w:p>
        </w:tc>
        <w:tc>
          <w:tcPr>
            <w:tcW w:w="1400" w:type="pct"/>
            <w:tcMar>
              <w:top w:w="60" w:type="dxa"/>
              <w:left w:w="80" w:type="dxa"/>
              <w:bottom w:w="60" w:type="dxa"/>
              <w:right w:w="80" w:type="dxa"/>
            </w:tcMar>
            <w:vAlign w:val="center"/>
          </w:tcPr>
          <w:p w14:paraId="2D2FCED6" w14:textId="77777777" w:rsidR="00165472" w:rsidRPr="00026097" w:rsidRDefault="00E95977">
            <w:pPr>
              <w:rPr>
                <w:rFonts w:ascii="Arial" w:hAnsi="Arial" w:cs="Arial"/>
                <w:sz w:val="22"/>
                <w:szCs w:val="22"/>
              </w:rPr>
            </w:pPr>
            <w:r w:rsidRPr="00026097">
              <w:rPr>
                <w:rFonts w:ascii="Arial" w:hAnsi="Arial" w:cs="Arial"/>
                <w:sz w:val="22"/>
                <w:szCs w:val="22"/>
              </w:rPr>
              <w:t>Metabolic state relevant to energy handling and systemic physiological burden.</w:t>
            </w:r>
          </w:p>
        </w:tc>
        <w:tc>
          <w:tcPr>
            <w:tcW w:w="1700" w:type="pct"/>
            <w:tcMar>
              <w:top w:w="60" w:type="dxa"/>
              <w:left w:w="80" w:type="dxa"/>
              <w:bottom w:w="60" w:type="dxa"/>
              <w:right w:w="80" w:type="dxa"/>
            </w:tcMar>
            <w:vAlign w:val="center"/>
          </w:tcPr>
          <w:p w14:paraId="1E1EC568" w14:textId="77777777" w:rsidR="00165472" w:rsidRPr="00026097" w:rsidRDefault="00E95977">
            <w:pPr>
              <w:rPr>
                <w:rFonts w:ascii="Arial" w:hAnsi="Arial" w:cs="Arial"/>
                <w:sz w:val="22"/>
                <w:szCs w:val="22"/>
              </w:rPr>
            </w:pPr>
            <w:r w:rsidRPr="00026097">
              <w:rPr>
                <w:rFonts w:ascii="Arial" w:hAnsi="Arial" w:cs="Arial"/>
                <w:sz w:val="22"/>
                <w:szCs w:val="22"/>
              </w:rPr>
              <w:t>Glucose/HbA1c, lipid profile, renal/hepatic metabolic markers and other routinely available metabolic measures.</w:t>
            </w:r>
          </w:p>
        </w:tc>
        <w:tc>
          <w:tcPr>
            <w:tcW w:w="1100" w:type="pct"/>
            <w:tcMar>
              <w:top w:w="60" w:type="dxa"/>
              <w:left w:w="80" w:type="dxa"/>
              <w:bottom w:w="60" w:type="dxa"/>
              <w:right w:w="80" w:type="dxa"/>
            </w:tcMar>
            <w:vAlign w:val="center"/>
          </w:tcPr>
          <w:p w14:paraId="1D87DC35" w14:textId="77777777" w:rsidR="00165472" w:rsidRPr="00026097" w:rsidRDefault="00E95977">
            <w:pPr>
              <w:rPr>
                <w:rFonts w:ascii="Arial" w:hAnsi="Arial" w:cs="Arial"/>
                <w:sz w:val="22"/>
                <w:szCs w:val="22"/>
              </w:rPr>
            </w:pPr>
            <w:r w:rsidRPr="00026097">
              <w:rPr>
                <w:rFonts w:ascii="Arial" w:hAnsi="Arial" w:cs="Arial"/>
                <w:sz w:val="22"/>
                <w:szCs w:val="22"/>
              </w:rPr>
              <w:t>Same prespecified availability, temporal, quality and missingness criteria.</w:t>
            </w:r>
          </w:p>
        </w:tc>
      </w:tr>
      <w:tr w:rsidR="00165472" w:rsidRPr="00026097" w14:paraId="51E1C4CF" w14:textId="77777777">
        <w:tc>
          <w:tcPr>
            <w:tcW w:w="800" w:type="pct"/>
            <w:tcMar>
              <w:top w:w="60" w:type="dxa"/>
              <w:left w:w="80" w:type="dxa"/>
              <w:bottom w:w="60" w:type="dxa"/>
              <w:right w:w="80" w:type="dxa"/>
            </w:tcMar>
            <w:vAlign w:val="center"/>
          </w:tcPr>
          <w:p w14:paraId="260665DA" w14:textId="77777777" w:rsidR="00165472" w:rsidRPr="00026097" w:rsidRDefault="00E95977">
            <w:pPr>
              <w:rPr>
                <w:rFonts w:ascii="Arial" w:hAnsi="Arial" w:cs="Arial"/>
                <w:sz w:val="22"/>
                <w:szCs w:val="22"/>
              </w:rPr>
            </w:pPr>
            <w:r w:rsidRPr="00026097">
              <w:rPr>
                <w:rFonts w:ascii="Arial" w:hAnsi="Arial" w:cs="Arial"/>
                <w:sz w:val="22"/>
                <w:szCs w:val="22"/>
              </w:rPr>
              <w:t>BP — Biology/Plasticity</w:t>
            </w:r>
          </w:p>
        </w:tc>
        <w:tc>
          <w:tcPr>
            <w:tcW w:w="1400" w:type="pct"/>
            <w:tcMar>
              <w:top w:w="60" w:type="dxa"/>
              <w:left w:w="80" w:type="dxa"/>
              <w:bottom w:w="60" w:type="dxa"/>
              <w:right w:w="80" w:type="dxa"/>
            </w:tcMar>
            <w:vAlign w:val="center"/>
          </w:tcPr>
          <w:p w14:paraId="5E7E3429" w14:textId="77777777" w:rsidR="00165472" w:rsidRPr="00026097" w:rsidRDefault="00E95977">
            <w:pPr>
              <w:rPr>
                <w:rFonts w:ascii="Arial" w:hAnsi="Arial" w:cs="Arial"/>
                <w:sz w:val="22"/>
                <w:szCs w:val="22"/>
              </w:rPr>
            </w:pPr>
            <w:r w:rsidRPr="00026097">
              <w:rPr>
                <w:rFonts w:ascii="Arial" w:hAnsi="Arial" w:cs="Arial"/>
                <w:sz w:val="22"/>
                <w:szCs w:val="22"/>
              </w:rPr>
              <w:t>Biological characteristics available in the EHR that may contribute to the system-level state beyond the metabolic domain.</w:t>
            </w:r>
          </w:p>
        </w:tc>
        <w:tc>
          <w:tcPr>
            <w:tcW w:w="1700" w:type="pct"/>
            <w:tcMar>
              <w:top w:w="60" w:type="dxa"/>
              <w:left w:w="80" w:type="dxa"/>
              <w:bottom w:w="60" w:type="dxa"/>
              <w:right w:w="80" w:type="dxa"/>
            </w:tcMar>
            <w:vAlign w:val="center"/>
          </w:tcPr>
          <w:p w14:paraId="2AA3F9D0" w14:textId="77777777" w:rsidR="00165472" w:rsidRPr="00026097" w:rsidRDefault="00E95977">
            <w:pPr>
              <w:rPr>
                <w:rFonts w:ascii="Arial" w:hAnsi="Arial" w:cs="Arial"/>
                <w:sz w:val="22"/>
                <w:szCs w:val="22"/>
              </w:rPr>
            </w:pPr>
            <w:r w:rsidRPr="00026097">
              <w:rPr>
                <w:rFonts w:ascii="Arial" w:hAnsi="Arial" w:cs="Arial"/>
                <w:sz w:val="22"/>
                <w:szCs w:val="22"/>
              </w:rPr>
              <w:t>Available biological, structural/functional and longitudinal indicators not duplicative of M and meeting domain criteria.</w:t>
            </w:r>
          </w:p>
        </w:tc>
        <w:tc>
          <w:tcPr>
            <w:tcW w:w="1100" w:type="pct"/>
            <w:tcMar>
              <w:top w:w="60" w:type="dxa"/>
              <w:left w:w="80" w:type="dxa"/>
              <w:bottom w:w="60" w:type="dxa"/>
              <w:right w:w="80" w:type="dxa"/>
            </w:tcMar>
            <w:vAlign w:val="center"/>
          </w:tcPr>
          <w:p w14:paraId="6FB37022" w14:textId="77777777" w:rsidR="00165472" w:rsidRPr="00026097" w:rsidRDefault="00E95977">
            <w:pPr>
              <w:rPr>
                <w:rFonts w:ascii="Arial" w:hAnsi="Arial" w:cs="Arial"/>
                <w:sz w:val="22"/>
                <w:szCs w:val="22"/>
              </w:rPr>
            </w:pPr>
            <w:r w:rsidRPr="00026097">
              <w:rPr>
                <w:rFonts w:ascii="Arial" w:hAnsi="Arial" w:cs="Arial"/>
                <w:sz w:val="22"/>
                <w:szCs w:val="22"/>
              </w:rPr>
              <w:t>Retain only variables with clear domain assignment and sufficient longitudinal availability.</w:t>
            </w:r>
          </w:p>
        </w:tc>
      </w:tr>
      <w:tr w:rsidR="00165472" w:rsidRPr="00026097" w14:paraId="3BD6AE83" w14:textId="77777777">
        <w:tc>
          <w:tcPr>
            <w:tcW w:w="800" w:type="pct"/>
            <w:tcMar>
              <w:top w:w="60" w:type="dxa"/>
              <w:left w:w="80" w:type="dxa"/>
              <w:bottom w:w="60" w:type="dxa"/>
              <w:right w:w="80" w:type="dxa"/>
            </w:tcMar>
            <w:vAlign w:val="center"/>
          </w:tcPr>
          <w:p w14:paraId="5D4807CC" w14:textId="77777777" w:rsidR="00165472" w:rsidRPr="00026097" w:rsidRDefault="00E95977">
            <w:pPr>
              <w:rPr>
                <w:rFonts w:ascii="Arial" w:hAnsi="Arial" w:cs="Arial"/>
                <w:sz w:val="22"/>
                <w:szCs w:val="22"/>
              </w:rPr>
            </w:pPr>
            <w:r w:rsidRPr="00026097">
              <w:rPr>
                <w:rFonts w:ascii="Arial" w:hAnsi="Arial" w:cs="Arial"/>
                <w:sz w:val="22"/>
                <w:szCs w:val="22"/>
              </w:rPr>
              <w:t>E — Environment</w:t>
            </w:r>
          </w:p>
        </w:tc>
        <w:tc>
          <w:tcPr>
            <w:tcW w:w="1400" w:type="pct"/>
            <w:tcMar>
              <w:top w:w="60" w:type="dxa"/>
              <w:left w:w="80" w:type="dxa"/>
              <w:bottom w:w="60" w:type="dxa"/>
              <w:right w:w="80" w:type="dxa"/>
            </w:tcMar>
            <w:vAlign w:val="center"/>
          </w:tcPr>
          <w:p w14:paraId="2F600BB4" w14:textId="77777777" w:rsidR="00165472" w:rsidRPr="00026097" w:rsidRDefault="00E95977">
            <w:pPr>
              <w:rPr>
                <w:rFonts w:ascii="Arial" w:hAnsi="Arial" w:cs="Arial"/>
                <w:sz w:val="22"/>
                <w:szCs w:val="22"/>
              </w:rPr>
            </w:pPr>
            <w:r w:rsidRPr="00026097">
              <w:rPr>
                <w:rFonts w:ascii="Arial" w:hAnsi="Arial" w:cs="Arial"/>
                <w:sz w:val="22"/>
                <w:szCs w:val="22"/>
              </w:rPr>
              <w:t>Contextual exposure relevant to biological state.</w:t>
            </w:r>
          </w:p>
        </w:tc>
        <w:tc>
          <w:tcPr>
            <w:tcW w:w="1700" w:type="pct"/>
            <w:tcMar>
              <w:top w:w="60" w:type="dxa"/>
              <w:left w:w="80" w:type="dxa"/>
              <w:bottom w:w="60" w:type="dxa"/>
              <w:right w:w="80" w:type="dxa"/>
            </w:tcMar>
            <w:vAlign w:val="center"/>
          </w:tcPr>
          <w:p w14:paraId="12ADD621" w14:textId="77777777" w:rsidR="00165472" w:rsidRPr="00026097" w:rsidRDefault="00E95977">
            <w:pPr>
              <w:rPr>
                <w:rFonts w:ascii="Arial" w:hAnsi="Arial" w:cs="Arial"/>
                <w:sz w:val="22"/>
                <w:szCs w:val="22"/>
              </w:rPr>
            </w:pPr>
            <w:r w:rsidRPr="00026097">
              <w:rPr>
                <w:rFonts w:ascii="Arial" w:hAnsi="Arial" w:cs="Arial"/>
                <w:sz w:val="22"/>
                <w:szCs w:val="22"/>
              </w:rPr>
              <w:t>District-level monetary poverty rate from INEI.</w:t>
            </w:r>
          </w:p>
        </w:tc>
        <w:tc>
          <w:tcPr>
            <w:tcW w:w="1100" w:type="pct"/>
            <w:tcMar>
              <w:top w:w="60" w:type="dxa"/>
              <w:left w:w="80" w:type="dxa"/>
              <w:bottom w:w="60" w:type="dxa"/>
              <w:right w:w="80" w:type="dxa"/>
            </w:tcMar>
            <w:vAlign w:val="center"/>
          </w:tcPr>
          <w:p w14:paraId="31FC6C62" w14:textId="77777777" w:rsidR="00165472" w:rsidRPr="00026097" w:rsidRDefault="00E95977">
            <w:pPr>
              <w:rPr>
                <w:rFonts w:ascii="Arial" w:hAnsi="Arial" w:cs="Arial"/>
                <w:sz w:val="22"/>
                <w:szCs w:val="22"/>
              </w:rPr>
            </w:pPr>
            <w:r w:rsidRPr="00026097">
              <w:rPr>
                <w:rFonts w:ascii="Arial" w:hAnsi="Arial" w:cs="Arial"/>
                <w:sz w:val="22"/>
                <w:szCs w:val="22"/>
              </w:rPr>
              <w:t>Included as an ecological proxy; interpreted at district level and reported as a limitation.</w:t>
            </w:r>
          </w:p>
        </w:tc>
      </w:tr>
    </w:tbl>
    <w:p w14:paraId="35F1B94C"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Domain assignment will be documented before final BSI fitting. Variables whose inclusion would directly encode the post-perturbation recovery outcome, its future values, or information unavailable at the prediction time will be excluded to prevent target leakage.</w:t>
      </w:r>
    </w:p>
    <w:p w14:paraId="155E6D0E" w14:textId="77777777" w:rsidR="00165472" w:rsidRPr="00026097" w:rsidRDefault="00E95977">
      <w:pPr>
        <w:pStyle w:val="Ttulo2"/>
        <w:spacing w:before="160" w:after="80"/>
        <w:rPr>
          <w:rFonts w:ascii="Arial" w:hAnsi="Arial" w:cs="Arial"/>
          <w:sz w:val="22"/>
          <w:szCs w:val="22"/>
        </w:rPr>
      </w:pPr>
      <w:r w:rsidRPr="00026097">
        <w:rPr>
          <w:rFonts w:ascii="Arial" w:hAnsi="Arial" w:cs="Arial"/>
          <w:b/>
          <w:bCs/>
          <w:sz w:val="22"/>
          <w:szCs w:val="22"/>
        </w:rPr>
        <w:t>6.2 Layer 2 — Additive BSI model</w:t>
      </w:r>
    </w:p>
    <w:p w14:paraId="628A80C2"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The additive instantiation is BSI_additive = σ (w</w:t>
      </w:r>
      <w:r w:rsidRPr="00026097">
        <w:rPr>
          <w:rFonts w:ascii="Cambria Math" w:hAnsi="Cambria Math" w:cs="Cambria Math"/>
          <w:sz w:val="22"/>
          <w:szCs w:val="22"/>
        </w:rPr>
        <w:t>₁</w:t>
      </w:r>
      <w:r w:rsidRPr="00026097">
        <w:rPr>
          <w:rFonts w:ascii="Arial" w:hAnsi="Arial" w:cs="Arial"/>
          <w:sz w:val="22"/>
          <w:szCs w:val="22"/>
        </w:rPr>
        <w:t>·SR̂ + w</w:t>
      </w:r>
      <w:r w:rsidRPr="00026097">
        <w:rPr>
          <w:rFonts w:ascii="Cambria Math" w:hAnsi="Cambria Math" w:cs="Cambria Math"/>
          <w:sz w:val="22"/>
          <w:szCs w:val="22"/>
        </w:rPr>
        <w:t>₂</w:t>
      </w:r>
      <w:r w:rsidRPr="00026097">
        <w:rPr>
          <w:rFonts w:ascii="Arial" w:hAnsi="Arial" w:cs="Arial"/>
          <w:sz w:val="22"/>
          <w:szCs w:val="22"/>
        </w:rPr>
        <w:t>·M̂ + w</w:t>
      </w:r>
      <w:r w:rsidRPr="00026097">
        <w:rPr>
          <w:rFonts w:ascii="Cambria Math" w:hAnsi="Cambria Math" w:cs="Cambria Math"/>
          <w:sz w:val="22"/>
          <w:szCs w:val="22"/>
        </w:rPr>
        <w:t>₃</w:t>
      </w:r>
      <w:r w:rsidRPr="00026097">
        <w:rPr>
          <w:rFonts w:ascii="Arial" w:hAnsi="Arial" w:cs="Arial"/>
          <w:sz w:val="22"/>
          <w:szCs w:val="22"/>
        </w:rPr>
        <w:t>·BP̂ + b). Component representations may use regularized regression and/or machine-learning models appropriate to their temporal structure; XGBoost and LSTM are candidate models rather than mandatory components. Model selection will follow a prespecified development framework and will compare against simpler baselines. No architecture will be retained solely because it is more complex or produces a higher apparent performance in a non-temporal split.</w:t>
      </w:r>
    </w:p>
    <w:p w14:paraId="767A8809"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 xml:space="preserve">The additive formulation has zero cross-domain second derivatives by construction. BSH's L1 addresses whether the true form of </w:t>
      </w:r>
      <w:r w:rsidR="00C43496" w:rsidRPr="00026097">
        <w:rPr>
          <w:rFonts w:ascii="Arial" w:hAnsi="Arial" w:cs="Arial"/>
          <w:sz w:val="22"/>
          <w:szCs w:val="22"/>
        </w:rPr>
        <w:t>f (</w:t>
      </w:r>
      <w:r w:rsidRPr="00026097">
        <w:rPr>
          <w:rFonts w:ascii="Arial" w:hAnsi="Arial" w:cs="Arial"/>
          <w:sz w:val="22"/>
          <w:szCs w:val="22"/>
        </w:rPr>
        <w:t>) requires inter-domain coordination terms beyond this additive representation.</w:t>
      </w:r>
    </w:p>
    <w:p w14:paraId="55C1C13F" w14:textId="77777777" w:rsidR="00165472" w:rsidRPr="00026097" w:rsidRDefault="00E95977">
      <w:pPr>
        <w:pStyle w:val="Ttulo2"/>
        <w:spacing w:before="160" w:after="80"/>
        <w:rPr>
          <w:rFonts w:ascii="Arial" w:hAnsi="Arial" w:cs="Arial"/>
          <w:sz w:val="22"/>
          <w:szCs w:val="22"/>
        </w:rPr>
      </w:pPr>
      <w:r w:rsidRPr="00026097">
        <w:rPr>
          <w:rFonts w:ascii="Arial" w:hAnsi="Arial" w:cs="Arial"/>
          <w:b/>
          <w:bCs/>
          <w:sz w:val="22"/>
          <w:szCs w:val="22"/>
        </w:rPr>
        <w:t>6.3 Layer 3 — Multimodal fusion (BSH's L1 test, PE2)</w:t>
      </w:r>
    </w:p>
    <w:p w14:paraId="051F7105"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lastRenderedPageBreak/>
        <w:t>Cross-attention will be evaluated as a candidate multimodal fusion strategy combining TFT (Lim et al., 2021) for biomarker time series, BEHRT (Li et al., 2020) for clinical event sequences (fed by the NLP module), and MLP for tabular BSI variables. These architectures are treated as candidate implementations of the fusion layer, not as ends in themselves. The primary methodological comparison is complete multimodal fusion versus the prespecified additive BSI baseline, using identical temporal splits, outcome definitions, and leakage controls.</w:t>
      </w:r>
    </w:p>
    <w:p w14:paraId="223F8C35" w14:textId="77777777" w:rsidR="00165472" w:rsidRPr="00026097" w:rsidRDefault="00E95977">
      <w:pPr>
        <w:pStyle w:val="Ttulo2"/>
        <w:spacing w:before="160" w:after="80"/>
        <w:rPr>
          <w:rFonts w:ascii="Arial" w:hAnsi="Arial" w:cs="Arial"/>
          <w:sz w:val="22"/>
          <w:szCs w:val="22"/>
        </w:rPr>
      </w:pPr>
      <w:r w:rsidRPr="00026097">
        <w:rPr>
          <w:rFonts w:ascii="Arial" w:hAnsi="Arial" w:cs="Arial"/>
          <w:b/>
          <w:bCs/>
          <w:sz w:val="22"/>
          <w:szCs w:val="22"/>
        </w:rPr>
        <w:t>6.4 Adaptive Capacity operationalization (PE3 — primary confirmatory analysis)</w:t>
      </w:r>
    </w:p>
    <w:p w14:paraId="7AF29A5A"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Adaptive Capacity is operationalized through documented perturbation-recovery events in the EHR. The perturbation type will not be selected retrospectively on the basis of its association with the primary outcome. Instead, candidate perturbation types will be screened using prespecified eligibility criteria, and the principal perturbation type will be selected according to data adequacy and event frequency before PE3 outcome modeling.</w:t>
      </w:r>
    </w:p>
    <w:p w14:paraId="48186B60" w14:textId="77777777" w:rsidR="00165472" w:rsidRPr="00026097" w:rsidRDefault="00E95977">
      <w:pPr>
        <w:spacing w:before="120" w:after="60"/>
        <w:rPr>
          <w:rFonts w:ascii="Arial" w:hAnsi="Arial" w:cs="Arial"/>
          <w:sz w:val="22"/>
          <w:szCs w:val="22"/>
        </w:rPr>
      </w:pPr>
      <w:r w:rsidRPr="00026097">
        <w:rPr>
          <w:rFonts w:ascii="Arial" w:hAnsi="Arial" w:cs="Arial"/>
          <w:b/>
          <w:bCs/>
          <w:i/>
          <w:iCs/>
          <w:sz w:val="22"/>
          <w:szCs w:val="22"/>
        </w:rPr>
        <w:t>6.4.1 Predefined perturbation eligibility criteria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8"/>
        <w:gridCol w:w="7422"/>
      </w:tblGrid>
      <w:tr w:rsidR="00165472" w:rsidRPr="00026097" w14:paraId="69DA5C8F" w14:textId="77777777">
        <w:trPr>
          <w:tblHeader/>
        </w:trPr>
        <w:tc>
          <w:tcPr>
            <w:tcW w:w="1300" w:type="pct"/>
            <w:shd w:val="clear" w:color="auto" w:fill="2E3B4E"/>
            <w:tcMar>
              <w:top w:w="60" w:type="dxa"/>
              <w:left w:w="80" w:type="dxa"/>
              <w:bottom w:w="60" w:type="dxa"/>
              <w:right w:w="80" w:type="dxa"/>
            </w:tcMar>
            <w:vAlign w:val="center"/>
          </w:tcPr>
          <w:p w14:paraId="6BDC254D" w14:textId="77777777" w:rsidR="00165472" w:rsidRPr="00026097" w:rsidRDefault="00E95977">
            <w:pPr>
              <w:rPr>
                <w:rFonts w:ascii="Arial" w:hAnsi="Arial" w:cs="Arial"/>
                <w:sz w:val="22"/>
                <w:szCs w:val="22"/>
              </w:rPr>
            </w:pPr>
            <w:r w:rsidRPr="00026097">
              <w:rPr>
                <w:rFonts w:ascii="Arial" w:hAnsi="Arial" w:cs="Arial"/>
                <w:b/>
                <w:bCs/>
                <w:sz w:val="22"/>
                <w:szCs w:val="22"/>
              </w:rPr>
              <w:t>Criterion</w:t>
            </w:r>
          </w:p>
        </w:tc>
        <w:tc>
          <w:tcPr>
            <w:tcW w:w="3700" w:type="pct"/>
            <w:shd w:val="clear" w:color="auto" w:fill="2E3B4E"/>
            <w:tcMar>
              <w:top w:w="60" w:type="dxa"/>
              <w:left w:w="80" w:type="dxa"/>
              <w:bottom w:w="60" w:type="dxa"/>
              <w:right w:w="80" w:type="dxa"/>
            </w:tcMar>
            <w:vAlign w:val="center"/>
          </w:tcPr>
          <w:p w14:paraId="778FFC98" w14:textId="77777777" w:rsidR="00165472" w:rsidRPr="00026097" w:rsidRDefault="00E95977">
            <w:pPr>
              <w:rPr>
                <w:rFonts w:ascii="Arial" w:hAnsi="Arial" w:cs="Arial"/>
                <w:sz w:val="22"/>
                <w:szCs w:val="22"/>
              </w:rPr>
            </w:pPr>
            <w:r w:rsidRPr="00026097">
              <w:rPr>
                <w:rFonts w:ascii="Arial" w:hAnsi="Arial" w:cs="Arial"/>
                <w:b/>
                <w:bCs/>
                <w:sz w:val="22"/>
                <w:szCs w:val="22"/>
              </w:rPr>
              <w:t>Requirement</w:t>
            </w:r>
          </w:p>
        </w:tc>
      </w:tr>
      <w:tr w:rsidR="00165472" w:rsidRPr="00026097" w14:paraId="4B45DF56" w14:textId="77777777">
        <w:tc>
          <w:tcPr>
            <w:tcW w:w="1300" w:type="pct"/>
            <w:tcMar>
              <w:top w:w="60" w:type="dxa"/>
              <w:left w:w="80" w:type="dxa"/>
              <w:bottom w:w="60" w:type="dxa"/>
              <w:right w:w="80" w:type="dxa"/>
            </w:tcMar>
            <w:vAlign w:val="center"/>
          </w:tcPr>
          <w:p w14:paraId="791DD833" w14:textId="77777777" w:rsidR="00165472" w:rsidRPr="00026097" w:rsidRDefault="00E95977">
            <w:pPr>
              <w:rPr>
                <w:rFonts w:ascii="Arial" w:hAnsi="Arial" w:cs="Arial"/>
                <w:sz w:val="22"/>
                <w:szCs w:val="22"/>
              </w:rPr>
            </w:pPr>
            <w:r w:rsidRPr="00026097">
              <w:rPr>
                <w:rFonts w:ascii="Arial" w:hAnsi="Arial" w:cs="Arial"/>
                <w:sz w:val="22"/>
                <w:szCs w:val="22"/>
              </w:rPr>
              <w:t>Objective identification</w:t>
            </w:r>
          </w:p>
        </w:tc>
        <w:tc>
          <w:tcPr>
            <w:tcW w:w="3700" w:type="pct"/>
            <w:tcMar>
              <w:top w:w="60" w:type="dxa"/>
              <w:left w:w="80" w:type="dxa"/>
              <w:bottom w:w="60" w:type="dxa"/>
              <w:right w:w="80" w:type="dxa"/>
            </w:tcMar>
            <w:vAlign w:val="center"/>
          </w:tcPr>
          <w:p w14:paraId="08FC1F35" w14:textId="77777777" w:rsidR="00165472" w:rsidRPr="00026097" w:rsidRDefault="00E95977">
            <w:pPr>
              <w:rPr>
                <w:rFonts w:ascii="Arial" w:hAnsi="Arial" w:cs="Arial"/>
                <w:sz w:val="22"/>
                <w:szCs w:val="22"/>
              </w:rPr>
            </w:pPr>
            <w:r w:rsidRPr="00026097">
              <w:rPr>
                <w:rFonts w:ascii="Arial" w:hAnsi="Arial" w:cs="Arial"/>
                <w:sz w:val="22"/>
                <w:szCs w:val="22"/>
              </w:rPr>
              <w:t>A documented clinical/physiological event with an identifiable onset or clinically defensible event date in the EHR.</w:t>
            </w:r>
          </w:p>
        </w:tc>
      </w:tr>
      <w:tr w:rsidR="00165472" w:rsidRPr="00026097" w14:paraId="3D52C38B" w14:textId="77777777">
        <w:tc>
          <w:tcPr>
            <w:tcW w:w="1300" w:type="pct"/>
            <w:tcMar>
              <w:top w:w="60" w:type="dxa"/>
              <w:left w:w="80" w:type="dxa"/>
              <w:bottom w:w="60" w:type="dxa"/>
              <w:right w:w="80" w:type="dxa"/>
            </w:tcMar>
            <w:vAlign w:val="center"/>
          </w:tcPr>
          <w:p w14:paraId="5295D117" w14:textId="77777777" w:rsidR="00165472" w:rsidRPr="00026097" w:rsidRDefault="00E95977">
            <w:pPr>
              <w:rPr>
                <w:rFonts w:ascii="Arial" w:hAnsi="Arial" w:cs="Arial"/>
                <w:sz w:val="22"/>
                <w:szCs w:val="22"/>
              </w:rPr>
            </w:pPr>
            <w:r w:rsidRPr="00026097">
              <w:rPr>
                <w:rFonts w:ascii="Arial" w:hAnsi="Arial" w:cs="Arial"/>
                <w:sz w:val="22"/>
                <w:szCs w:val="22"/>
              </w:rPr>
              <w:t>Physiological relevance</w:t>
            </w:r>
          </w:p>
        </w:tc>
        <w:tc>
          <w:tcPr>
            <w:tcW w:w="3700" w:type="pct"/>
            <w:tcMar>
              <w:top w:w="60" w:type="dxa"/>
              <w:left w:w="80" w:type="dxa"/>
              <w:bottom w:w="60" w:type="dxa"/>
              <w:right w:w="80" w:type="dxa"/>
            </w:tcMar>
            <w:vAlign w:val="center"/>
          </w:tcPr>
          <w:p w14:paraId="588339F1" w14:textId="77777777" w:rsidR="00165472" w:rsidRPr="00026097" w:rsidRDefault="00E95977">
            <w:pPr>
              <w:rPr>
                <w:rFonts w:ascii="Arial" w:hAnsi="Arial" w:cs="Arial"/>
                <w:sz w:val="22"/>
                <w:szCs w:val="22"/>
              </w:rPr>
            </w:pPr>
            <w:r w:rsidRPr="00026097">
              <w:rPr>
                <w:rFonts w:ascii="Arial" w:hAnsi="Arial" w:cs="Arial"/>
                <w:sz w:val="22"/>
                <w:szCs w:val="22"/>
              </w:rPr>
              <w:t>Evidence that the event constitutes a physiological demand capable of producing a measurable perturbation in the BSI trajectory.</w:t>
            </w:r>
          </w:p>
        </w:tc>
      </w:tr>
      <w:tr w:rsidR="00165472" w:rsidRPr="00026097" w14:paraId="61018835" w14:textId="77777777">
        <w:tc>
          <w:tcPr>
            <w:tcW w:w="1300" w:type="pct"/>
            <w:tcMar>
              <w:top w:w="60" w:type="dxa"/>
              <w:left w:w="80" w:type="dxa"/>
              <w:bottom w:w="60" w:type="dxa"/>
              <w:right w:w="80" w:type="dxa"/>
            </w:tcMar>
            <w:vAlign w:val="center"/>
          </w:tcPr>
          <w:p w14:paraId="2B24820A" w14:textId="77777777" w:rsidR="00165472" w:rsidRPr="00026097" w:rsidRDefault="00E95977">
            <w:pPr>
              <w:rPr>
                <w:rFonts w:ascii="Arial" w:hAnsi="Arial" w:cs="Arial"/>
                <w:sz w:val="22"/>
                <w:szCs w:val="22"/>
              </w:rPr>
            </w:pPr>
            <w:r w:rsidRPr="00026097">
              <w:rPr>
                <w:rFonts w:ascii="Arial" w:hAnsi="Arial" w:cs="Arial"/>
                <w:sz w:val="22"/>
                <w:szCs w:val="22"/>
              </w:rPr>
              <w:t>Pre-event baseline</w:t>
            </w:r>
          </w:p>
        </w:tc>
        <w:tc>
          <w:tcPr>
            <w:tcW w:w="3700" w:type="pct"/>
            <w:tcMar>
              <w:top w:w="60" w:type="dxa"/>
              <w:left w:w="80" w:type="dxa"/>
              <w:bottom w:w="60" w:type="dxa"/>
              <w:right w:w="80" w:type="dxa"/>
            </w:tcMar>
            <w:vAlign w:val="center"/>
          </w:tcPr>
          <w:p w14:paraId="329D8B9B" w14:textId="77777777" w:rsidR="00165472" w:rsidRPr="00026097" w:rsidRDefault="00E95977">
            <w:pPr>
              <w:rPr>
                <w:rFonts w:ascii="Arial" w:hAnsi="Arial" w:cs="Arial"/>
                <w:sz w:val="22"/>
                <w:szCs w:val="22"/>
              </w:rPr>
            </w:pPr>
            <w:r w:rsidRPr="00026097">
              <w:rPr>
                <w:rFonts w:ascii="Arial" w:hAnsi="Arial" w:cs="Arial"/>
                <w:sz w:val="22"/>
                <w:szCs w:val="22"/>
              </w:rPr>
              <w:t>Sufficient pre-perturbation observations to estimate the patient's baseline state and its recent trajectory.</w:t>
            </w:r>
          </w:p>
        </w:tc>
      </w:tr>
      <w:tr w:rsidR="00165472" w:rsidRPr="00026097" w14:paraId="24F70DBE" w14:textId="77777777">
        <w:tc>
          <w:tcPr>
            <w:tcW w:w="1300" w:type="pct"/>
            <w:tcMar>
              <w:top w:w="60" w:type="dxa"/>
              <w:left w:w="80" w:type="dxa"/>
              <w:bottom w:w="60" w:type="dxa"/>
              <w:right w:w="80" w:type="dxa"/>
            </w:tcMar>
            <w:vAlign w:val="center"/>
          </w:tcPr>
          <w:p w14:paraId="12D33D5C" w14:textId="77777777" w:rsidR="00165472" w:rsidRPr="00026097" w:rsidRDefault="00E95977">
            <w:pPr>
              <w:rPr>
                <w:rFonts w:ascii="Arial" w:hAnsi="Arial" w:cs="Arial"/>
                <w:sz w:val="22"/>
                <w:szCs w:val="22"/>
              </w:rPr>
            </w:pPr>
            <w:r w:rsidRPr="00026097">
              <w:rPr>
                <w:rFonts w:ascii="Arial" w:hAnsi="Arial" w:cs="Arial"/>
                <w:sz w:val="22"/>
                <w:szCs w:val="22"/>
              </w:rPr>
              <w:t>Post-event observations</w:t>
            </w:r>
          </w:p>
        </w:tc>
        <w:tc>
          <w:tcPr>
            <w:tcW w:w="3700" w:type="pct"/>
            <w:tcMar>
              <w:top w:w="60" w:type="dxa"/>
              <w:left w:w="80" w:type="dxa"/>
              <w:bottom w:w="60" w:type="dxa"/>
              <w:right w:w="80" w:type="dxa"/>
            </w:tcMar>
            <w:vAlign w:val="center"/>
          </w:tcPr>
          <w:p w14:paraId="4CE5BFAC" w14:textId="77777777" w:rsidR="00165472" w:rsidRPr="00026097" w:rsidRDefault="00E95977">
            <w:pPr>
              <w:rPr>
                <w:rFonts w:ascii="Arial" w:hAnsi="Arial" w:cs="Arial"/>
                <w:sz w:val="22"/>
                <w:szCs w:val="22"/>
              </w:rPr>
            </w:pPr>
            <w:r w:rsidRPr="00026097">
              <w:rPr>
                <w:rFonts w:ascii="Arial" w:hAnsi="Arial" w:cs="Arial"/>
                <w:sz w:val="22"/>
                <w:szCs w:val="22"/>
              </w:rPr>
              <w:t>Sufficient observations after the event to characterize the recovery trajectory.</w:t>
            </w:r>
          </w:p>
        </w:tc>
      </w:tr>
      <w:tr w:rsidR="00165472" w:rsidRPr="00026097" w14:paraId="7571B067" w14:textId="77777777">
        <w:tc>
          <w:tcPr>
            <w:tcW w:w="1300" w:type="pct"/>
            <w:tcMar>
              <w:top w:w="60" w:type="dxa"/>
              <w:left w:w="80" w:type="dxa"/>
              <w:bottom w:w="60" w:type="dxa"/>
              <w:right w:w="80" w:type="dxa"/>
            </w:tcMar>
            <w:vAlign w:val="center"/>
          </w:tcPr>
          <w:p w14:paraId="34D6E6D9" w14:textId="77777777" w:rsidR="00165472" w:rsidRPr="00026097" w:rsidRDefault="00E95977">
            <w:pPr>
              <w:rPr>
                <w:rFonts w:ascii="Arial" w:hAnsi="Arial" w:cs="Arial"/>
                <w:sz w:val="22"/>
                <w:szCs w:val="22"/>
              </w:rPr>
            </w:pPr>
            <w:r w:rsidRPr="00026097">
              <w:rPr>
                <w:rFonts w:ascii="Arial" w:hAnsi="Arial" w:cs="Arial"/>
                <w:sz w:val="22"/>
                <w:szCs w:val="22"/>
              </w:rPr>
              <w:t>Temporal separability</w:t>
            </w:r>
          </w:p>
        </w:tc>
        <w:tc>
          <w:tcPr>
            <w:tcW w:w="3700" w:type="pct"/>
            <w:tcMar>
              <w:top w:w="60" w:type="dxa"/>
              <w:left w:w="80" w:type="dxa"/>
              <w:bottom w:w="60" w:type="dxa"/>
              <w:right w:w="80" w:type="dxa"/>
            </w:tcMar>
            <w:vAlign w:val="center"/>
          </w:tcPr>
          <w:p w14:paraId="3362EED8" w14:textId="77777777" w:rsidR="00165472" w:rsidRPr="00026097" w:rsidRDefault="00E95977">
            <w:pPr>
              <w:rPr>
                <w:rFonts w:ascii="Arial" w:hAnsi="Arial" w:cs="Arial"/>
                <w:sz w:val="22"/>
                <w:szCs w:val="22"/>
              </w:rPr>
            </w:pPr>
            <w:r w:rsidRPr="00026097">
              <w:rPr>
                <w:rFonts w:ascii="Arial" w:hAnsi="Arial" w:cs="Arial"/>
                <w:sz w:val="22"/>
                <w:szCs w:val="22"/>
              </w:rPr>
              <w:t>No overlapping major perturbation that prevents attribution of the observed trajectory to the index event.</w:t>
            </w:r>
          </w:p>
        </w:tc>
      </w:tr>
      <w:tr w:rsidR="00165472" w:rsidRPr="00026097" w14:paraId="2D0920D2" w14:textId="77777777">
        <w:tc>
          <w:tcPr>
            <w:tcW w:w="1300" w:type="pct"/>
            <w:tcMar>
              <w:top w:w="60" w:type="dxa"/>
              <w:left w:w="80" w:type="dxa"/>
              <w:bottom w:w="60" w:type="dxa"/>
              <w:right w:w="80" w:type="dxa"/>
            </w:tcMar>
            <w:vAlign w:val="center"/>
          </w:tcPr>
          <w:p w14:paraId="25895AC0" w14:textId="77777777" w:rsidR="00165472" w:rsidRPr="00026097" w:rsidRDefault="00E95977">
            <w:pPr>
              <w:rPr>
                <w:rFonts w:ascii="Arial" w:hAnsi="Arial" w:cs="Arial"/>
                <w:sz w:val="22"/>
                <w:szCs w:val="22"/>
              </w:rPr>
            </w:pPr>
            <w:r w:rsidRPr="00026097">
              <w:rPr>
                <w:rFonts w:ascii="Arial" w:hAnsi="Arial" w:cs="Arial"/>
                <w:sz w:val="22"/>
                <w:szCs w:val="22"/>
              </w:rPr>
              <w:t>Coding/data quality</w:t>
            </w:r>
          </w:p>
        </w:tc>
        <w:tc>
          <w:tcPr>
            <w:tcW w:w="3700" w:type="pct"/>
            <w:tcMar>
              <w:top w:w="60" w:type="dxa"/>
              <w:left w:w="80" w:type="dxa"/>
              <w:bottom w:w="60" w:type="dxa"/>
              <w:right w:w="80" w:type="dxa"/>
            </w:tcMar>
            <w:vAlign w:val="center"/>
          </w:tcPr>
          <w:p w14:paraId="216B50D8" w14:textId="77777777" w:rsidR="00165472" w:rsidRPr="00026097" w:rsidRDefault="00E95977">
            <w:pPr>
              <w:rPr>
                <w:rFonts w:ascii="Arial" w:hAnsi="Arial" w:cs="Arial"/>
                <w:sz w:val="22"/>
                <w:szCs w:val="22"/>
              </w:rPr>
            </w:pPr>
            <w:r w:rsidRPr="00026097">
              <w:rPr>
                <w:rFonts w:ascii="Arial" w:hAnsi="Arial" w:cs="Arial"/>
                <w:sz w:val="22"/>
                <w:szCs w:val="22"/>
              </w:rPr>
              <w:t>Adequate coding consistency and measurement density to support reproducible identification.</w:t>
            </w:r>
          </w:p>
        </w:tc>
      </w:tr>
      <w:tr w:rsidR="00165472" w:rsidRPr="00026097" w14:paraId="7ADD4248" w14:textId="77777777">
        <w:tc>
          <w:tcPr>
            <w:tcW w:w="1300" w:type="pct"/>
            <w:tcMar>
              <w:top w:w="60" w:type="dxa"/>
              <w:left w:w="80" w:type="dxa"/>
              <w:bottom w:w="60" w:type="dxa"/>
              <w:right w:w="80" w:type="dxa"/>
            </w:tcMar>
            <w:vAlign w:val="center"/>
          </w:tcPr>
          <w:p w14:paraId="523CF486" w14:textId="77777777" w:rsidR="00165472" w:rsidRPr="00026097" w:rsidRDefault="00E95977">
            <w:pPr>
              <w:rPr>
                <w:rFonts w:ascii="Arial" w:hAnsi="Arial" w:cs="Arial"/>
                <w:sz w:val="22"/>
                <w:szCs w:val="22"/>
              </w:rPr>
            </w:pPr>
            <w:r w:rsidRPr="00026097">
              <w:rPr>
                <w:rFonts w:ascii="Arial" w:hAnsi="Arial" w:cs="Arial"/>
                <w:sz w:val="22"/>
                <w:szCs w:val="22"/>
              </w:rPr>
              <w:t>Minimum analytic frequency</w:t>
            </w:r>
          </w:p>
        </w:tc>
        <w:tc>
          <w:tcPr>
            <w:tcW w:w="3700" w:type="pct"/>
            <w:tcMar>
              <w:top w:w="60" w:type="dxa"/>
              <w:left w:w="80" w:type="dxa"/>
              <w:bottom w:w="60" w:type="dxa"/>
              <w:right w:w="80" w:type="dxa"/>
            </w:tcMar>
            <w:vAlign w:val="center"/>
          </w:tcPr>
          <w:p w14:paraId="077DA987" w14:textId="77777777" w:rsidR="00165472" w:rsidRPr="00026097" w:rsidRDefault="00E95977">
            <w:pPr>
              <w:rPr>
                <w:rFonts w:ascii="Arial" w:hAnsi="Arial" w:cs="Arial"/>
                <w:sz w:val="22"/>
                <w:szCs w:val="22"/>
              </w:rPr>
            </w:pPr>
            <w:r w:rsidRPr="00026097">
              <w:rPr>
                <w:rFonts w:ascii="Arial" w:hAnsi="Arial" w:cs="Arial"/>
                <w:sz w:val="22"/>
                <w:szCs w:val="22"/>
              </w:rPr>
              <w:t>Sufficient eligible events to support the prespecified primary statistical model and its validation/sensitivity analyses.</w:t>
            </w:r>
          </w:p>
        </w:tc>
      </w:tr>
    </w:tbl>
    <w:p w14:paraId="1544C4BC"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Candidate perturbations include documented infectious episodes as the primary candidate, with significant medication changes, mild metabolic decompensation, and brief unrelated hospitalization as secondary candidates.</w:t>
      </w:r>
    </w:p>
    <w:p w14:paraId="0A3C2E73" w14:textId="77777777" w:rsidR="00165472" w:rsidRPr="00026097" w:rsidRDefault="00E95977">
      <w:pPr>
        <w:spacing w:after="110" w:line="258" w:lineRule="auto"/>
        <w:rPr>
          <w:rFonts w:ascii="Arial" w:hAnsi="Arial" w:cs="Arial"/>
          <w:sz w:val="22"/>
          <w:szCs w:val="22"/>
        </w:rPr>
      </w:pPr>
      <w:r w:rsidRPr="00026097">
        <w:rPr>
          <w:rFonts w:ascii="Arial" w:hAnsi="Arial" w:cs="Arial"/>
          <w:b/>
          <w:bCs/>
          <w:sz w:val="22"/>
          <w:szCs w:val="22"/>
        </w:rPr>
        <w:t xml:space="preserve">Selection rule: </w:t>
      </w:r>
      <w:r w:rsidRPr="00026097">
        <w:rPr>
          <w:rFonts w:ascii="Arial" w:hAnsi="Arial" w:cs="Arial"/>
          <w:sz w:val="22"/>
          <w:szCs w:val="22"/>
        </w:rPr>
        <w:t>among candidate perturbation types meeting all eligibility criteria above, the principal perturbation type will be the one yielding the largest number of eligible perturbation-recovery events with adequate temporal separation between baseline, perturbation, and recovery phases. This selection rule is fixed in advance and applied mechanically to the data; it is not chosen post hoc based on which perturbation type produces a stronger observed BSI–Adaptive Capacity relationship. The resulting event counts and data-quality profile will be documented before the primary PE3 model is fitted.</w:t>
      </w:r>
    </w:p>
    <w:p w14:paraId="41CEB690" w14:textId="77777777" w:rsidR="00165472" w:rsidRPr="00026097" w:rsidRDefault="00E95977">
      <w:pPr>
        <w:spacing w:before="120" w:after="60"/>
        <w:rPr>
          <w:rFonts w:ascii="Arial" w:hAnsi="Arial" w:cs="Arial"/>
          <w:sz w:val="22"/>
          <w:szCs w:val="22"/>
        </w:rPr>
      </w:pPr>
      <w:r w:rsidRPr="00026097">
        <w:rPr>
          <w:rFonts w:ascii="Arial" w:hAnsi="Arial" w:cs="Arial"/>
          <w:b/>
          <w:bCs/>
          <w:i/>
          <w:iCs/>
          <w:sz w:val="22"/>
          <w:szCs w:val="22"/>
        </w:rPr>
        <w:t>6.4.2 Recovery-window algorithm</w:t>
      </w:r>
    </w:p>
    <w:p w14:paraId="323E8269"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Recovery will be evaluated using a perturbation-type-specific window rather than a universal fixed duration. For each eligible perturbation, the recovery window [T0, T0+W] will be defined using prespecified temporal rules based on: (a) baseline observation availability; (b) expected clinical timescale of the perturbation type; (c) measurement density; (d) evidence of return toward the patient's pre-event state; and (e) exclusion of subsequent perturbations that make the trajectory non-attributable. The algorithm and all parameters will be fixed before PE3 outcome modeling.</w:t>
      </w:r>
    </w:p>
    <w:p w14:paraId="231DD6A7"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lastRenderedPageBreak/>
        <w:t>The resulting trajectory will distinguish baseline, perturbation, and recovery phases. If a patient has multiple eligible events, events will be treated as repeated observations within patient, with dependence handled in the statistical model or through clustered/robust estimation as appropriate.</w:t>
      </w:r>
    </w:p>
    <w:p w14:paraId="4AC09CB5" w14:textId="77777777" w:rsidR="00165472" w:rsidRPr="00026097" w:rsidRDefault="00E95977">
      <w:pPr>
        <w:spacing w:before="120" w:after="60"/>
        <w:rPr>
          <w:rFonts w:ascii="Arial" w:hAnsi="Arial" w:cs="Arial"/>
          <w:sz w:val="22"/>
          <w:szCs w:val="22"/>
        </w:rPr>
      </w:pPr>
      <w:r w:rsidRPr="00026097">
        <w:rPr>
          <w:rFonts w:ascii="Arial" w:hAnsi="Arial" w:cs="Arial"/>
          <w:b/>
          <w:bCs/>
          <w:i/>
          <w:iCs/>
          <w:sz w:val="22"/>
          <w:szCs w:val="22"/>
        </w:rPr>
        <w:t>6.4.3 Closed mathematical definition of Adaptive Capacity</w:t>
      </w:r>
    </w:p>
    <w:p w14:paraId="5A48B600" w14:textId="77777777" w:rsidR="00165472" w:rsidRPr="00026097" w:rsidRDefault="00E95977">
      <w:pPr>
        <w:spacing w:after="110" w:line="258" w:lineRule="auto"/>
        <w:rPr>
          <w:rFonts w:ascii="Arial" w:hAnsi="Arial" w:cs="Arial"/>
          <w:sz w:val="22"/>
          <w:szCs w:val="22"/>
        </w:rPr>
      </w:pPr>
      <w:r w:rsidRPr="00026097">
        <w:rPr>
          <w:rFonts w:ascii="Arial" w:hAnsi="Arial" w:cs="Arial"/>
          <w:i/>
          <w:iCs/>
          <w:sz w:val="22"/>
          <w:szCs w:val="22"/>
        </w:rPr>
        <w:t>This subsection provides the closed definition with unambiguous notation.</w:t>
      </w:r>
    </w:p>
    <w:p w14:paraId="327B0D92"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Let BSI_i(t) denote patient i's Biological State Index trajectory, T0_i the onset of an eligible perturbation (6.4.1), and [T0_i, T0_i+W_i] the recovery window determined by the Section 6.4.2 temporal algorithm.</w:t>
      </w:r>
    </w:p>
    <w:p w14:paraId="35C45F46" w14:textId="77777777" w:rsidR="00165472" w:rsidRPr="00026097" w:rsidRDefault="00E95977">
      <w:pPr>
        <w:spacing w:after="110" w:line="258" w:lineRule="auto"/>
        <w:rPr>
          <w:rFonts w:ascii="Arial" w:hAnsi="Arial" w:cs="Arial"/>
          <w:sz w:val="22"/>
          <w:szCs w:val="22"/>
        </w:rPr>
      </w:pPr>
      <w:r w:rsidRPr="00026097">
        <w:rPr>
          <w:rFonts w:ascii="Arial" w:hAnsi="Arial" w:cs="Arial"/>
          <w:b/>
          <w:bCs/>
          <w:sz w:val="22"/>
          <w:szCs w:val="22"/>
        </w:rPr>
        <w:t>Baseline: BSI_i^base is the mean of BSI_i(t) over the pre-perturbation window [T0_i−w, T0_i), with w fixed a priori by perturbation type.</w:t>
      </w:r>
    </w:p>
    <w:p w14:paraId="4987D3F9" w14:textId="77777777" w:rsidR="00165472" w:rsidRPr="00026097" w:rsidRDefault="00E95977">
      <w:pPr>
        <w:spacing w:after="110" w:line="258" w:lineRule="auto"/>
        <w:rPr>
          <w:rFonts w:ascii="Arial" w:hAnsi="Arial" w:cs="Arial"/>
          <w:sz w:val="22"/>
          <w:szCs w:val="22"/>
        </w:rPr>
      </w:pPr>
      <w:r w:rsidRPr="00026097">
        <w:rPr>
          <w:rFonts w:ascii="Arial" w:hAnsi="Arial" w:cs="Arial"/>
          <w:b/>
          <w:bCs/>
          <w:sz w:val="22"/>
          <w:szCs w:val="22"/>
        </w:rPr>
        <w:t>Primary perturbation severity: S_i is defined from objective clinical information independent of the BSI construction. The BSI-derived deviation D_i = BSI_i^base − BSI_i^nadir is retained only as a secondary sensitivity measure and is not used as the primary severity adjustment.</w:t>
      </w:r>
    </w:p>
    <w:p w14:paraId="7ADBE599" w14:textId="77777777" w:rsidR="00165472" w:rsidRPr="00026097" w:rsidRDefault="00E95977">
      <w:pPr>
        <w:spacing w:after="110" w:line="258" w:lineRule="auto"/>
        <w:rPr>
          <w:rFonts w:ascii="Arial" w:hAnsi="Arial" w:cs="Arial"/>
          <w:sz w:val="22"/>
          <w:szCs w:val="22"/>
        </w:rPr>
      </w:pPr>
      <w:r w:rsidRPr="00026097">
        <w:rPr>
          <w:rFonts w:ascii="Arial" w:hAnsi="Arial" w:cs="Arial"/>
          <w:b/>
          <w:bCs/>
          <w:sz w:val="22"/>
          <w:szCs w:val="22"/>
        </w:rPr>
        <w:t>Nadir: BSI_i^nadir is the minimum BSI observed within the prespecified perturbation-response window.</w:t>
      </w:r>
    </w:p>
    <w:p w14:paraId="61041F3B"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Observed recovery amount: R_i = BSI_i(T0_i+W_i) − BSI_i^nadir. Events below the prespecified minimum physiological deviation threshold are excluded under Section 6.4.1. D_i is not used to normalize the primary outcome.</w:t>
      </w:r>
    </w:p>
    <w:p w14:paraId="762F15FD"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Expected recovery: Ê[R | S_i, X_i] is estimated from eligible perturbation-recovery events conditional on prespecified clinical severity variables S_i and covariates X_i. Baseline BSI_i^base is not included in this expected-recovery model because it is the primary exposure in PE3. Patient-level cross-fitting excludes all events from the patient contributing event i from the training data used to estimate its expected recovery.</w:t>
      </w:r>
    </w:p>
    <w:p w14:paraId="076B78E9"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Adaptive Capacity: AC_i = R_i − Ê[R | S_i, X_i]. AC_i represents recovery relative to what would be expected for an event of comparable clinical severity and prespecified covariate profile, without residualizing away baseline BSI.</w:t>
      </w:r>
    </w:p>
    <w:p w14:paraId="410A28A2" w14:textId="77777777" w:rsidR="00165472" w:rsidRPr="00026097" w:rsidRDefault="00E95977">
      <w:pPr>
        <w:spacing w:before="120" w:after="60"/>
        <w:rPr>
          <w:rFonts w:ascii="Arial" w:hAnsi="Arial" w:cs="Arial"/>
          <w:sz w:val="22"/>
          <w:szCs w:val="22"/>
        </w:rPr>
      </w:pPr>
      <w:r w:rsidRPr="00026097">
        <w:rPr>
          <w:rFonts w:ascii="Arial" w:hAnsi="Arial" w:cs="Arial"/>
          <w:b/>
          <w:bCs/>
          <w:i/>
          <w:iCs/>
          <w:sz w:val="22"/>
          <w:szCs w:val="22"/>
        </w:rPr>
        <w:t>6.4.4 Primary statistical analysis</w:t>
      </w:r>
    </w:p>
    <w:p w14:paraId="3DC5AC36"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The primary PE3 analysis will use quantile regression to test whether baseline Biological State constrains the upper ceiling of Adaptive Capacity rather than merely shifting its conditional mean. Adaptive Capacity is defined from the absolute recovery amount R_i after adjustment for expected recovery under comparable clinical perturbation severity.</w:t>
      </w:r>
    </w:p>
    <w:p w14:paraId="636C79E4" w14:textId="77777777" w:rsidR="00F45B20" w:rsidRPr="00026097" w:rsidRDefault="002B1661">
      <w:pPr>
        <w:rPr>
          <w:rFonts w:ascii="Arial" w:hAnsi="Arial" w:cs="Arial"/>
          <w:sz w:val="22"/>
          <w:szCs w:val="22"/>
        </w:rPr>
      </w:pPr>
      <w:r w:rsidRPr="00026097">
        <w:rPr>
          <w:rFonts w:ascii="Arial" w:hAnsi="Arial" w:cs="Arial"/>
          <w:sz w:val="22"/>
          <w:szCs w:val="22"/>
        </w:rPr>
        <w:t>The primary hypothesis concerns the direction and magnitude of the upper-tail association between BSI_i^base and AC_i.</w:t>
      </w:r>
    </w:p>
    <w:p w14:paraId="538D1DB5" w14:textId="77777777" w:rsidR="00F45B20" w:rsidRPr="00026097" w:rsidRDefault="002B1661">
      <w:pPr>
        <w:rPr>
          <w:rFonts w:ascii="Arial" w:hAnsi="Arial" w:cs="Arial"/>
          <w:sz w:val="22"/>
          <w:szCs w:val="22"/>
        </w:rPr>
      </w:pPr>
      <w:r w:rsidRPr="00026097">
        <w:rPr>
          <w:rFonts w:ascii="Arial" w:hAnsi="Arial" w:cs="Arial"/>
          <w:sz w:val="22"/>
          <w:szCs w:val="22"/>
        </w:rPr>
        <w:t>The primary quantile is tau=0.90; tau=0.75 and tau=0.95 are supportive analyses. Z_i includes prespecified severity variables S_i and other prespecified covariates available at or before the perturbation. Repeated events within patients will be accounted for using patient-clustered inference or an equivalent patient-level bootstrap.</w:t>
      </w:r>
    </w:p>
    <w:p w14:paraId="67B98896" w14:textId="77777777" w:rsidR="00F45B20" w:rsidRPr="00026097" w:rsidRDefault="002B1661">
      <w:pPr>
        <w:rPr>
          <w:rFonts w:ascii="Arial" w:hAnsi="Arial" w:cs="Arial"/>
          <w:sz w:val="22"/>
          <w:szCs w:val="22"/>
        </w:rPr>
      </w:pPr>
      <w:r w:rsidRPr="00026097">
        <w:rPr>
          <w:rFonts w:ascii="Arial" w:hAnsi="Arial" w:cs="Arial"/>
          <w:sz w:val="22"/>
          <w:szCs w:val="22"/>
        </w:rPr>
        <w:t>Q90(AC_i | BSI_i^base, Z_i) = beta_0.90 + f_0.90(BSI_i^base) + gamma_0.90^T Z_i + u_i.</w:t>
      </w:r>
    </w:p>
    <w:p w14:paraId="53B9C88B" w14:textId="77777777" w:rsidR="00F45B20" w:rsidRPr="00026097" w:rsidRDefault="002B1661">
      <w:pPr>
        <w:rPr>
          <w:rFonts w:ascii="Arial" w:hAnsi="Arial" w:cs="Arial"/>
          <w:sz w:val="22"/>
          <w:szCs w:val="22"/>
        </w:rPr>
      </w:pPr>
      <w:r w:rsidRPr="00026097">
        <w:rPr>
          <w:rFonts w:ascii="Arial" w:hAnsi="Arial" w:cs="Arial"/>
          <w:sz w:val="22"/>
          <w:szCs w:val="22"/>
        </w:rPr>
        <w:t>The primary estimand is the conditional 0.90 quantile of AC_i given baseline BSI and prespecified covariates.</w:t>
      </w:r>
    </w:p>
    <w:p w14:paraId="194F6579" w14:textId="77777777" w:rsidR="00165472" w:rsidRPr="00026097" w:rsidRDefault="00E95977">
      <w:pPr>
        <w:spacing w:before="120" w:after="60"/>
        <w:rPr>
          <w:rFonts w:ascii="Arial" w:hAnsi="Arial" w:cs="Arial"/>
          <w:sz w:val="22"/>
          <w:szCs w:val="22"/>
        </w:rPr>
      </w:pPr>
      <w:r w:rsidRPr="00026097">
        <w:rPr>
          <w:rFonts w:ascii="Arial" w:hAnsi="Arial" w:cs="Arial"/>
          <w:b/>
          <w:bCs/>
          <w:i/>
          <w:iCs/>
          <w:sz w:val="22"/>
          <w:szCs w:val="22"/>
        </w:rPr>
        <w:t>6.4.5 PE3 robustness and sensitivity analyses</w:t>
      </w:r>
    </w:p>
    <w:p w14:paraId="15F498CB"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The primary BSI→Adaptive Capacity relationship will be subjected to prespecified sensitivity analyses: (1) alternative clinically defensible recovery-window specifications; (2) alternative perturbation-severity thresholds where applicable; (3) exclusion of events occurring too close to another major perturbation; (4) alternative handling of repeated events within patient; and (5) complete-case or alternative missing-data specifications where justified. The purpose is to determine whether the estimated ceiling relationship is robust to reasonable changes in operationalization, not to select a specification that maximizes the observed association.</w:t>
      </w:r>
    </w:p>
    <w:p w14:paraId="6396624F" w14:textId="77777777" w:rsidR="00165472" w:rsidRPr="00026097" w:rsidRDefault="00E95977">
      <w:pPr>
        <w:spacing w:before="120" w:after="60"/>
        <w:rPr>
          <w:rFonts w:ascii="Arial" w:hAnsi="Arial" w:cs="Arial"/>
          <w:sz w:val="22"/>
          <w:szCs w:val="22"/>
        </w:rPr>
      </w:pPr>
      <w:r w:rsidRPr="00026097">
        <w:rPr>
          <w:rFonts w:ascii="Arial" w:hAnsi="Arial" w:cs="Arial"/>
          <w:b/>
          <w:bCs/>
          <w:i/>
          <w:iCs/>
          <w:sz w:val="22"/>
          <w:szCs w:val="22"/>
        </w:rPr>
        <w:lastRenderedPageBreak/>
        <w:t>6.4.6 Leakage prevention</w:t>
      </w:r>
    </w:p>
    <w:p w14:paraId="1B46643E"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No BSI input biomarker may by itself define the recovery differential. Predictor features will be restricted to information available before or at the prespecified prediction time. Post-perturbation information used to define ACᵢ will not be used as a predictor. The outcome is a recovery differential derived from the post-perturbation response and is therefore temporally distinct from predictor information. Temporal validation, feature time-availability verification, patient-level separation between development and validation data, and patient-level cross-fitting for expected recovery estimation will be enforced. The primary perturbation-severity variables are defined independently of the BSI; the BSI-derived baseline-to-nadir deviation is restricted to sensitivity analyses.</w:t>
      </w:r>
    </w:p>
    <w:p w14:paraId="76805571" w14:textId="77777777" w:rsidR="00165472" w:rsidRPr="00026097" w:rsidRDefault="00E95977">
      <w:pPr>
        <w:pStyle w:val="Ttulo2"/>
        <w:spacing w:before="160" w:after="80"/>
        <w:rPr>
          <w:rFonts w:ascii="Arial" w:hAnsi="Arial" w:cs="Arial"/>
          <w:sz w:val="22"/>
          <w:szCs w:val="22"/>
        </w:rPr>
      </w:pPr>
      <w:r w:rsidRPr="00026097">
        <w:rPr>
          <w:rFonts w:ascii="Arial" w:hAnsi="Arial" w:cs="Arial"/>
          <w:b/>
          <w:bCs/>
          <w:sz w:val="22"/>
          <w:szCs w:val="22"/>
        </w:rPr>
        <w:t>6.5 Biological Trajectory (PE4, secondary)</w:t>
      </w:r>
    </w:p>
    <w:p w14:paraId="345AD5B9"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Group-based trajectory modeling (Nagin, 2005) characterizes longitudinal patterns of BSI/Adaptive Capacity across repeated perturbation-recovery cycles within each patient's EHR history. The trajectory model will be treated as descriptive/associational unless its assumptions and event density support a more formal inferential analysis.</w:t>
      </w:r>
    </w:p>
    <w:p w14:paraId="1BC5F5D9" w14:textId="77777777" w:rsidR="00165472" w:rsidRPr="00026097" w:rsidRDefault="00E95977">
      <w:pPr>
        <w:pStyle w:val="Ttulo2"/>
        <w:spacing w:before="160" w:after="80"/>
        <w:rPr>
          <w:rFonts w:ascii="Arial" w:hAnsi="Arial" w:cs="Arial"/>
          <w:sz w:val="22"/>
          <w:szCs w:val="22"/>
        </w:rPr>
      </w:pPr>
      <w:r w:rsidRPr="00026097">
        <w:rPr>
          <w:rFonts w:ascii="Arial" w:hAnsi="Arial" w:cs="Arial"/>
          <w:b/>
          <w:bCs/>
          <w:sz w:val="22"/>
          <w:szCs w:val="22"/>
        </w:rPr>
        <w:t>6.6 NCD progression (PE5, secondary/exploratory — distal outcome)</w:t>
      </w:r>
    </w:p>
    <w:p w14:paraId="14753EEE"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Within the same retrospective cohort's remaining EHR follow-up (no new fieldwork required), association/survival analysis tests whether Adaptive Capacity trajectory class predicts subsequent progression toward NCD outcomes — new confirmed T2D diagnosis (ADA criteria) in patients starting with prediabetes/insulin resistance, a first documented complication, or a first major cardiovascular event. Here, and only here, Charlson and SCORE2-Diabetes serve as direct comparators, since this is the one analysis whose outcome type and horizon genuinely align with what those tools were designed to predict.</w:t>
      </w:r>
    </w:p>
    <w:p w14:paraId="70FBF3AB" w14:textId="77777777" w:rsidR="00165472" w:rsidRPr="00026097" w:rsidRDefault="00E95977">
      <w:pPr>
        <w:spacing w:after="110" w:line="258" w:lineRule="auto"/>
        <w:rPr>
          <w:rFonts w:ascii="Arial" w:hAnsi="Arial" w:cs="Arial"/>
          <w:sz w:val="22"/>
          <w:szCs w:val="22"/>
        </w:rPr>
      </w:pPr>
      <w:r w:rsidRPr="00026097">
        <w:rPr>
          <w:rFonts w:ascii="Arial" w:hAnsi="Arial" w:cs="Arial"/>
          <w:b/>
          <w:bCs/>
          <w:sz w:val="22"/>
          <w:szCs w:val="22"/>
        </w:rPr>
        <w:t xml:space="preserve">Honest scope limitation on aging: </w:t>
      </w:r>
      <w:r w:rsidRPr="00026097">
        <w:rPr>
          <w:rFonts w:ascii="Arial" w:hAnsi="Arial" w:cs="Arial"/>
          <w:sz w:val="22"/>
          <w:szCs w:val="22"/>
        </w:rPr>
        <w:t>direct biological-aging quantification (e.g., an epigenetic clock) requires a methylation panel outside the committed core (contingent on future funding). Within this protocol, biological aging is addressed conceptually only (Sections 3-4) and is not independently measured; the NCD-progression outcome defined here is the protocol's sole empirical proxy for the BSH's distal consequence, consistent with the BSH's framing of chronic disease and accelerated aging as related downstream manifestations of the same underlying process — not as the same measurement.</w:t>
      </w:r>
    </w:p>
    <w:p w14:paraId="0CBFE4B4" w14:textId="77777777" w:rsidR="00165472" w:rsidRPr="00026097" w:rsidRDefault="00E95977">
      <w:pPr>
        <w:pStyle w:val="Ttulo2"/>
        <w:spacing w:before="160" w:after="80"/>
        <w:rPr>
          <w:rFonts w:ascii="Arial" w:hAnsi="Arial" w:cs="Arial"/>
          <w:sz w:val="22"/>
          <w:szCs w:val="22"/>
        </w:rPr>
      </w:pPr>
      <w:r w:rsidRPr="00026097">
        <w:rPr>
          <w:rFonts w:ascii="Arial" w:hAnsi="Arial" w:cs="Arial"/>
          <w:b/>
          <w:bCs/>
          <w:sz w:val="22"/>
          <w:szCs w:val="22"/>
        </w:rPr>
        <w:t>6.7 Statistical hierarchy, sample size, missing data and validation</w:t>
      </w:r>
    </w:p>
    <w:p w14:paraId="38B5915A" w14:textId="77777777" w:rsidR="00165472" w:rsidRPr="00026097" w:rsidRDefault="00E95977">
      <w:pPr>
        <w:spacing w:after="110" w:line="258" w:lineRule="auto"/>
        <w:rPr>
          <w:rFonts w:ascii="Arial" w:hAnsi="Arial" w:cs="Arial"/>
          <w:sz w:val="22"/>
          <w:szCs w:val="22"/>
        </w:rPr>
      </w:pPr>
      <w:r w:rsidRPr="00026097">
        <w:rPr>
          <w:rFonts w:ascii="Arial" w:hAnsi="Arial" w:cs="Arial"/>
          <w:b/>
          <w:bCs/>
          <w:sz w:val="22"/>
          <w:szCs w:val="22"/>
        </w:rPr>
        <w:t xml:space="preserve">Comparison hierarchy: </w:t>
      </w:r>
      <w:r w:rsidRPr="00026097">
        <w:rPr>
          <w:rFonts w:ascii="Arial" w:hAnsi="Arial" w:cs="Arial"/>
          <w:sz w:val="22"/>
          <w:szCs w:val="22"/>
        </w:rPr>
        <w:t>PE3 (BS→AC, quantile regression) is the primary confirmatory analysis. PE1, PE2, PE4, PE5, PE6 are secondary/exploratory. Bonferroni correction applies within each tier separately.</w:t>
      </w:r>
    </w:p>
    <w:p w14:paraId="2895F9DF" w14:textId="77777777" w:rsidR="00165472" w:rsidRPr="00026097" w:rsidRDefault="00E95977">
      <w:pPr>
        <w:spacing w:after="110" w:line="258" w:lineRule="auto"/>
        <w:rPr>
          <w:rFonts w:ascii="Arial" w:hAnsi="Arial" w:cs="Arial"/>
          <w:sz w:val="22"/>
          <w:szCs w:val="22"/>
        </w:rPr>
      </w:pPr>
      <w:r w:rsidRPr="00026097">
        <w:rPr>
          <w:rFonts w:ascii="Arial" w:hAnsi="Arial" w:cs="Arial"/>
          <w:b/>
          <w:bCs/>
          <w:sz w:val="22"/>
          <w:szCs w:val="22"/>
        </w:rPr>
        <w:t>Sample size justification: prediction-oriented analyses will use the pre-specified ΔAUC≥0.05 planning criterion where AUC is an applicable estimand, with events-per-variable considerations for candidate fusion architectures. For the primary PE3 analysis, adequacy will be determined by a quantile-regression-specific assessment based on the final eligible perturbation-recovery event count, number of independent patients, model complexity, target quantile (primary τ=0.90), and expected precision of the ceiling estimate. No AUC-based criterion will be used as the sufficiency criterion for PE3.</w:t>
      </w:r>
    </w:p>
    <w:p w14:paraId="1C9FA120" w14:textId="77777777" w:rsidR="00165472" w:rsidRPr="00026097" w:rsidRDefault="00E95977">
      <w:pPr>
        <w:spacing w:after="110" w:line="258" w:lineRule="auto"/>
        <w:rPr>
          <w:rFonts w:ascii="Arial" w:hAnsi="Arial" w:cs="Arial"/>
          <w:sz w:val="22"/>
          <w:szCs w:val="22"/>
        </w:rPr>
      </w:pPr>
      <w:r w:rsidRPr="00026097">
        <w:rPr>
          <w:rFonts w:ascii="Arial" w:hAnsi="Arial" w:cs="Arial"/>
          <w:b/>
          <w:bCs/>
          <w:sz w:val="22"/>
          <w:szCs w:val="22"/>
        </w:rPr>
        <w:t xml:space="preserve">Event-sufficiency criterion: </w:t>
      </w:r>
      <w:r w:rsidRPr="00026097">
        <w:rPr>
          <w:rFonts w:ascii="Arial" w:hAnsi="Arial" w:cs="Arial"/>
          <w:sz w:val="22"/>
          <w:szCs w:val="22"/>
        </w:rPr>
        <w:t xml:space="preserve">before confirmatory PE3 modeling, an event-sufficiency assessment will be conducted based on (a) the number of eligible perturbation-recovery events identified under Section 6.4.1, (b) the number of free parameters in the candidate quantile regression model, and (c) the expected precision of the ceiling estimate. PE3 modeling will proceed only once this prespecified sufficiency criterion is met; the assessment is documented independently of the observed BSI–Adaptive Capacity association, so that data adequacy — not the strength of the result — determines whether the primary analysis proceeds as specified. Final N and the minimum number of eligible </w:t>
      </w:r>
      <w:r w:rsidRPr="00026097">
        <w:rPr>
          <w:rFonts w:ascii="Arial" w:hAnsi="Arial" w:cs="Arial"/>
          <w:sz w:val="22"/>
          <w:szCs w:val="22"/>
        </w:rPr>
        <w:lastRenderedPageBreak/>
        <w:t>perturbation-recovery events will be specified once Rebagliati access and event frequencies are confirmed.</w:t>
      </w:r>
    </w:p>
    <w:p w14:paraId="32F51C8C" w14:textId="77777777" w:rsidR="00165472" w:rsidRPr="00026097" w:rsidRDefault="00E95977">
      <w:pPr>
        <w:spacing w:after="110" w:line="258" w:lineRule="auto"/>
        <w:rPr>
          <w:rFonts w:ascii="Arial" w:hAnsi="Arial" w:cs="Arial"/>
          <w:sz w:val="22"/>
          <w:szCs w:val="22"/>
        </w:rPr>
      </w:pPr>
      <w:r w:rsidRPr="00026097">
        <w:rPr>
          <w:rFonts w:ascii="Arial" w:hAnsi="Arial" w:cs="Arial"/>
          <w:b/>
          <w:bCs/>
          <w:sz w:val="22"/>
          <w:szCs w:val="22"/>
        </w:rPr>
        <w:t xml:space="preserve">Missing data: </w:t>
      </w:r>
      <w:r w:rsidRPr="00026097">
        <w:rPr>
          <w:rFonts w:ascii="Arial" w:hAnsi="Arial" w:cs="Arial"/>
          <w:sz w:val="22"/>
          <w:szCs w:val="22"/>
        </w:rPr>
        <w:t>MCAR/MAR via multiple imputation (MICE); MNAR treated as potentially informative via indicator variables, assessed via sensitivity analysis (pattern-mixture models), not assumed by default.</w:t>
      </w:r>
    </w:p>
    <w:p w14:paraId="0054EB20" w14:textId="77777777" w:rsidR="00165472" w:rsidRPr="00026097" w:rsidRDefault="00E95977">
      <w:pPr>
        <w:spacing w:after="110" w:line="258" w:lineRule="auto"/>
        <w:rPr>
          <w:rFonts w:ascii="Arial" w:hAnsi="Arial" w:cs="Arial"/>
          <w:sz w:val="22"/>
          <w:szCs w:val="22"/>
        </w:rPr>
      </w:pPr>
      <w:r w:rsidRPr="00026097">
        <w:rPr>
          <w:rFonts w:ascii="Arial" w:hAnsi="Arial" w:cs="Arial"/>
          <w:b/>
          <w:bCs/>
          <w:sz w:val="22"/>
          <w:szCs w:val="22"/>
        </w:rPr>
        <w:t xml:space="preserve">Leakage prevention (general): </w:t>
      </w:r>
      <w:r w:rsidRPr="00026097">
        <w:rPr>
          <w:rFonts w:ascii="Arial" w:hAnsi="Arial" w:cs="Arial"/>
          <w:sz w:val="22"/>
          <w:szCs w:val="22"/>
        </w:rPr>
        <w:t>strict temporal validation, no patient overlap (Kapoor &amp; Narayanan, 2023), and feature time-availability verification.</w:t>
      </w:r>
    </w:p>
    <w:p w14:paraId="54CCC9F2" w14:textId="77777777" w:rsidR="00165472" w:rsidRPr="00026097" w:rsidRDefault="00E95977">
      <w:pPr>
        <w:spacing w:after="110" w:line="258" w:lineRule="auto"/>
        <w:rPr>
          <w:rFonts w:ascii="Arial" w:hAnsi="Arial" w:cs="Arial"/>
          <w:sz w:val="22"/>
          <w:szCs w:val="22"/>
        </w:rPr>
      </w:pPr>
      <w:r w:rsidRPr="00026097">
        <w:rPr>
          <w:rFonts w:ascii="Arial" w:hAnsi="Arial" w:cs="Arial"/>
          <w:b/>
          <w:bCs/>
          <w:sz w:val="22"/>
          <w:szCs w:val="22"/>
        </w:rPr>
        <w:t xml:space="preserve">Reporting: </w:t>
      </w:r>
      <w:r w:rsidRPr="00026097">
        <w:rPr>
          <w:rFonts w:ascii="Arial" w:hAnsi="Arial" w:cs="Arial"/>
          <w:sz w:val="22"/>
          <w:szCs w:val="22"/>
        </w:rPr>
        <w:t>TRIPOD+AI (Collins et al., 2024) for classification-style analyses (PE1, PE2, PE5, PE6); Platt-scaled probabilities verified against the Van Calster et al. (2016) calibration hierarchy; NRI and decision curve analysis (Vickers &amp; Elkin, 2006; validity contingent on calibration per Van Calster &amp; Vickers, 2015) for PE5/PE6; DeLong test (DeLong et al., 1988) for AUC comparisons where applicable.</w:t>
      </w:r>
    </w:p>
    <w:p w14:paraId="4F6C1FE8" w14:textId="77777777" w:rsidR="00165472" w:rsidRPr="00026097" w:rsidRDefault="00E95977">
      <w:pPr>
        <w:pStyle w:val="Ttulo1"/>
        <w:spacing w:before="220" w:after="100"/>
        <w:rPr>
          <w:rFonts w:ascii="Arial" w:hAnsi="Arial" w:cs="Arial"/>
          <w:sz w:val="22"/>
          <w:szCs w:val="22"/>
        </w:rPr>
      </w:pPr>
      <w:r w:rsidRPr="00026097">
        <w:rPr>
          <w:rFonts w:ascii="Arial" w:hAnsi="Arial" w:cs="Arial"/>
          <w:b/>
          <w:bCs/>
          <w:sz w:val="22"/>
          <w:szCs w:val="22"/>
        </w:rPr>
        <w:t>7. Ethical Considerations</w:t>
      </w:r>
    </w:p>
    <w:p w14:paraId="0210EB17" w14:textId="77777777" w:rsidR="00165472" w:rsidRPr="00026097" w:rsidRDefault="00E95977">
      <w:pPr>
        <w:spacing w:after="110" w:line="258" w:lineRule="auto"/>
        <w:rPr>
          <w:rFonts w:ascii="Arial" w:hAnsi="Arial" w:cs="Arial"/>
          <w:sz w:val="22"/>
          <w:szCs w:val="22"/>
        </w:rPr>
      </w:pPr>
      <w:r w:rsidRPr="00026097">
        <w:rPr>
          <w:rFonts w:ascii="Arial" w:hAnsi="Arial" w:cs="Arial"/>
          <w:b/>
          <w:bCs/>
          <w:sz w:val="22"/>
          <w:szCs w:val="22"/>
        </w:rPr>
        <w:t xml:space="preserve">Participants and consent: </w:t>
      </w:r>
      <w:r w:rsidRPr="00026097">
        <w:rPr>
          <w:rFonts w:ascii="Arial" w:hAnsi="Arial" w:cs="Arial"/>
          <w:sz w:val="22"/>
          <w:szCs w:val="22"/>
        </w:rPr>
        <w:t>Rebagliati patients under secondary use of already-collected data; scope of original consent to be verified. No new prospective data collection (e.g., standardized challenge protocols) is part of this thesis; such designs remain a separate future extension.</w:t>
      </w:r>
    </w:p>
    <w:p w14:paraId="5E1782BB" w14:textId="77777777" w:rsidR="00165472" w:rsidRPr="00026097" w:rsidRDefault="00E95977">
      <w:pPr>
        <w:spacing w:after="110" w:line="258" w:lineRule="auto"/>
        <w:rPr>
          <w:rFonts w:ascii="Arial" w:hAnsi="Arial" w:cs="Arial"/>
          <w:sz w:val="22"/>
          <w:szCs w:val="22"/>
        </w:rPr>
      </w:pPr>
      <w:r w:rsidRPr="00026097">
        <w:rPr>
          <w:rFonts w:ascii="Arial" w:hAnsi="Arial" w:cs="Arial"/>
          <w:b/>
          <w:bCs/>
          <w:sz w:val="22"/>
          <w:szCs w:val="22"/>
        </w:rPr>
        <w:t xml:space="preserve">Collection method: </w:t>
      </w:r>
      <w:r w:rsidRPr="00026097">
        <w:rPr>
          <w:rFonts w:ascii="Arial" w:hAnsi="Arial" w:cs="Arial"/>
          <w:sz w:val="22"/>
          <w:szCs w:val="22"/>
        </w:rPr>
        <w:t>automated EHR extraction under HL7 FHIR, no direct patient contact.</w:t>
      </w:r>
    </w:p>
    <w:p w14:paraId="46FF34AD" w14:textId="77777777" w:rsidR="00165472" w:rsidRPr="00026097" w:rsidRDefault="00E95977">
      <w:pPr>
        <w:spacing w:after="110" w:line="258" w:lineRule="auto"/>
        <w:rPr>
          <w:rFonts w:ascii="Arial" w:hAnsi="Arial" w:cs="Arial"/>
          <w:sz w:val="22"/>
          <w:szCs w:val="22"/>
        </w:rPr>
      </w:pPr>
      <w:r w:rsidRPr="00026097">
        <w:rPr>
          <w:rFonts w:ascii="Arial" w:hAnsi="Arial" w:cs="Arial"/>
          <w:b/>
          <w:bCs/>
          <w:sz w:val="22"/>
          <w:szCs w:val="22"/>
        </w:rPr>
        <w:t xml:space="preserve">Named risks and mitigation: </w:t>
      </w:r>
      <w:r w:rsidRPr="00026097">
        <w:rPr>
          <w:rFonts w:ascii="Arial" w:hAnsi="Arial" w:cs="Arial"/>
          <w:sz w:val="22"/>
          <w:szCs w:val="22"/>
        </w:rPr>
        <w:t>(a) model error producing false reassurance or missed intervention — mitigated by physician as final decision-maker via SHAP/attention maps/counterfactuals; (b) data breach — mitigated via de-identification, secure hosting, Ley 29733 and DS 016-2024-JUS; (c) underperformance in underrepresented subgroups — mitigated via disaggregated subgroup reporting.</w:t>
      </w:r>
    </w:p>
    <w:p w14:paraId="47949B2D" w14:textId="77777777" w:rsidR="00165472" w:rsidRPr="00026097" w:rsidRDefault="00E95977">
      <w:pPr>
        <w:spacing w:after="110" w:line="258" w:lineRule="auto"/>
        <w:rPr>
          <w:rFonts w:ascii="Arial" w:hAnsi="Arial" w:cs="Arial"/>
          <w:sz w:val="22"/>
          <w:szCs w:val="22"/>
        </w:rPr>
      </w:pPr>
      <w:r w:rsidRPr="00026097">
        <w:rPr>
          <w:rFonts w:ascii="Arial" w:hAnsi="Arial" w:cs="Arial"/>
          <w:b/>
          <w:bCs/>
          <w:sz w:val="22"/>
          <w:szCs w:val="22"/>
        </w:rPr>
        <w:t xml:space="preserve">Confidentiality: </w:t>
      </w:r>
      <w:r w:rsidRPr="00026097">
        <w:rPr>
          <w:rFonts w:ascii="Arial" w:hAnsi="Arial" w:cs="Arial"/>
          <w:sz w:val="22"/>
          <w:szCs w:val="22"/>
        </w:rPr>
        <w:t>de-identification within the ETL pipeline, restricted team access.</w:t>
      </w:r>
    </w:p>
    <w:p w14:paraId="2B11EE62" w14:textId="77777777" w:rsidR="00165472" w:rsidRPr="00026097" w:rsidRDefault="00E95977">
      <w:pPr>
        <w:spacing w:after="110" w:line="258" w:lineRule="auto"/>
        <w:rPr>
          <w:rFonts w:ascii="Arial" w:hAnsi="Arial" w:cs="Arial"/>
          <w:sz w:val="22"/>
          <w:szCs w:val="22"/>
        </w:rPr>
      </w:pPr>
      <w:r w:rsidRPr="00026097">
        <w:rPr>
          <w:rFonts w:ascii="Arial" w:hAnsi="Arial" w:cs="Arial"/>
          <w:b/>
          <w:bCs/>
          <w:sz w:val="22"/>
          <w:szCs w:val="22"/>
        </w:rPr>
        <w:t xml:space="preserve">Required approvals — two parallel processes: </w:t>
      </w:r>
      <w:r w:rsidRPr="00026097">
        <w:rPr>
          <w:rFonts w:ascii="Arial" w:hAnsi="Arial" w:cs="Arial"/>
          <w:sz w:val="22"/>
          <w:szCs w:val="22"/>
        </w:rPr>
        <w:t>(i) UNMSM CEI — to be filed October 2026; (ii) Rebagliati institutional approval — initiated September 2026; (iii) CONCYTEC Code (Res. 028-2024-CONCYTEC-P); (iv) AI Law 31814 Regulation (DS 115-2025-PCM).</w:t>
      </w:r>
    </w:p>
    <w:p w14:paraId="69F2E1B1" w14:textId="77777777" w:rsidR="00165472" w:rsidRPr="00026097" w:rsidRDefault="00E95977">
      <w:pPr>
        <w:spacing w:after="110" w:line="258" w:lineRule="auto"/>
        <w:rPr>
          <w:rFonts w:ascii="Arial" w:hAnsi="Arial" w:cs="Arial"/>
          <w:sz w:val="22"/>
          <w:szCs w:val="22"/>
        </w:rPr>
      </w:pPr>
      <w:r w:rsidRPr="00026097">
        <w:rPr>
          <w:rFonts w:ascii="Arial" w:hAnsi="Arial" w:cs="Arial"/>
          <w:b/>
          <w:bCs/>
          <w:sz w:val="22"/>
          <w:szCs w:val="22"/>
        </w:rPr>
        <w:t xml:space="preserve">Note on future extensions: </w:t>
      </w:r>
      <w:r w:rsidRPr="00026097">
        <w:rPr>
          <w:rFonts w:ascii="Arial" w:hAnsi="Arial" w:cs="Arial"/>
          <w:sz w:val="22"/>
          <w:szCs w:val="22"/>
        </w:rPr>
        <w:t>a future methylation sub-phase (direct epigenetic aging quantification) and/or a prospective standardized-challenge protocol (extending Adaptive Capacity measurement beyond EHR-derived perturbations) would each require their own informed-consent process and ethics approval; neither is part of the current approval processes.</w:t>
      </w:r>
    </w:p>
    <w:p w14:paraId="25C93711" w14:textId="77777777" w:rsidR="00165472" w:rsidRPr="00026097" w:rsidRDefault="00E95977">
      <w:pPr>
        <w:spacing w:after="110" w:line="258" w:lineRule="auto"/>
        <w:rPr>
          <w:rFonts w:ascii="Arial" w:hAnsi="Arial" w:cs="Arial"/>
          <w:sz w:val="22"/>
          <w:szCs w:val="22"/>
        </w:rPr>
      </w:pPr>
      <w:r w:rsidRPr="00026097">
        <w:rPr>
          <w:rFonts w:ascii="Arial" w:hAnsi="Arial" w:cs="Arial"/>
          <w:b/>
          <w:bCs/>
          <w:sz w:val="22"/>
          <w:szCs w:val="22"/>
        </w:rPr>
        <w:t xml:space="preserve">Conflict of interest: </w:t>
      </w:r>
      <w:r w:rsidRPr="00026097">
        <w:rPr>
          <w:rFonts w:ascii="Arial" w:hAnsi="Arial" w:cs="Arial"/>
          <w:sz w:val="22"/>
          <w:szCs w:val="22"/>
        </w:rPr>
        <w:t>the principal investigator is Scientific director of ADAPTIVE Health OS, for which ChroniCare-AI is conceived as the predictive engine. Explicitly declared; validation holds to the same rigor regardless of commercial application.</w:t>
      </w:r>
    </w:p>
    <w:p w14:paraId="33525301" w14:textId="77777777" w:rsidR="00165472" w:rsidRPr="00026097" w:rsidRDefault="00E95977">
      <w:pPr>
        <w:spacing w:after="110" w:line="258" w:lineRule="auto"/>
        <w:rPr>
          <w:rFonts w:ascii="Arial" w:hAnsi="Arial" w:cs="Arial"/>
          <w:sz w:val="22"/>
          <w:szCs w:val="22"/>
        </w:rPr>
      </w:pPr>
      <w:r w:rsidRPr="00026097">
        <w:rPr>
          <w:rFonts w:ascii="Arial" w:hAnsi="Arial" w:cs="Arial"/>
          <w:b/>
          <w:bCs/>
          <w:sz w:val="22"/>
          <w:szCs w:val="22"/>
        </w:rPr>
        <w:t xml:space="preserve">AI-use declaration: </w:t>
      </w:r>
      <w:r w:rsidRPr="00026097">
        <w:rPr>
          <w:rFonts w:ascii="Arial" w:hAnsi="Arial" w:cs="Arial"/>
          <w:sz w:val="22"/>
          <w:szCs w:val="22"/>
        </w:rPr>
        <w:t>the researcher conceived and decided the study design, paradigm, and all substantive methodological decisions. A language model (Claude, Anthropic) supported drafting, terminology/citation verification, and iterative consistency review, under continuous researcher supervision, following RAISE recommendations (Flemyng et al., 2025).</w:t>
      </w:r>
    </w:p>
    <w:p w14:paraId="7847204E" w14:textId="77777777" w:rsidR="00165472" w:rsidRPr="00026097" w:rsidRDefault="00E95977">
      <w:pPr>
        <w:pStyle w:val="Ttulo1"/>
        <w:spacing w:before="220" w:after="100"/>
        <w:rPr>
          <w:rFonts w:ascii="Arial" w:hAnsi="Arial" w:cs="Arial"/>
          <w:sz w:val="22"/>
          <w:szCs w:val="22"/>
        </w:rPr>
      </w:pPr>
      <w:r w:rsidRPr="00026097">
        <w:rPr>
          <w:rFonts w:ascii="Arial" w:hAnsi="Arial" w:cs="Arial"/>
          <w:b/>
          <w:bCs/>
          <w:sz w:val="22"/>
          <w:szCs w:val="22"/>
        </w:rPr>
        <w:t>8. Expected Results</w:t>
      </w:r>
    </w:p>
    <w:p w14:paraId="5BAF5376"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The doctoral contribution does not depend on confirming the BSH's predictions. Within that frame: (1) BSI discrimination, calibration, and clinical utility evidence (PE1); (2) evidence on whether multimodal fusion adds value over the additive form (PE2/BSH's L1); (3) primary evidence on whether the BSI constrains the ceiling of Adaptive Capacity via quantile regression (PE3/BSH's Prediction 1); (4) characterized Biological Trajectory patterns (PE4); (5) secondary/exploratory evidence on whether Adaptive Capacity trajectory associates with subsequent NCD progression, completing an empirical test of the BSH's full proposed chain within a single cohort (PE5); (6) evidence on whether ChroniCare-AI generalizes to an independent external Peruvian hospital (PE6); (7) TRL 4-5 prototype (TRL 6+ out of scope); (8) at least one publication in npj Digital Medicine or Frontiers in Digital Health.</w:t>
      </w:r>
    </w:p>
    <w:p w14:paraId="7021AAC2" w14:textId="77777777" w:rsidR="00165472" w:rsidRPr="00026097" w:rsidRDefault="00E95977">
      <w:pPr>
        <w:pStyle w:val="Ttulo1"/>
        <w:spacing w:before="220" w:after="100"/>
        <w:rPr>
          <w:rFonts w:ascii="Arial" w:hAnsi="Arial" w:cs="Arial"/>
          <w:sz w:val="22"/>
          <w:szCs w:val="22"/>
        </w:rPr>
      </w:pPr>
      <w:r w:rsidRPr="00026097">
        <w:rPr>
          <w:rFonts w:ascii="Arial" w:hAnsi="Arial" w:cs="Arial"/>
          <w:b/>
          <w:bCs/>
          <w:sz w:val="22"/>
          <w:szCs w:val="22"/>
        </w:rPr>
        <w:t>9. Timeline and Budget</w:t>
      </w:r>
    </w:p>
    <w:p w14:paraId="56A0CCF6"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lastRenderedPageBreak/>
        <w:t>Phase A — ethics and data access: September 2026 – April 2027 (7 months). Phase B — BSI construction, multimodal fusion, Adaptive Capacity and trajectory analysis, and the secondary NCD-progression analysis (same retrospective cohort, no new fieldwork): May 2027 – April 2028 (12 months); a single computational pipeline supports all components. Phase C — external validation (Seguín Escobedo primary), writing: May – December 2028 (8 months). Phase D — contingency buffer, final revisions, defense preparation: January – July 2029 (7 months). Benchmark: PROCIENCIA-funded ENARES project (Universidad Continental, 2025), 20 months, S/99,800.</w:t>
      </w:r>
    </w:p>
    <w:p w14:paraId="71E3D633"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Budget: compute via FISI-UNMSM supercomputing (access being arranged). Core study (Phases A-B, including the NCD-progression secondary analysis) executable without external funding, since it reuses the same retrospective cohort. External validation runs at minimum scope using established institutional contacts; PROCIENCIA/ProInnóvate funding targets expansion (additional sites, APC fees), not a condition for Phase C. A methylation sub-phase (direct aging quantification) and/or a prospective standardized-challenge extension remain future extensions, contingent on additional funding, outside the committed core.</w:t>
      </w:r>
    </w:p>
    <w:p w14:paraId="4C9D64C1" w14:textId="77777777" w:rsidR="00165472" w:rsidRPr="00026097" w:rsidRDefault="00E95977">
      <w:pPr>
        <w:spacing w:after="110" w:line="258" w:lineRule="auto"/>
        <w:rPr>
          <w:rFonts w:ascii="Arial" w:hAnsi="Arial" w:cs="Arial"/>
          <w:sz w:val="22"/>
          <w:szCs w:val="22"/>
        </w:rPr>
      </w:pPr>
      <w:r w:rsidRPr="00026097">
        <w:rPr>
          <w:rFonts w:ascii="Arial" w:hAnsi="Arial" w:cs="Arial"/>
          <w:sz w:val="22"/>
          <w:szCs w:val="22"/>
        </w:rPr>
        <w:t>Total: 33-35 months from September 2026, completion estimated July 2029 — consistent with the doctoral program's 3-year duration.</w:t>
      </w:r>
    </w:p>
    <w:p w14:paraId="4D2F0E1D" w14:textId="77777777" w:rsidR="00165472" w:rsidRPr="00026097" w:rsidRDefault="00E95977">
      <w:pPr>
        <w:pStyle w:val="Ttulo1"/>
        <w:spacing w:before="220" w:after="100"/>
        <w:rPr>
          <w:rFonts w:ascii="Arial" w:hAnsi="Arial" w:cs="Arial"/>
          <w:sz w:val="22"/>
          <w:szCs w:val="22"/>
        </w:rPr>
      </w:pPr>
      <w:r w:rsidRPr="00026097">
        <w:rPr>
          <w:rFonts w:ascii="Arial" w:hAnsi="Arial" w:cs="Arial"/>
          <w:b/>
          <w:bCs/>
          <w:sz w:val="22"/>
          <w:szCs w:val="22"/>
        </w:rPr>
        <w:t>10. Bibliography (References)</w:t>
      </w:r>
    </w:p>
    <w:p w14:paraId="213D4BC0"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Cade, B.S., Terrell, J.W., &amp; Schroeder, R.L. (1999). Estimating effects of limiting factors with regression quantiles. Ecology, 80(1), 311-323.</w:t>
      </w:r>
    </w:p>
    <w:p w14:paraId="478FB6BA"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Charlson, M.E., Pompei, P., Ales, K.L., &amp; MacKenzie, C.R. (1987). A new method of classifying prognostic comorbidity in longitudinal studies: development and validation. Journal of Chronic Diseases, 40(5), 373-383.</w:t>
      </w:r>
    </w:p>
    <w:p w14:paraId="6F61DD53"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Collins, G.S. et al. (2024). TRIPOD+AI statement. BMJ, 385, e078378.</w:t>
      </w:r>
    </w:p>
    <w:p w14:paraId="1874BE9A"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Dao, C.-T., Phan, N.M.T., Ding, J.-E., Wu, C., Restrepo, D., Luo, D., et al. (2026). CURENet: combining unified representations for efficient chronic disease prediction. Health Information Science and Systems, 14(1), 7. https://doi.org/10.1007/s13755-025-00396-w</w:t>
      </w:r>
    </w:p>
    <w:p w14:paraId="51C0E0C0"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DeLong, E.R., DeLong, D.M., &amp; Clarke-Pearson, D.L. (1988). Comparing the areas under two or more correlated receiver operating characteristic curves: a nonparametric approach. Biometrics, 44(3), 837-845.</w:t>
      </w:r>
    </w:p>
    <w:p w14:paraId="6F7B188A"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Flemyng, E. et al. (2025). Position statement on artificial intelligence (AI) use in evidence synthesis across Cochrane, the Campbell Collaboration, JBI and the Collaboration for Environmental Evidence 2025. Environmental Evidence, 14, 20.</w:t>
      </w:r>
    </w:p>
    <w:p w14:paraId="60694A76"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Gallo López, A. (2026). The biological state hypothesis: biological state as a systems-level constraint on human adaptive capacity. Frontiers in Physiology, 17, 1909109. https://doi.org/10.3389/fphys.2026.1909109</w:t>
      </w:r>
    </w:p>
    <w:p w14:paraId="425A7319"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Gallo López, A. (en preparación). Adaptive capacity and the differential vulnerability in the arbitration between deliberate and automatic control: a testable extension of the Biological State Hypothesis. Manuscrito en revisión, Frontiers in Human Neuroscience.</w:t>
      </w:r>
    </w:p>
    <w:p w14:paraId="22FE64F1"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Gallo López, A., García-Quispes, W.A., &amp; Laván Quiroz, D. (2026). Modelo genotípico para predecir sobrepeso y obesidad en población peruana mediante aprendizaje automático: estudio piloto. Revista de la Facultad de Medicina Humana, 25(3). https://doi.org/10.25176/RFMH.v25i3.8471</w:t>
      </w:r>
    </w:p>
    <w:p w14:paraId="147349BF"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Gregor, S., &amp; Hevner, A.R. (2013). Positioning and presenting design science research for maximum impact. MIS Quarterly, 37(2), 337-355.</w:t>
      </w:r>
    </w:p>
    <w:p w14:paraId="25E0CFD9"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Hanley, J.A., &amp; McNeil, B.J. (1982). The meaning and use of the area under the ROC curve. Radiology, 143(1), 29-36.</w:t>
      </w:r>
    </w:p>
    <w:p w14:paraId="3C9278CC"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Hevner, A.R., March, S.T., Park, J., &amp; Ram, S. (2004). Design science in information systems research. MIS Quarterly, 28(1), 75-105.</w:t>
      </w:r>
    </w:p>
    <w:p w14:paraId="5A30F017"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lastRenderedPageBreak/>
        <w:t>Horning, M. (2012). Constraint lines and performance envelopes in behavioral physiology: the case of the aerobic dive limit. Frontiers in Physiology, 3, 381.</w:t>
      </w:r>
    </w:p>
    <w:p w14:paraId="22779539"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Kapoor, S., &amp; Narayanan, A. (2023). Leakage and the reproducibility crisis in machine-learning-based science. Patterns, 4(9), 100804.</w:t>
      </w:r>
    </w:p>
    <w:p w14:paraId="60A470A4"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Laván, D., Argüelles, N., Rea, R., Morales, J., Montes, S., Huaman, D., Lluncor, A., Moyano, J., Peña, M., Herencia-Reyes, V., Guerra, A., Calderón, G., Vela-Ruiz, J.M., &amp; Gallo, A. (2026). Chronic military stress and glandular epithelial tumor biology: an integrative neuroendocrine–inflammatory framework with insights from microgravity gene discovery. Frontiers in Oncology, 16, 1817973.</w:t>
      </w:r>
    </w:p>
    <w:p w14:paraId="1F82219E"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Li, Y., Rao, S., Solares, J.R.A. et al. (2020). BEHRT: Transformer for Electronic Health Records. Scientific Reports, 10, 7155.</w:t>
      </w:r>
    </w:p>
    <w:p w14:paraId="5E505C4D"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Lim, B., Arık, S.Ö., Loeff, N., &amp; Pfister, T. (2021). Temporal Fusion Transformers for interpretable multi-horizon time series forecasting. International Journal of Forecasting, 37(4), 1748-1764.</w:t>
      </w:r>
    </w:p>
    <w:p w14:paraId="4BF1CEC3"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Nagin, D.S. (2005). Group-Based Modeling of Development. Harvard University Press.</w:t>
      </w:r>
    </w:p>
    <w:p w14:paraId="1695F20C"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SCORE2-Diabetes Working Group and the ESC Cardiovascular Risk Collaboration (2023). SCORE2-Diabetes: 10-year cardiovascular risk estimation in type 2 diabetes in Europe. European Heart Journal, 44(28), 2544-2556.</w:t>
      </w:r>
    </w:p>
    <w:p w14:paraId="11737CB8"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Steyerberg, E.W., &amp; Vergouwe, Y. (2014). Towards better clinical prediction models: seven steps for development and an ABCD for validation. European Heart Journal, 35(29), 1925-1931.</w:t>
      </w:r>
    </w:p>
    <w:p w14:paraId="168467D4"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Van Calster, B., Nieboer, D., Vergouwe, Y., De Cock, B., Pencina, M.J., &amp; Steyerberg, E.W. (2016). A calibration hierarchy for risk models was defined: from utopia to empirical data. Journal of Clinical Epidemiology, 74, 167-176.</w:t>
      </w:r>
    </w:p>
    <w:p w14:paraId="708FE057"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Van Calster, B., &amp; Vickers, A.J. (2015). Calibration of risk prediction models: impact on decision-analytic performance. Medical Decision Making, 35(2), 162-169.</w:t>
      </w:r>
    </w:p>
    <w:p w14:paraId="5A9E6FE0"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Vaswani, A. et al. (2017). Attention Is All You Need.</w:t>
      </w:r>
    </w:p>
    <w:p w14:paraId="0B36D166"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Vickers, A.J., &amp; Elkin, E.B. (2006). Decision curve analysis: a novel method for evaluating prediction models. Medical Decision Making, 26(6), 565-574.</w:t>
      </w:r>
    </w:p>
    <w:p w14:paraId="510BF48B" w14:textId="77777777" w:rsidR="00165472" w:rsidRPr="00026097" w:rsidRDefault="00E95977">
      <w:pPr>
        <w:spacing w:after="90" w:line="250" w:lineRule="auto"/>
        <w:ind w:left="360" w:hanging="360"/>
        <w:rPr>
          <w:rFonts w:ascii="Arial" w:hAnsi="Arial" w:cs="Arial"/>
          <w:sz w:val="22"/>
          <w:szCs w:val="22"/>
        </w:rPr>
      </w:pPr>
      <w:r w:rsidRPr="00026097">
        <w:rPr>
          <w:rFonts w:ascii="Arial" w:hAnsi="Arial" w:cs="Arial"/>
          <w:sz w:val="22"/>
          <w:szCs w:val="22"/>
        </w:rPr>
        <w:t>Wong, A., Otles, E., Donnelly, J.P. et al. (2021). External validation of a widely implemented proprietary sepsis prediction model in hospitalized patients. JAMA Internal Medicine, 181(8), 1065-1070.</w:t>
      </w:r>
    </w:p>
    <w:sectPr w:rsidR="00165472" w:rsidRPr="00026097">
      <w:pgSz w:w="12240" w:h="15840"/>
      <w:pgMar w:top="800" w:right="1100" w:bottom="8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1C762D"/>
    <w:multiLevelType w:val="hybridMultilevel"/>
    <w:tmpl w:val="D098D09A"/>
    <w:lvl w:ilvl="0" w:tplc="4A6EAC14">
      <w:start w:val="1"/>
      <w:numFmt w:val="bullet"/>
      <w:lvlText w:val="●"/>
      <w:lvlJc w:val="left"/>
      <w:pPr>
        <w:ind w:left="720" w:hanging="360"/>
      </w:pPr>
    </w:lvl>
    <w:lvl w:ilvl="1" w:tplc="EB46A07E">
      <w:start w:val="1"/>
      <w:numFmt w:val="bullet"/>
      <w:lvlText w:val="○"/>
      <w:lvlJc w:val="left"/>
      <w:pPr>
        <w:ind w:left="1440" w:hanging="360"/>
      </w:pPr>
    </w:lvl>
    <w:lvl w:ilvl="2" w:tplc="953CC44A">
      <w:start w:val="1"/>
      <w:numFmt w:val="bullet"/>
      <w:lvlText w:val="■"/>
      <w:lvlJc w:val="left"/>
      <w:pPr>
        <w:ind w:left="2160" w:hanging="360"/>
      </w:pPr>
    </w:lvl>
    <w:lvl w:ilvl="3" w:tplc="CADCD00E">
      <w:start w:val="1"/>
      <w:numFmt w:val="bullet"/>
      <w:lvlText w:val="●"/>
      <w:lvlJc w:val="left"/>
      <w:pPr>
        <w:ind w:left="2880" w:hanging="360"/>
      </w:pPr>
    </w:lvl>
    <w:lvl w:ilvl="4" w:tplc="4B6847EE">
      <w:start w:val="1"/>
      <w:numFmt w:val="bullet"/>
      <w:lvlText w:val="○"/>
      <w:lvlJc w:val="left"/>
      <w:pPr>
        <w:ind w:left="3600" w:hanging="360"/>
      </w:pPr>
    </w:lvl>
    <w:lvl w:ilvl="5" w:tplc="E5487EE4">
      <w:start w:val="1"/>
      <w:numFmt w:val="bullet"/>
      <w:lvlText w:val="■"/>
      <w:lvlJc w:val="left"/>
      <w:pPr>
        <w:ind w:left="4320" w:hanging="360"/>
      </w:pPr>
    </w:lvl>
    <w:lvl w:ilvl="6" w:tplc="70CE1A22">
      <w:start w:val="1"/>
      <w:numFmt w:val="bullet"/>
      <w:lvlText w:val="●"/>
      <w:lvlJc w:val="left"/>
      <w:pPr>
        <w:ind w:left="5040" w:hanging="360"/>
      </w:pPr>
    </w:lvl>
    <w:lvl w:ilvl="7" w:tplc="CE9CDB46">
      <w:start w:val="1"/>
      <w:numFmt w:val="bullet"/>
      <w:lvlText w:val="●"/>
      <w:lvlJc w:val="left"/>
      <w:pPr>
        <w:ind w:left="5760" w:hanging="360"/>
      </w:pPr>
    </w:lvl>
    <w:lvl w:ilvl="8" w:tplc="858AA88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472"/>
    <w:rsid w:val="00026097"/>
    <w:rsid w:val="000942A3"/>
    <w:rsid w:val="00165472"/>
    <w:rsid w:val="002B1661"/>
    <w:rsid w:val="00583F2F"/>
    <w:rsid w:val="00AD04DD"/>
    <w:rsid w:val="00B11136"/>
    <w:rsid w:val="00C43496"/>
    <w:rsid w:val="00C54E6B"/>
    <w:rsid w:val="00D07034"/>
    <w:rsid w:val="00E95977"/>
    <w:rsid w:val="00F45B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6F6FF"/>
  <w15:docId w15:val="{2749B257-9340-44BD-8C49-E2249C8F4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5346</Words>
  <Characters>29404</Characters>
  <Application>Microsoft Office Word</Application>
  <DocSecurity>0</DocSecurity>
  <Lines>245</Lines>
  <Paragraphs>69</Paragraphs>
  <ScaleCrop>false</ScaleCrop>
  <Company/>
  <LinksUpToDate>false</LinksUpToDate>
  <CharactersWithSpaces>34681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Aly Gallo Lopez</cp:lastModifiedBy>
  <cp:revision>3</cp:revision>
  <dcterms:created xsi:type="dcterms:W3CDTF">2026-10-06T01:41:00Z</dcterms:created>
  <dcterms:modified xsi:type="dcterms:W3CDTF">2026-10-07T18:57:00Z</dcterms:modified>
</cp:coreProperties>
</file>