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3366"/>
          <w:sz w:val="56"/>
        </w:rPr>
        <w:t>AWDP PDF Update Template</w:t>
      </w:r>
    </w:p>
    <w:p>
      <w:pPr>
        <w:jc w:val="center"/>
      </w:pPr>
      <w:r>
        <w:rPr>
          <w:b w:val="0"/>
          <w:color w:val="666666"/>
          <w:sz w:val="28"/>
        </w:rPr>
        <w:t>Reusable Brand-Compliant PDF Resource Template</w:t>
      </w:r>
    </w:p>
    <w:p>
      <w:pPr>
        <w:jc w:val="center"/>
      </w:pPr>
      <w:r>
        <w:rPr>
          <w:b/>
          <w:color w:val="003366"/>
          <w:sz w:val="24"/>
        </w:rPr>
        <w:t>All Window Door Parts Group (AWDP)</w:t>
      </w:r>
    </w:p>
    <w:p/>
    <w:p>
      <w:pPr>
        <w:jc w:val="center"/>
      </w:pPr>
      <w:r>
        <w:rPr>
          <w:color w:val="666666"/>
          <w:sz w:val="20"/>
        </w:rPr>
        <w:t>Version: v1.0  |  Effective: April 25, 2026</w:t>
      </w:r>
    </w:p>
    <w:p>
      <w:pPr>
        <w:jc w:val="center"/>
      </w:pPr>
      <w:r>
        <w:rPr>
          <w:color w:val="666666"/>
          <w:sz w:val="20"/>
        </w:rPr>
        <w:t>Document Type: Internal Operations Template</w:t>
      </w:r>
    </w:p>
    <w:p>
      <w:pPr>
        <w:jc w:val="center"/>
      </w:pPr>
      <w:r>
        <w:rPr>
          <w:color w:val="666666"/>
          <w:sz w:val="20"/>
        </w:rPr>
        <w:t>Maintained by: AWDP Research Department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1: Brand Identity Specifications</w:t>
      </w:r>
    </w:p>
    <w:p>
      <w:pPr>
        <w:pStyle w:val="Heading2"/>
      </w:pPr>
      <w:r>
        <w:rPr>
          <w:color w:val="003366"/>
        </w:rPr>
        <w:t>1.1 Header/Footer Rainbow Logo Placement</w:t>
      </w:r>
    </w:p>
    <w:p>
      <w:r>
        <w:rPr>
          <w:b/>
        </w:rPr>
        <w:t>HEADER SPECIFICATION</w:t>
      </w:r>
    </w:p>
    <w:p>
      <w:pPr>
        <w:pStyle w:val="ListBullet"/>
      </w:pPr>
      <w:r>
        <w:t>Rainbow gradient bar at top of every PDF page</w:t>
      </w:r>
    </w:p>
    <w:p>
      <w:pPr>
        <w:pStyle w:val="ListBullet"/>
      </w:pPr>
      <w:r>
        <w:t>Height: 8px gradient bar spanning full page width</w:t>
      </w:r>
    </w:p>
    <w:p>
      <w:pPr>
        <w:pStyle w:val="ListBullet"/>
      </w:pPr>
      <w:r>
        <w:t>Colors (left to right): #FF0000 (Red) → #FF7700 (Orange) → #FFDD00 (Yellow) → #00CC44 (Green) → #0066FF (Blue) → #8800CC (Purple)</w:t>
      </w:r>
    </w:p>
    <w:p>
      <w:pPr>
        <w:pStyle w:val="ListBullet"/>
      </w:pPr>
      <w:r>
        <w:t>Position: Top edge, 0px margin, full bleed</w:t>
      </w:r>
    </w:p>
    <w:p>
      <w:pPr>
        <w:pStyle w:val="ListBullet"/>
      </w:pPr>
      <w:r>
        <w:t>Below bar: 12px spacing, then AWDP logo (left-aligned) and page title (right-aligned)</w:t>
      </w:r>
    </w:p>
    <w:p/>
    <w:p>
      <w:r>
        <w:rPr>
          <w:b/>
        </w:rPr>
        <w:t>FOOTER SPECIFICATION</w:t>
      </w:r>
    </w:p>
    <w:p>
      <w:pPr>
        <w:pStyle w:val="ListBullet"/>
      </w:pPr>
      <w:r>
        <w:t>Matching rainbow gradient bar at bottom of every page</w:t>
      </w:r>
    </w:p>
    <w:p>
      <w:pPr>
        <w:pStyle w:val="ListBullet"/>
      </w:pPr>
      <w:r>
        <w:t>Above bar: Copyright line centered — "© [YEAR] All Window Door Parts Group | AWDP"</w:t>
      </w:r>
    </w:p>
    <w:p>
      <w:pPr>
        <w:pStyle w:val="ListBullet"/>
      </w:pPr>
      <w:r>
        <w:t>Page numbering: Right-aligned, "Page X of Y" format</w:t>
      </w:r>
    </w:p>
    <w:p>
      <w:pPr>
        <w:pStyle w:val="Heading2"/>
      </w:pPr>
      <w:r>
        <w:rPr>
          <w:color w:val="003366"/>
        </w:rPr>
        <w:t>1.2 Color Palette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  <w:sz w:val="18"/>
              </w:rPr>
              <w:t>Color Name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  <w:sz w:val="18"/>
              </w:rPr>
              <w:t>Hex Code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Navy Blue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#003366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Headers, primary text, table headers</w:t>
            </w:r>
          </w:p>
        </w:tc>
      </w:tr>
      <w:tr>
        <w:tc>
          <w:tcPr>
            <w:tcW w:type="dxa" w:w="2340"/>
            <w:shd w:fill="E8F0FE"/>
          </w:tcPr>
          <w:p>
            <w:r>
              <w:rPr>
                <w:sz w:val="18"/>
              </w:rPr>
              <w:t>Secondary</w:t>
            </w:r>
          </w:p>
        </w:tc>
        <w:tc>
          <w:tcPr>
            <w:tcW w:type="dxa" w:w="2340"/>
            <w:shd w:fill="E8F0FE"/>
          </w:tcPr>
          <w:p>
            <w:r>
              <w:rPr>
                <w:sz w:val="18"/>
              </w:rPr>
              <w:t>Deep Blue</w:t>
            </w:r>
          </w:p>
        </w:tc>
        <w:tc>
          <w:tcPr>
            <w:tcW w:type="dxa" w:w="2340"/>
            <w:shd w:fill="E8F0FE"/>
          </w:tcPr>
          <w:p>
            <w:r>
              <w:rPr>
                <w:sz w:val="18"/>
              </w:rPr>
              <w:t>#1A3C6E</w:t>
            </w:r>
          </w:p>
        </w:tc>
        <w:tc>
          <w:tcPr>
            <w:tcW w:type="dxa" w:w="2340"/>
            <w:shd w:fill="E8F0FE"/>
          </w:tcPr>
          <w:p>
            <w:r>
              <w:rPr>
                <w:sz w:val="18"/>
              </w:rPr>
              <w:t>Accent borders, callout boxes, links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Accent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Bright Blue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#0066FF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CTAs, highlights, active status badges</w:t>
            </w:r>
          </w:p>
        </w:tc>
      </w:tr>
      <w:tr>
        <w:tc>
          <w:tcPr>
            <w:tcW w:type="dxa" w:w="2340"/>
            <w:shd w:fill="E8F0FE"/>
          </w:tcPr>
          <w:p>
            <w:r>
              <w:rPr>
                <w:sz w:val="18"/>
              </w:rPr>
              <w:t>Background</w:t>
            </w:r>
          </w:p>
        </w:tc>
        <w:tc>
          <w:tcPr>
            <w:tcW w:type="dxa" w:w="2340"/>
            <w:shd w:fill="E8F0FE"/>
          </w:tcPr>
          <w:p>
            <w:r>
              <w:rPr>
                <w:sz w:val="18"/>
              </w:rPr>
              <w:t>Light Blue</w:t>
            </w:r>
          </w:p>
        </w:tc>
        <w:tc>
          <w:tcPr>
            <w:tcW w:type="dxa" w:w="2340"/>
            <w:shd w:fill="E8F0FE"/>
          </w:tcPr>
          <w:p>
            <w:r>
              <w:rPr>
                <w:sz w:val="18"/>
              </w:rPr>
              <w:t>#E8F0FE</w:t>
            </w:r>
          </w:p>
        </w:tc>
        <w:tc>
          <w:tcPr>
            <w:tcW w:type="dxa" w:w="2340"/>
            <w:shd w:fill="E8F0FE"/>
          </w:tcPr>
          <w:p>
            <w:r>
              <w:rPr>
                <w:sz w:val="18"/>
              </w:rPr>
              <w:t>Table alternating rows, callout fills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Background Alt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Soft Gray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#F5F5F5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Page background, card backgrounds</w:t>
            </w:r>
          </w:p>
        </w:tc>
      </w:tr>
      <w:tr>
        <w:tc>
          <w:tcPr>
            <w:tcW w:type="dxa" w:w="2340"/>
            <w:shd w:fill="E8F0FE"/>
          </w:tcPr>
          <w:p>
            <w:r>
              <w:rPr>
                <w:sz w:val="18"/>
              </w:rPr>
              <w:t>Text Primary</w:t>
            </w:r>
          </w:p>
        </w:tc>
        <w:tc>
          <w:tcPr>
            <w:tcW w:type="dxa" w:w="2340"/>
            <w:shd w:fill="E8F0FE"/>
          </w:tcPr>
          <w:p>
            <w:r>
              <w:rPr>
                <w:sz w:val="18"/>
              </w:rPr>
              <w:t>Dark Charcoal</w:t>
            </w:r>
          </w:p>
        </w:tc>
        <w:tc>
          <w:tcPr>
            <w:tcW w:type="dxa" w:w="2340"/>
            <w:shd w:fill="E8F0FE"/>
          </w:tcPr>
          <w:p>
            <w:r>
              <w:rPr>
                <w:sz w:val="18"/>
              </w:rPr>
              <w:t>#333333</w:t>
            </w:r>
          </w:p>
        </w:tc>
        <w:tc>
          <w:tcPr>
            <w:tcW w:type="dxa" w:w="2340"/>
            <w:shd w:fill="E8F0FE"/>
          </w:tcPr>
          <w:p>
            <w:r>
              <w:rPr>
                <w:sz w:val="18"/>
              </w:rPr>
              <w:t>Body text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Text Secondary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Medium Gray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#666666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Subtitles, captions, metadata</w:t>
            </w:r>
          </w:p>
        </w:tc>
      </w:tr>
      <w:tr>
        <w:tc>
          <w:tcPr>
            <w:tcW w:type="dxa" w:w="2340"/>
            <w:shd w:fill="E8F0FE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2340"/>
            <w:shd w:fill="E8F0FE"/>
          </w:tcPr>
          <w:p>
            <w:r>
              <w:rPr>
                <w:sz w:val="18"/>
              </w:rPr>
              <w:t>Green</w:t>
            </w:r>
          </w:p>
        </w:tc>
        <w:tc>
          <w:tcPr>
            <w:tcW w:type="dxa" w:w="2340"/>
            <w:shd w:fill="E8F0FE"/>
          </w:tcPr>
          <w:p>
            <w:r>
              <w:rPr>
                <w:sz w:val="18"/>
              </w:rPr>
              <w:t>#28A745</w:t>
            </w:r>
          </w:p>
        </w:tc>
        <w:tc>
          <w:tcPr>
            <w:tcW w:type="dxa" w:w="2340"/>
            <w:shd w:fill="E8F0FE"/>
          </w:tcPr>
          <w:p>
            <w:r>
              <w:rPr>
                <w:sz w:val="18"/>
              </w:rPr>
              <w:t>Active status, verified badges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Warning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#FFC107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Pending review status</w:t>
            </w:r>
          </w:p>
        </w:tc>
      </w:tr>
      <w:tr>
        <w:tc>
          <w:tcPr>
            <w:tcW w:type="dxa" w:w="2340"/>
            <w:shd w:fill="E8F0FE"/>
          </w:tcPr>
          <w:p>
            <w:r>
              <w:rPr>
                <w:sz w:val="18"/>
              </w:rPr>
              <w:t>Danger</w:t>
            </w:r>
          </w:p>
        </w:tc>
        <w:tc>
          <w:tcPr>
            <w:tcW w:type="dxa" w:w="2340"/>
            <w:shd w:fill="E8F0FE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2340"/>
            <w:shd w:fill="E8F0FE"/>
          </w:tcPr>
          <w:p>
            <w:r>
              <w:rPr>
                <w:sz w:val="18"/>
              </w:rPr>
              <w:t>#DC3545</w:t>
            </w:r>
          </w:p>
        </w:tc>
        <w:tc>
          <w:tcPr>
            <w:tcW w:type="dxa" w:w="2340"/>
            <w:shd w:fill="E8F0FE"/>
          </w:tcPr>
          <w:p>
            <w:r>
              <w:rPr>
                <w:sz w:val="18"/>
              </w:rPr>
              <w:t>Archived/deprecated status</w:t>
            </w:r>
          </w:p>
        </w:tc>
      </w:tr>
    </w:tbl>
    <w:p>
      <w:pPr>
        <w:pStyle w:val="Heading2"/>
      </w:pPr>
      <w:r>
        <w:rPr>
          <w:color w:val="003366"/>
        </w:rPr>
        <w:t>1.3 Typography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8"/>
              </w:rPr>
              <w:t>Font Family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8"/>
              </w:rPr>
              <w:t>Color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Page Title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Arial Black / Montserrat Bold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20pt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#003366</w:t>
            </w:r>
          </w:p>
        </w:tc>
      </w:tr>
      <w:tr>
        <w:tc>
          <w:tcPr>
            <w:tcW w:type="dxa" w:w="1872"/>
            <w:shd w:fill="E8F0FE"/>
          </w:tcPr>
          <w:p>
            <w:r>
              <w:rPr>
                <w:sz w:val="18"/>
              </w:rPr>
              <w:t>Section Header</w:t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  <w:t>Arial Bold / Montserrat SemiBold</w:t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  <w:t>14pt</w:t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  <w:t>#003366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Subsection Header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Arial Bold / Montserrat Medium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12pt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#1A3C6E</w:t>
            </w:r>
          </w:p>
        </w:tc>
      </w:tr>
      <w:tr>
        <w:tc>
          <w:tcPr>
            <w:tcW w:type="dxa" w:w="1872"/>
            <w:shd w:fill="E8F0FE"/>
          </w:tcPr>
          <w:p>
            <w:r>
              <w:rPr>
                <w:sz w:val="18"/>
              </w:rPr>
              <w:t>Body Text</w:t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  <w:t>Arial / Open Sans</w:t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  <w:t>11pt</w:t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  <w:t>#333333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Table Header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Arial Bold / Open Sans Bold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10pt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#FFFFFF on #003366</w:t>
            </w:r>
          </w:p>
        </w:tc>
      </w:tr>
      <w:tr>
        <w:tc>
          <w:tcPr>
            <w:tcW w:type="dxa" w:w="1872"/>
            <w:shd w:fill="E8F0FE"/>
          </w:tcPr>
          <w:p>
            <w:r>
              <w:rPr>
                <w:sz w:val="18"/>
              </w:rPr>
              <w:t>Table Body</w:t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  <w:t>Arial / Open Sans</w:t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  <w:t>10pt</w:t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  <w:t>#333333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Caption/Footer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Arial / Open Sans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9pt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#666666</w:t>
            </w:r>
          </w:p>
        </w:tc>
      </w:tr>
      <w:tr>
        <w:tc>
          <w:tcPr>
            <w:tcW w:type="dxa" w:w="1872"/>
            <w:shd w:fill="E8F0FE"/>
          </w:tcPr>
          <w:p>
            <w:r>
              <w:rPr>
                <w:sz w:val="18"/>
              </w:rPr>
              <w:t>Code/Slug</w:t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  <w:t>Consolas / Source Code Pro</w:t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  <w:t>10pt</w:t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  <w:t>#1A3C6E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Section 2: Five Reusable Content Blocks</w:t>
      </w:r>
    </w:p>
    <w:p>
      <w:pPr>
        <w:pStyle w:val="Heading2"/>
      </w:pPr>
      <w:r>
        <w:rPr>
          <w:color w:val="003366"/>
        </w:rPr>
        <w:t>Content Block 1: PDF Cover Page Template</w:t>
      </w:r>
    </w:p>
    <w:p>
      <w:r>
        <w:rPr>
          <w:b/>
        </w:rPr>
        <w:t xml:space="preserve">Purpose: </w:t>
      </w:r>
      <w:r>
        <w:t>Standard cover page for any new AWDP PDF resource.</w:t>
      </w:r>
    </w:p>
    <w:p/>
    <w:p>
      <w:pPr>
        <w:pStyle w:val="ListBullet"/>
      </w:pPr>
      <w:r>
        <w:t>[RAINBOW HEADER BAR] — Full-width 8px gradient per Section 1.1</w:t>
      </w:r>
    </w:p>
    <w:p>
      <w:pPr>
        <w:pStyle w:val="ListBullet"/>
      </w:pPr>
      <w:r>
        <w:t>[LOGO PLACEHOLDER] — AWDP logo, 200px wide, centered</w:t>
      </w:r>
    </w:p>
    <w:p>
      <w:pPr>
        <w:pStyle w:val="ListBullet"/>
      </w:pPr>
      <w:r>
        <w:t>[PDF TITLE] — 24pt bold navy, centered</w:t>
      </w:r>
    </w:p>
    <w:p>
      <w:pPr>
        <w:pStyle w:val="ListBullet"/>
      </w:pPr>
      <w:r>
        <w:t>[SUBTITLE / CATEGORY] — 14pt gray, centered</w:t>
      </w:r>
    </w:p>
    <w:p>
      <w:pPr>
        <w:pStyle w:val="ListBullet"/>
      </w:pPr>
      <w:r>
        <w:t>[BRAND LINE] — BiltBest / Marvin / Weathershield / etc., 12pt</w:t>
      </w:r>
    </w:p>
    <w:p>
      <w:pPr>
        <w:pStyle w:val="ListBullet"/>
      </w:pPr>
      <w:r>
        <w:t>[VERSION] — "v[X.X] | [Month Year]"</w:t>
      </w:r>
    </w:p>
    <w:p>
      <w:pPr>
        <w:pStyle w:val="ListBullet"/>
      </w:pPr>
      <w:r>
        <w:t>[QR CODE PLACEHOLDER] — 120×120px dashed border box, labeled "QR: Links to online version"</w:t>
      </w:r>
    </w:p>
    <w:p>
      <w:pPr>
        <w:pStyle w:val="ListBullet"/>
      </w:pPr>
      <w:r>
        <w:t>[RAINBOW FOOTER BAR] — Matching gradient per Section 1.1</w:t>
      </w:r>
    </w:p>
    <w:p/>
    <w:p>
      <w:pPr>
        <w:pStyle w:val="Heading2"/>
      </w:pPr>
      <w:r>
        <w:rPr>
          <w:color w:val="003366"/>
        </w:rPr>
        <w:t>Content Block 2: Parts Identification Table Template</w:t>
      </w:r>
    </w:p>
    <w:p>
      <w:r>
        <w:rPr>
          <w:b/>
        </w:rPr>
        <w:t xml:space="preserve">Purpose: </w:t>
      </w:r>
      <w:r>
        <w:t>Standardized parts listing table for all identification pages.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03366"/>
          </w:tcPr>
          <w:p>
            <w:r>
              <w:rPr>
                <w:b/>
                <w:color w:val="FFFFFF"/>
                <w:sz w:val="18"/>
              </w:rPr>
              <w:t>Part Number</w:t>
            </w:r>
          </w:p>
        </w:tc>
        <w:tc>
          <w:tcPr>
            <w:tcW w:type="dxa" w:w="1560"/>
            <w:shd w:fill="003366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560"/>
            <w:shd w:fill="003366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560"/>
            <w:shd w:fill="003366"/>
          </w:tcPr>
          <w:p>
            <w:r>
              <w:rPr>
                <w:b/>
                <w:color w:val="FFFFFF"/>
                <w:sz w:val="18"/>
              </w:rPr>
              <w:t>Compatible Models</w:t>
            </w:r>
          </w:p>
        </w:tc>
        <w:tc>
          <w:tcPr>
            <w:tcW w:type="dxa" w:w="1560"/>
            <w:shd w:fill="003366"/>
          </w:tcPr>
          <w:p>
            <w:r>
              <w:rPr>
                <w:b/>
                <w:color w:val="FFFFFF"/>
                <w:sz w:val="18"/>
              </w:rPr>
              <w:t>Image Ref</w:t>
            </w:r>
          </w:p>
        </w:tc>
        <w:tc>
          <w:tcPr>
            <w:tcW w:type="dxa" w:w="1560"/>
            <w:shd w:fill="003366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[PART-001]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[Part description]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[Category]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[Model list]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[IMG-REF]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[Active/Discontinued]</w:t>
            </w:r>
          </w:p>
        </w:tc>
      </w:tr>
      <w:tr>
        <w:tc>
          <w:tcPr>
            <w:tcW w:type="dxa" w:w="1560"/>
            <w:shd w:fill="E8F0FE"/>
          </w:tcPr>
          <w:p>
            <w:r>
              <w:rPr>
                <w:sz w:val="18"/>
              </w:rPr>
              <w:t>[PART-002]</w:t>
            </w:r>
          </w:p>
        </w:tc>
        <w:tc>
          <w:tcPr>
            <w:tcW w:type="dxa" w:w="1560"/>
            <w:shd w:fill="E8F0FE"/>
          </w:tcPr>
          <w:p>
            <w:r>
              <w:rPr>
                <w:sz w:val="18"/>
              </w:rPr>
              <w:t>[Part description]</w:t>
            </w:r>
          </w:p>
        </w:tc>
        <w:tc>
          <w:tcPr>
            <w:tcW w:type="dxa" w:w="1560"/>
            <w:shd w:fill="E8F0FE"/>
          </w:tcPr>
          <w:p>
            <w:r>
              <w:rPr>
                <w:sz w:val="18"/>
              </w:rPr>
              <w:t>[Category]</w:t>
            </w:r>
          </w:p>
        </w:tc>
        <w:tc>
          <w:tcPr>
            <w:tcW w:type="dxa" w:w="1560"/>
            <w:shd w:fill="E8F0FE"/>
          </w:tcPr>
          <w:p>
            <w:r>
              <w:rPr>
                <w:sz w:val="18"/>
              </w:rPr>
              <w:t>[Model list]</w:t>
            </w:r>
          </w:p>
        </w:tc>
        <w:tc>
          <w:tcPr>
            <w:tcW w:type="dxa" w:w="1560"/>
            <w:shd w:fill="E8F0FE"/>
          </w:tcPr>
          <w:p>
            <w:r>
              <w:rPr>
                <w:sz w:val="18"/>
              </w:rPr>
              <w:t>[IMG-REF]</w:t>
            </w:r>
          </w:p>
        </w:tc>
        <w:tc>
          <w:tcPr>
            <w:tcW w:type="dxa" w:w="1560"/>
            <w:shd w:fill="E8F0FE"/>
          </w:tcPr>
          <w:p>
            <w:r>
              <w:rPr>
                <w:sz w:val="18"/>
              </w:rPr>
              <w:t>[Active/Discontinued]</w:t>
            </w:r>
          </w:p>
        </w:tc>
      </w:tr>
    </w:tbl>
    <w:p>
      <w:r>
        <w:rPr>
          <w:b/>
        </w:rPr>
        <w:t xml:space="preserve">Status badges: </w:t>
      </w:r>
      <w:r>
        <w:t>Green = Active  |  Amber = Limited  |  Red = Discontinued</w:t>
      </w:r>
    </w:p>
    <w:p/>
    <w:p>
      <w:pPr>
        <w:pStyle w:val="Heading2"/>
      </w:pPr>
      <w:r>
        <w:rPr>
          <w:color w:val="003366"/>
        </w:rPr>
        <w:t>Content Block 3: Measurement Guide Template</w:t>
      </w:r>
    </w:p>
    <w:p>
      <w:r>
        <w:rPr>
          <w:b/>
        </w:rPr>
        <w:t xml:space="preserve">Purpose: </w:t>
      </w:r>
      <w:r>
        <w:t>How-to-measure instruction pages.</w:t>
      </w:r>
    </w:p>
    <w:p/>
    <w:p>
      <w:r>
        <w:rPr>
          <w:b/>
        </w:rPr>
        <w:t xml:space="preserve">Title: </w:t>
      </w:r>
      <w:r>
        <w:t>"How To Measure: [Component Name]"</w:t>
      </w:r>
    </w:p>
    <w:p>
      <w:r>
        <w:rPr>
          <w:b/>
        </w:rPr>
        <w:t xml:space="preserve">Tools needed: </w:t>
      </w:r>
      <w:r>
        <w:t>Tape measure, pencil, notepad</w:t>
      </w:r>
    </w:p>
    <w:p/>
    <w:p>
      <w:pPr>
        <w:pStyle w:val="ListNumber"/>
      </w:pPr>
      <w:r>
        <w:t>Step 1: [Instruction with measurement diagram reference]</w:t>
      </w:r>
    </w:p>
    <w:p>
      <w:pPr>
        <w:pStyle w:val="ListNumber"/>
      </w:pPr>
      <w:r>
        <w:t>Step 2: [Instruction with measurement diagram reference]</w:t>
      </w:r>
    </w:p>
    <w:p>
      <w:pPr>
        <w:pStyle w:val="ListNumber"/>
      </w:pPr>
      <w:r>
        <w:t>Step 3: [Instruction with measurement diagram reference]</w:t>
      </w:r>
    </w:p>
    <w:p>
      <w:pPr>
        <w:pStyle w:val="ListNumber"/>
      </w:pPr>
      <w:r>
        <w:t>Step 4: [Instruction with measurement diagram reference]</w:t>
      </w:r>
    </w:p>
    <w:p>
      <w:pPr>
        <w:pStyle w:val="ListNumber"/>
      </w:pPr>
      <w:r>
        <w:t>Step 5: [Instruction with measurement diagram reference]</w:t>
      </w:r>
    </w:p>
    <w:p/>
    <w:p>
      <w:r>
        <w:t>[DIAGRAM PLACEHOLDER] — 400×300px dashed box labeled "[DIAGRAM: Component measurement points]"</w:t>
      </w:r>
    </w:p>
    <w:p>
      <w:r>
        <w:t>[IMPORTANT CALLOUT BOX] — Blue border (#1A3C6E), light blue fill (#E8F0FE): "Include tolerance ranges and common measurement errors"</w:t>
      </w:r>
    </w:p>
    <w:p>
      <w:r>
        <w:t>[QR CODE PLACEHOLDER] — 80×80px dashed box, labeled "QR: Video tutorial link"</w:t>
      </w:r>
    </w:p>
    <w:p>
      <w:r>
        <w:br w:type="page"/>
      </w:r>
    </w:p>
    <w:p>
      <w:pPr>
        <w:pStyle w:val="Heading2"/>
      </w:pPr>
      <w:r>
        <w:rPr>
          <w:color w:val="003366"/>
        </w:rPr>
        <w:t>Content Block 4: Cross-Reference Compatibility Matrix</w:t>
      </w:r>
    </w:p>
    <w:p>
      <w:r>
        <w:rPr>
          <w:b/>
        </w:rPr>
        <w:t xml:space="preserve">Purpose: </w:t>
      </w:r>
      <w:r>
        <w:t>Multi-brand parts compatibility reference.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8"/>
              </w:rPr>
              <w:t>BiltBest Part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8"/>
              </w:rPr>
              <w:t>Marvin Equivalent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8"/>
              </w:rPr>
              <w:t>Weathershield Equiv.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8"/>
              </w:rPr>
              <w:t>Oldach Equivalent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[BB Part #]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[Marvin #]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[WS #]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[Oldach #]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[Compatibility notes]</w:t>
            </w:r>
          </w:p>
        </w:tc>
      </w:tr>
      <w:tr>
        <w:tc>
          <w:tcPr>
            <w:tcW w:type="dxa" w:w="1872"/>
            <w:shd w:fill="E8F0FE"/>
          </w:tcPr>
          <w:p>
            <w:r>
              <w:rPr>
                <w:sz w:val="18"/>
              </w:rPr>
              <w:t>[BB Part #]</w:t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  <w:t>[Marvin #]</w:t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  <w:t>[WS #]</w:t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  <w:t>[Oldach #]</w:t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  <w:t>[Compatibility notes]</w:t>
            </w:r>
          </w:p>
        </w:tc>
      </w:tr>
    </w:tbl>
    <w:p>
      <w:r>
        <w:rPr>
          <w:b/>
        </w:rPr>
        <w:t xml:space="preserve">Note: </w:t>
      </w:r>
      <w:r>
        <w:t>Add columns for additional brands as needed. Mark direct replacements vs. approximate matches.</w:t>
      </w:r>
    </w:p>
    <w:p/>
    <w:p>
      <w:pPr>
        <w:pStyle w:val="Heading2"/>
      </w:pPr>
      <w:r>
        <w:rPr>
          <w:color w:val="003366"/>
        </w:rPr>
        <w:t>Content Block 5: Contact &amp; Support Footer Block</w:t>
      </w:r>
    </w:p>
    <w:p>
      <w:r>
        <w:rPr>
          <w:b/>
        </w:rPr>
        <w:t xml:space="preserve">Purpose: </w:t>
      </w:r>
      <w:r>
        <w:t>Standardized support information for every PDF.</w:t>
      </w:r>
    </w:p>
    <w:p/>
    <w:p>
      <w:pPr>
        <w:pStyle w:val="ListBullet"/>
      </w:pPr>
      <w:r>
        <w:t>LEFT COLUMN:</w:t>
      </w:r>
    </w:p>
    <w:p>
      <w:r>
        <w:t xml:space="preserve">  "Need Help? Contact AWDP"</w:t>
      </w:r>
    </w:p>
    <w:p>
      <w:r>
        <w:t xml:space="preserve">  Email: info@biltbestwindowparts.com</w:t>
      </w:r>
    </w:p>
    <w:p>
      <w:r>
        <w:t xml:space="preserve">  Phone: 719-531-0961</w:t>
      </w:r>
    </w:p>
    <w:p>
      <w:r>
        <w:t xml:space="preserve">  Web: bfrparts.com</w:t>
      </w:r>
    </w:p>
    <w:p/>
    <w:p>
      <w:pPr>
        <w:pStyle w:val="ListBullet"/>
      </w:pPr>
      <w:r>
        <w:t>RIGHT COLUMN:</w:t>
      </w:r>
    </w:p>
    <w:p>
      <w:r>
        <w:t xml:space="preserve">  [QR CODE PLACEHOLDER] — 100×100px dashed box, "QR: Scan for Parts ID Help"</w:t>
      </w:r>
    </w:p>
    <w:p>
      <w:r>
        <w:t xml:space="preserve">  "Visit alltypewindowdoorparts.com for full catalog"</w:t>
      </w:r>
    </w:p>
    <w:p/>
    <w:p>
      <w:r>
        <w:t>BOTTOM LINE: "Member of the AllWindowDoorParts Group (AWDP) | USA-based parts specialists"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3: QR Code Placement Guide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  <w:sz w:val="18"/>
              </w:rPr>
              <w:t>QR Location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  <w:sz w:val="18"/>
              </w:rPr>
              <w:t>Links To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  <w:sz w:val="18"/>
              </w:rPr>
              <w:t>Size &amp; Position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Cover Page QR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Links to online PDF version or product page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120×120px, bottom-right of cover</w:t>
            </w:r>
          </w:p>
        </w:tc>
      </w:tr>
      <w:tr>
        <w:tc>
          <w:tcPr>
            <w:tcW w:type="dxa" w:w="3120"/>
            <w:shd w:fill="E8F0FE"/>
          </w:tcPr>
          <w:p>
            <w:r>
              <w:rPr>
                <w:sz w:val="18"/>
              </w:rPr>
              <w:t>Measurement Pages QR</w:t>
            </w:r>
          </w:p>
        </w:tc>
        <w:tc>
          <w:tcPr>
            <w:tcW w:type="dxa" w:w="3120"/>
            <w:shd w:fill="E8F0FE"/>
          </w:tcPr>
          <w:p>
            <w:r>
              <w:rPr>
                <w:sz w:val="18"/>
              </w:rPr>
              <w:t>Links to video tutorial for that measurement</w:t>
            </w:r>
          </w:p>
        </w:tc>
        <w:tc>
          <w:tcPr>
            <w:tcW w:type="dxa" w:w="3120"/>
            <w:shd w:fill="E8F0FE"/>
          </w:tcPr>
          <w:p>
            <w:r>
              <w:rPr>
                <w:sz w:val="18"/>
              </w:rPr>
              <w:t>80×80px, near diagram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Parts Table QR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Links to online ordering page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80×80px, top-right of table section</w:t>
            </w:r>
          </w:p>
        </w:tc>
      </w:tr>
      <w:tr>
        <w:tc>
          <w:tcPr>
            <w:tcW w:type="dxa" w:w="3120"/>
            <w:shd w:fill="E8F0FE"/>
          </w:tcPr>
          <w:p>
            <w:r>
              <w:rPr>
                <w:sz w:val="18"/>
              </w:rPr>
              <w:t>Footer QR</w:t>
            </w:r>
          </w:p>
        </w:tc>
        <w:tc>
          <w:tcPr>
            <w:tcW w:type="dxa" w:w="3120"/>
            <w:shd w:fill="E8F0FE"/>
          </w:tcPr>
          <w:p>
            <w:r>
              <w:rPr>
                <w:sz w:val="18"/>
              </w:rPr>
              <w:t>Links to general Parts ID Help page</w:t>
            </w:r>
          </w:p>
        </w:tc>
        <w:tc>
          <w:tcPr>
            <w:tcW w:type="dxa" w:w="3120"/>
            <w:shd w:fill="E8F0FE"/>
          </w:tcPr>
          <w:p>
            <w:r>
              <w:rPr>
                <w:sz w:val="18"/>
              </w:rPr>
              <w:t>100×100px, in support footer block</w:t>
            </w:r>
          </w:p>
        </w:tc>
      </w:tr>
    </w:tbl>
    <w:p/>
    <w:p>
      <w:r>
        <w:rPr>
          <w:b/>
        </w:rPr>
        <w:t xml:space="preserve">QR Specifications: </w:t>
      </w:r>
      <w:r>
        <w:t>Dark navy (#003366) foreground with white background. 4px quiet zone. Minimum print size: 0.8" × 0.8".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4: Index Maintenance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8"/>
              </w:rPr>
              <w:t>Editor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8"/>
              </w:rPr>
              <w:t>Template Version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8"/>
              </w:rPr>
              <w:t>Changes Made</w:t>
            </w:r>
          </w:p>
        </w:tc>
        <w:tc>
          <w:tcPr>
            <w:tcW w:type="dxa" w:w="1872"/>
            <w:shd w:fill="003366"/>
          </w:tcPr>
          <w:p>
            <w:r>
              <w:rPr>
                <w:b/>
                <w:color w:val="FFFFFF"/>
                <w:sz w:val="18"/>
              </w:rPr>
              <w:t>Sections Affected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2026-04-25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AWDP Research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Initial template creation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All sections</w:t>
            </w:r>
          </w:p>
        </w:tc>
      </w:tr>
      <w:tr>
        <w:tc>
          <w:tcPr>
            <w:tcW w:type="dxa" w:w="1872"/>
            <w:shd w:fill="E8F0FE"/>
          </w:tcPr>
          <w:p>
            <w:r>
              <w:rPr>
                <w:sz w:val="18"/>
              </w:rPr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fill="E8F0FE"/>
          </w:tcPr>
          <w:p>
            <w:r>
              <w:rPr>
                <w:sz w:val="18"/>
              </w:rPr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72"/>
            <w:shd w:fill="E8F0FE"/>
          </w:tcPr>
          <w:p>
            <w:r>
              <w:rPr>
                <w:sz w:val="18"/>
              </w:rPr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</w:r>
          </w:p>
        </w:tc>
        <w:tc>
          <w:tcPr>
            <w:tcW w:type="dxa" w:w="1872"/>
            <w:shd w:fill="E8F0FE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003366"/>
        </w:rPr>
        <w:t>Section 5: 13-Point PDF Update Checklist</w:t>
      </w:r>
    </w:p>
    <w:p>
      <w:r>
        <w:rPr>
          <w:sz w:val="20"/>
        </w:rPr>
        <w:t>☐  1. Verify rainbow header/footer bars are present and match brand spec (#FF0000 → #8800CC gradient)</w:t>
      </w:r>
    </w:p>
    <w:p>
      <w:r>
        <w:rPr>
          <w:sz w:val="20"/>
        </w:rPr>
        <w:t>☐  2. Confirm AWDP logo placement — header left-aligned, correct dimensions</w:t>
      </w:r>
    </w:p>
    <w:p>
      <w:r>
        <w:rPr>
          <w:sz w:val="20"/>
        </w:rPr>
        <w:t>☐  3. Validate color palette — all colors match Section 1.2 specifications</w:t>
      </w:r>
    </w:p>
    <w:p>
      <w:r>
        <w:rPr>
          <w:sz w:val="20"/>
        </w:rPr>
        <w:t>☐  4. Check typography — fonts, sizes, and weights match Section 1.3 specifications</w:t>
      </w:r>
    </w:p>
    <w:p>
      <w:r>
        <w:rPr>
          <w:sz w:val="20"/>
        </w:rPr>
        <w:t>☐  5. Verify cover page follows Content Block 1 template</w:t>
      </w:r>
    </w:p>
    <w:p>
      <w:r>
        <w:rPr>
          <w:sz w:val="20"/>
        </w:rPr>
        <w:t>☐  6. Confirm all tables follow Content Block 2 or 4 format as appropriate</w:t>
      </w:r>
    </w:p>
    <w:p>
      <w:r>
        <w:rPr>
          <w:sz w:val="20"/>
        </w:rPr>
        <w:t>☐  7. Validate measurement guides follow Content Block 3 layout</w:t>
      </w:r>
    </w:p>
    <w:p>
      <w:r>
        <w:rPr>
          <w:sz w:val="20"/>
        </w:rPr>
        <w:t>☐  8. Check all QR code placeholders are positioned per Section 3 guide</w:t>
      </w:r>
    </w:p>
    <w:p>
      <w:r>
        <w:rPr>
          <w:sz w:val="20"/>
        </w:rPr>
        <w:t>☐  9. Verify contact/support footer matches Content Block 5 template</w:t>
      </w:r>
    </w:p>
    <w:p>
      <w:r>
        <w:rPr>
          <w:sz w:val="20"/>
        </w:rPr>
        <w:t>☐  10. Cross-reference all part numbers against BiltBest PDF Index (CSV)</w:t>
      </w:r>
    </w:p>
    <w:p>
      <w:r>
        <w:rPr>
          <w:sz w:val="20"/>
        </w:rPr>
        <w:t>☐  11. Confirm PDF filename follows slug naming convention</w:t>
      </w:r>
    </w:p>
    <w:p>
      <w:r>
        <w:rPr>
          <w:sz w:val="20"/>
        </w:rPr>
        <w:t>☐  12. Test all hyperlinks and QR code target URLs</w:t>
      </w:r>
    </w:p>
    <w:p>
      <w:r>
        <w:rPr>
          <w:sz w:val="20"/>
        </w:rPr>
        <w:t>☐  13. Update Index Maintenance Log with changes and editor name</w:t>
      </w:r>
    </w:p>
    <w:p/>
    <w:p>
      <w:r>
        <w:rPr>
          <w:b/>
          <w:color w:val="DC3545"/>
          <w:sz w:val="20"/>
        </w:rPr>
        <w:t>All 13 points must pass before any PDF is published to bfrparts.com or alltypewindowdoorparts.com. Failed items must be corrected and re-verified before publication.</w:t>
      </w:r>
    </w:p>
    <w:p>
      <w:r>
        <w:br w:type="page"/>
      </w:r>
    </w:p>
    <w:p>
      <w:pPr>
        <w:pStyle w:val="Heading1"/>
      </w:pPr>
      <w:r>
        <w:rPr>
          <w:color w:val="003366"/>
        </w:rPr>
        <w:t>Template Usage Notes</w:t>
      </w:r>
    </w:p>
    <w:p>
      <w:pPr>
        <w:pStyle w:val="ListBullet"/>
      </w:pPr>
      <w:r>
        <w:t>This template is the single source of truth for AWDP PDF branding and structure.</w:t>
      </w:r>
    </w:p>
    <w:p>
      <w:pPr>
        <w:pStyle w:val="ListBullet"/>
      </w:pPr>
      <w:r>
        <w:t>All new BiltBest, Marvin, Weathershield, and cross-brand PDFs must use this template.</w:t>
      </w:r>
    </w:p>
    <w:p>
      <w:pPr>
        <w:pStyle w:val="ListBullet"/>
      </w:pPr>
      <w:r>
        <w:t>For template updates, modify this document and increment the version number.</w:t>
      </w:r>
    </w:p>
    <w:p>
      <w:pPr>
        <w:pStyle w:val="ListBullet"/>
      </w:pPr>
      <w:r>
        <w:t>Sync all changes to the BiltBest_PDF_Index.csv and JSON mapping files.</w:t>
      </w:r>
    </w:p>
    <w:p/>
    <w:p>
      <w:r>
        <w:rPr>
          <w:color w:val="666666"/>
          <w:sz w:val="20"/>
        </w:rPr>
        <w:t>Contact: info@biltbestwindowparts.com  |  AWDP Research Department</w:t>
      </w:r>
    </w:p>
    <w:p/>
    <w:p>
      <w:pPr>
        <w:jc w:val="center"/>
      </w:pPr>
      <w:r>
        <w:rPr>
          <w:color w:val="999999"/>
          <w:sz w:val="18"/>
        </w:rPr>
        <w:t>AWDP  |  PDF Update Template  |  v1.0  |  Reusable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