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E76440"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E76440"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01FB57BB"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w:t>
      </w:r>
      <w:r w:rsidR="00686CC1">
        <w:rPr>
          <w:rFonts w:ascii="Myriad Pro" w:hAnsi="Myriad Pro"/>
          <w:color w:val="595959" w:themeColor="text1" w:themeTint="A6"/>
          <w:sz w:val="22"/>
          <w:szCs w:val="22"/>
        </w:rPr>
        <w:lastRenderedPageBreak/>
        <w:t>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absolutely necessarily.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lastRenderedPageBreak/>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w:t>
      </w:r>
      <w:r w:rsidR="008E0548">
        <w:rPr>
          <w:rFonts w:ascii="Myriad Pro" w:hAnsi="Myriad Pro"/>
          <w:color w:val="595959" w:themeColor="text1" w:themeTint="A6"/>
          <w:sz w:val="22"/>
          <w:szCs w:val="22"/>
        </w:rPr>
        <w:lastRenderedPageBreak/>
        <w:t xml:space="preserve">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 xml:space="preserve">lthough the servers are backed up, the backup is only on-site – so make extra backups! Each lab member should back up raw data on an external hard drive, as well as the code needed to reproduce </w:t>
      </w:r>
      <w:r w:rsidR="00CE09C4">
        <w:rPr>
          <w:rFonts w:ascii="Myriad Pro" w:hAnsi="Myriad Pro"/>
          <w:color w:val="595959" w:themeColor="text1" w:themeTint="A6"/>
          <w:sz w:val="22"/>
          <w:szCs w:val="22"/>
        </w:rPr>
        <w:lastRenderedPageBreak/>
        <w:t>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6CBEAF2C"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w:t>
      </w:r>
      <w:proofErr w:type="gramStart"/>
      <w:r>
        <w:rPr>
          <w:rFonts w:ascii="Myriad Pro" w:hAnsi="Myriad Pro"/>
          <w:color w:val="595959" w:themeColor="text1" w:themeTint="A6"/>
          <w:sz w:val="22"/>
          <w:szCs w:val="22"/>
        </w:rPr>
        <w:t>Generally,  we</w:t>
      </w:r>
      <w:proofErr w:type="gramEnd"/>
      <w:r>
        <w:rPr>
          <w:rFonts w:ascii="Myriad Pro" w:hAnsi="Myriad Pro"/>
          <w:color w:val="595959" w:themeColor="text1" w:themeTint="A6"/>
          <w:sz w:val="22"/>
          <w:szCs w:val="22"/>
        </w:rPr>
        <w:t xml:space="preserv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9"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250CA328"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2F5962">
        <w:rPr>
          <w:rFonts w:ascii="Myriad Pro" w:hAnsi="Myriad Pro"/>
          <w:color w:val="595959" w:themeColor="text1" w:themeTint="A6"/>
          <w:sz w:val="22"/>
          <w:szCs w:val="22"/>
        </w:rPr>
        <w:t>a NARSAD Young Investigator Grant, and a Zuckerman Institute Seed Grant for MR Studies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1DC910A1" w14:textId="77777777" w:rsidR="003F6DCD" w:rsidRPr="00E55693" w:rsidRDefault="003F6DCD" w:rsidP="00E55693">
      <w:pPr>
        <w:rPr>
          <w:rFonts w:ascii="Myriad Pro" w:hAnsi="Myriad Pro"/>
          <w:b/>
          <w:color w:val="000000" w:themeColor="text1"/>
          <w:sz w:val="22"/>
          <w:szCs w:val="22"/>
        </w:rPr>
      </w:pPr>
      <w:bookmarkStart w:id="31" w:name="_GoBack"/>
      <w:bookmarkEnd w:id="11"/>
      <w:bookmarkEnd w:id="31"/>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0E80E" w14:textId="77777777" w:rsidR="00E76440" w:rsidRDefault="00E76440" w:rsidP="008A5967">
      <w:r>
        <w:separator/>
      </w:r>
    </w:p>
  </w:endnote>
  <w:endnote w:type="continuationSeparator" w:id="0">
    <w:p w14:paraId="1E23AA9A" w14:textId="77777777" w:rsidR="00E76440" w:rsidRDefault="00E76440"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E9331" w14:textId="77777777" w:rsidR="00E76440" w:rsidRDefault="00E76440" w:rsidP="008A5967">
      <w:r>
        <w:separator/>
      </w:r>
    </w:p>
  </w:footnote>
  <w:footnote w:type="continuationSeparator" w:id="0">
    <w:p w14:paraId="02E790C8" w14:textId="77777777" w:rsidR="00E76440" w:rsidRDefault="00E76440"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3B22"/>
    <w:rsid w:val="0076194B"/>
    <w:rsid w:val="007627F3"/>
    <w:rsid w:val="007631FB"/>
    <w:rsid w:val="0076432D"/>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90E5B"/>
    <w:rsid w:val="00AA38D8"/>
    <w:rsid w:val="00AA7792"/>
    <w:rsid w:val="00AB1EEC"/>
    <w:rsid w:val="00AC116F"/>
    <w:rsid w:val="00AC67F5"/>
    <w:rsid w:val="00AD037F"/>
    <w:rsid w:val="00AD41BA"/>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B56AC"/>
    <w:rsid w:val="00CC2AF9"/>
    <w:rsid w:val="00CC7066"/>
    <w:rsid w:val="00CD13BB"/>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76440"/>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neu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C24F4-0075-4A46-8CFB-EDDE89BC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7216</Words>
  <Characters>39978</Characters>
  <Application>Microsoft Office Word</Application>
  <DocSecurity>0</DocSecurity>
  <Lines>519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57</cp:revision>
  <cp:lastPrinted>2018-12-04T21:36:00Z</cp:lastPrinted>
  <dcterms:created xsi:type="dcterms:W3CDTF">2018-08-16T04:26:00Z</dcterms:created>
  <dcterms:modified xsi:type="dcterms:W3CDTF">2019-10-28T20:24:00Z</dcterms:modified>
</cp:coreProperties>
</file>