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X6f65ae116257aa196db30770785b59da0ced5d0"/>
    <w:p>
      <w:pPr>
        <w:pStyle w:val="Heading1"/>
      </w:pPr>
      <w:r>
        <w:t xml:space="preserve">Spectrotester v33 Teorik Spektrum Üretimi ve Teyit Motoru Derin Analiz Raporu</w:t>
      </w:r>
    </w:p>
    <w:bookmarkStart w:id="21" w:name="kapsam-ve-temel-bulgular"/>
    <w:p>
      <w:pPr>
        <w:pStyle w:val="Heading2"/>
      </w:pPr>
      <w:r>
        <w:t xml:space="preserve">Kapsam ve temel bulgular</w:t>
      </w:r>
    </w:p>
    <w:p>
      <w:pPr>
        <w:pStyle w:val="FirstParagraph"/>
      </w:pPr>
      <w:r>
        <w:t xml:space="preserve">Bu rapor, yüklediğiniz kod arşivindeki (örn.</w:t>
      </w:r>
      <w:r>
        <w:t xml:space="preserve"> </w:t>
      </w:r>
      <w:r>
        <w:rPr>
          <w:rStyle w:val="VerbatimChar"/>
        </w:rPr>
        <w:t xml:space="preserve">/mnt/data/Spectrotester,.zip</w:t>
      </w:r>
      <w:r>
        <w:t xml:space="preserve"> </w:t>
      </w:r>
      <w:r>
        <w:t xml:space="preserve">içindeki</w:t>
      </w:r>
      <w:r>
        <w:t xml:space="preserve"> </w:t>
      </w:r>
      <w:r>
        <w:rPr>
          <w:b/>
          <w:bCs/>
        </w:rPr>
        <w:t xml:space="preserve">Spectromasterv0.2tester.html</w:t>
      </w:r>
      <w:r>
        <w:t xml:space="preserve"> </w:t>
      </w:r>
      <w:r>
        <w:t xml:space="preserve">ve</w:t>
      </w:r>
      <w:r>
        <w:t xml:space="preserve"> </w:t>
      </w:r>
      <w:r>
        <w:rPr>
          <w:rStyle w:val="VerbatimChar"/>
        </w:rPr>
        <w:t xml:space="preserve">lib/spectra/library/*.json</w:t>
      </w:r>
      <w:r>
        <w:t xml:space="preserve"> </w:t>
      </w:r>
      <w:r>
        <w:t xml:space="preserve">dosyaları) mevcut mimariyi ve kuralları; uygulamanın ürettiği “teorik spektrum” + “teyit raporu” çıktılarının kimyasal/mantıksal tutarlılığını; ayrıca Mnova / ACD/Labs seviyesinde</w:t>
      </w:r>
      <w:r>
        <w:t xml:space="preserve"> </w:t>
      </w:r>
      <w:r>
        <w:rPr>
          <w:b/>
          <w:bCs/>
        </w:rPr>
        <w:t xml:space="preserve">ticari-grade</w:t>
      </w:r>
      <w:r>
        <w:t xml:space="preserve"> </w:t>
      </w:r>
      <w:r>
        <w:t xml:space="preserve">bir ürüne dönüşebilmesi için gerekli algoritma, kural motoru, veri ve ürün gereksinimlerini inceler.</w:t>
      </w:r>
    </w:p>
    <w:p>
      <w:pPr>
        <w:pStyle w:val="BodyText"/>
      </w:pPr>
      <w:r>
        <w:t xml:space="preserve">Ana sonuç: Verdiğiniz dört örnek çıktıda görülen FAIL/WARN’lar “tek bir modül hatası” değil;</w:t>
      </w:r>
      <w:r>
        <w:t xml:space="preserve"> </w:t>
      </w:r>
      <w:r>
        <w:rPr>
          <w:b/>
          <w:bCs/>
        </w:rPr>
        <w:t xml:space="preserve">girdi kimliğinin (SMILES/isim/formül) tutarsız olması</w:t>
      </w:r>
      <w:r>
        <w:t xml:space="preserve">,</w:t>
      </w:r>
      <w:r>
        <w:t xml:space="preserve"> </w:t>
      </w:r>
      <w:r>
        <w:rPr>
          <w:b/>
          <w:bCs/>
        </w:rPr>
        <w:t xml:space="preserve">aromatiklik/bağ türü algısının kırılması</w:t>
      </w:r>
      <w:r>
        <w:t xml:space="preserve"> </w:t>
      </w:r>
      <w:r>
        <w:t xml:space="preserve">ve</w:t>
      </w:r>
      <w:r>
        <w:t xml:space="preserve"> </w:t>
      </w:r>
      <w:r>
        <w:rPr>
          <w:b/>
          <w:bCs/>
        </w:rPr>
        <w:t xml:space="preserve">spektrum üreticinin yapıya bağlı deterministik model yerine geniş ölçüde şablon/heuristic üretim yapması</w:t>
      </w:r>
      <w:r>
        <w:t xml:space="preserve"> </w:t>
      </w:r>
      <w:r>
        <w:t xml:space="preserve">nedeniyle oluşan</w:t>
      </w:r>
      <w:r>
        <w:t xml:space="preserve"> </w:t>
      </w:r>
      <w:r>
        <w:rPr>
          <w:b/>
          <w:bCs/>
        </w:rPr>
        <w:t xml:space="preserve">sistemik</w:t>
      </w:r>
      <w:r>
        <w:t xml:space="preserve"> </w:t>
      </w:r>
      <w:r>
        <w:t xml:space="preserve">bir uyumsuzluk seti. Bu nedenle “QC’leri yumuşatmak” tek başına doğru çözüm değildir; önce</w:t>
      </w:r>
      <w:r>
        <w:t xml:space="preserve"> </w:t>
      </w:r>
      <w:r>
        <w:rPr>
          <w:b/>
          <w:bCs/>
        </w:rPr>
        <w:t xml:space="preserve">kimyasal doğruluk katmanı (parsing/standardizasyon/tautomer-protonasyon/aromatiklik/izdüşüm)</w:t>
      </w:r>
      <w:r>
        <w:t xml:space="preserve"> </w:t>
      </w:r>
      <w:r>
        <w:t xml:space="preserve">sağlamlaştırılmalıdır.</w:t>
      </w:r>
    </w:p>
    <w:bookmarkEnd w:id="21"/>
    <w:bookmarkStart w:id="28" w:name="X4285001c43e13fe758b84ed5a21ed723a29731d"/>
    <w:p>
      <w:pPr>
        <w:pStyle w:val="Heading2"/>
      </w:pPr>
      <w:r>
        <w:t xml:space="preserve">Molekül kimliği ve girdi doğrulama problemleri</w:t>
      </w:r>
    </w:p>
    <w:p>
      <w:pPr>
        <w:pStyle w:val="FirstParagraph"/>
      </w:pPr>
      <w:r>
        <w:t xml:space="preserve">Verdiğiniz dört örnek “resveratrol, quercetin, kateşin, epikateşin” olarak isimlendirilmiş olsa da; hem formül hem SMILES seviyesinde</w:t>
      </w:r>
      <w:r>
        <w:t xml:space="preserve"> </w:t>
      </w:r>
      <w:r>
        <w:rPr>
          <w:b/>
          <w:bCs/>
        </w:rPr>
        <w:t xml:space="preserve">kimlik uyuşmazlıkları</w:t>
      </w:r>
      <w:r>
        <w:t xml:space="preserve"> </w:t>
      </w:r>
      <w:r>
        <w:t xml:space="preserve">var. Bu, teyit motorunun “beklenen fonksiyonel grup/kimyasal sınıf” varsayımlarını temelden yanlışlayıp zincirleme QC hatası üretiyor.</w:t>
      </w:r>
    </w:p>
    <w:p>
      <w:pPr>
        <w:pStyle w:val="BodyText"/>
      </w:pPr>
      <w:r>
        <w:t xml:space="preserve">Aşağıdaki tablo, örneklerinizdeki</w:t>
      </w:r>
      <w:r>
        <w:t xml:space="preserve"> </w:t>
      </w:r>
      <w:r>
        <w:rPr>
          <w:b/>
          <w:bCs/>
        </w:rPr>
        <w:t xml:space="preserve">formül/SMILES</w:t>
      </w:r>
      <w:r>
        <w:t xml:space="preserve"> </w:t>
      </w:r>
      <w:r>
        <w:t xml:space="preserve">ile literatür/kurumsal veri kaynaklarındaki</w:t>
      </w:r>
      <w:r>
        <w:t xml:space="preserve"> </w:t>
      </w:r>
      <w:r>
        <w:rPr>
          <w:b/>
          <w:bCs/>
        </w:rPr>
        <w:t xml:space="preserve">doğru kimlik</w:t>
      </w:r>
      <w:r>
        <w:t xml:space="preserve"> </w:t>
      </w:r>
      <w:r>
        <w:t xml:space="preserve">ilişkisini özetler: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Sizdeki etiket</w:t>
            </w:r>
          </w:p>
        </w:tc>
        <w:tc>
          <w:tcPr/>
          <w:p>
            <w:pPr>
              <w:pStyle w:val="Compact"/>
            </w:pPr>
            <w:r>
              <w:t xml:space="preserve">Sizdeki formül/SMILES’in işaret ettiği kimlik</w:t>
            </w:r>
          </w:p>
        </w:tc>
        <w:tc>
          <w:tcPr/>
          <w:p>
            <w:pPr>
              <w:pStyle w:val="Compact"/>
            </w:pPr>
            <w:r>
              <w:t xml:space="preserve">Literatürdeki “etiketle” uyumlu gerçek kimlik</w:t>
            </w:r>
          </w:p>
        </w:tc>
      </w:tr>
      <w:tr>
        <w:tc>
          <w:tcPr/>
          <w:p>
            <w:pPr>
              <w:pStyle w:val="Compact"/>
            </w:pPr>
            <w:r>
              <w:t xml:space="preserve">“Resveratrol”</w:t>
            </w:r>
          </w:p>
        </w:tc>
        <w:tc>
          <w:tcPr/>
          <w:p>
            <w:pPr>
              <w:pStyle w:val="Compact"/>
            </w:pPr>
            <w:r>
              <w:t xml:space="preserve">C14H12O2 ve iki fenolik –OH içeren stilben; bu yapı</w:t>
            </w:r>
            <w:r>
              <w:t xml:space="preserve"> </w:t>
            </w:r>
            <w:r>
              <w:rPr>
                <w:b/>
                <w:bCs/>
              </w:rPr>
              <w:t xml:space="preserve">4,4′-dihidroksistilben</w:t>
            </w:r>
            <w:r>
              <w:t xml:space="preserve"> </w:t>
            </w:r>
            <w:r>
              <w:t xml:space="preserve">(literatürde “stilbestrol / stilbenediol” adlarıyla da anılır) formülü C14H12O2 ve SMILES ailesi ile uyumludur.</w:t>
            </w:r>
            <w:r>
              <w:t xml:space="preserve"> </w:t>
            </w:r>
            <w:hyperlink r:id="rId22">
              <w:r>
                <w:rPr>
                  <w:rStyle w:val="Hyperlink"/>
                </w:rPr>
                <w:t xml:space="preserve">[1]</w:t>
              </w:r>
            </w:hyperlink>
          </w:p>
        </w:tc>
        <w:tc>
          <w:tcPr/>
          <w:p>
            <w:pPr>
              <w:pStyle w:val="Compact"/>
            </w:pPr>
            <w:r>
              <w:rPr>
                <w:b/>
                <w:bCs/>
              </w:rPr>
              <w:t xml:space="preserve">trans-Resveratrol</w:t>
            </w:r>
            <w:r>
              <w:t xml:space="preserve"> </w:t>
            </w:r>
            <w:r>
              <w:t xml:space="preserve">ise üç fenolik –OH içerir ve kimyasal formülü</w:t>
            </w:r>
            <w:r>
              <w:t xml:space="preserve"> </w:t>
            </w:r>
            <w:r>
              <w:rPr>
                <w:b/>
                <w:bCs/>
              </w:rPr>
              <w:t xml:space="preserve">C14H12O3</w:t>
            </w:r>
            <w:r>
              <w:t xml:space="preserve">’tür; SMILES’ı da buna göre üç –OH taşır.</w:t>
            </w:r>
            <w:r>
              <w:t xml:space="preserve"> </w:t>
            </w:r>
            <w:hyperlink r:id="rId23">
              <w:r>
                <w:rPr>
                  <w:rStyle w:val="Hyperlink"/>
                </w:rPr>
                <w:t xml:space="preserve">[2]</w:t>
              </w:r>
            </w:hyperlink>
          </w:p>
        </w:tc>
      </w:tr>
      <w:tr>
        <w:tc>
          <w:tcPr/>
          <w:p>
            <w:pPr>
              <w:pStyle w:val="Compact"/>
            </w:pPr>
            <w:r>
              <w:t xml:space="preserve">“Quercetin”</w:t>
            </w:r>
          </w:p>
        </w:tc>
        <w:tc>
          <w:tcPr/>
          <w:p>
            <w:pPr>
              <w:pStyle w:val="Compact"/>
            </w:pPr>
            <w:r>
              <w:t xml:space="preserve">Verdiğiniz “C15H10O6” formülü quercetin ile uyuşmaz; quercetin (ör. nmrXiv/nmrXiv meta verisi)</w:t>
            </w:r>
            <w:r>
              <w:t xml:space="preserve"> </w:t>
            </w:r>
            <w:r>
              <w:rPr>
                <w:b/>
                <w:bCs/>
              </w:rPr>
              <w:t xml:space="preserve">C15H10O7</w:t>
            </w:r>
            <w:r>
              <w:t xml:space="preserve">’dir.</w:t>
            </w:r>
            <w:r>
              <w:t xml:space="preserve"> </w:t>
            </w:r>
            <w:hyperlink r:id="rId24">
              <w:r>
                <w:rPr>
                  <w:rStyle w:val="Hyperlink"/>
                </w:rPr>
                <w:t xml:space="preserve">[3]</w:t>
              </w:r>
            </w:hyperlink>
          </w:p>
        </w:tc>
        <w:tc>
          <w:tcPr/>
          <w:p>
            <w:pPr>
              <w:pStyle w:val="Compact"/>
            </w:pPr>
            <w:r>
              <w:t xml:space="preserve">“C15H10O6” formülü daha çok</w:t>
            </w:r>
            <w:r>
              <w:t xml:space="preserve"> </w:t>
            </w:r>
            <w:r>
              <w:rPr>
                <w:b/>
                <w:bCs/>
              </w:rPr>
              <w:t xml:space="preserve">kaempferol</w:t>
            </w:r>
            <w:r>
              <w:t xml:space="preserve"> </w:t>
            </w:r>
            <w:r>
              <w:t xml:space="preserve">gibi flavonollere karşılık gelir (kaempferol: C15H10O6).</w:t>
            </w:r>
            <w:r>
              <w:t xml:space="preserve"> </w:t>
            </w:r>
            <w:hyperlink r:id="rId25">
              <w:r>
                <w:rPr>
                  <w:rStyle w:val="Hyperlink"/>
                </w:rPr>
                <w:t xml:space="preserve">[4]</w:t>
              </w:r>
            </w:hyperlink>
          </w:p>
        </w:tc>
      </w:tr>
      <w:tr>
        <w:tc>
          <w:tcPr/>
          <w:p>
            <w:pPr>
              <w:pStyle w:val="Compact"/>
            </w:pPr>
            <w:r>
              <w:t xml:space="preserve">“Kateşin”</w:t>
            </w:r>
          </w:p>
        </w:tc>
        <w:tc>
          <w:tcPr/>
          <w:p>
            <w:pPr>
              <w:pStyle w:val="Compact"/>
            </w:pPr>
            <w:r>
              <w:t xml:space="preserve">Sizdeki SMILES’in formül çıktısı C16H18O8 (ve/veya benzeri) olduğundan, standart catechin ile uyuşmuyor</w:t>
            </w:r>
          </w:p>
        </w:tc>
        <w:tc>
          <w:tcPr/>
          <w:p>
            <w:pPr>
              <w:pStyle w:val="Compact"/>
            </w:pPr>
            <w:r>
              <w:t xml:space="preserve">nmrXiv/NFDI4Chem kaydında catechin için</w:t>
            </w:r>
            <w:r>
              <w:t xml:space="preserve"> </w:t>
            </w:r>
            <w:r>
              <w:rPr>
                <w:b/>
                <w:bCs/>
              </w:rPr>
              <w:t xml:space="preserve">SMILES + formül</w:t>
            </w:r>
            <w:r>
              <w:t xml:space="preserve"> </w:t>
            </w:r>
            <w:r>
              <w:t xml:space="preserve">açıkça verilmiş:</w:t>
            </w:r>
            <w:r>
              <w:t xml:space="preserve"> </w:t>
            </w:r>
            <w:r>
              <w:rPr>
                <w:b/>
                <w:bCs/>
              </w:rPr>
              <w:t xml:space="preserve">C15H14O6</w:t>
            </w:r>
            <w:r>
              <w:t xml:space="preserve"> </w:t>
            </w:r>
            <w:r>
              <w:t xml:space="preserve">ve ilgili flavan-3-ol SMILES’ı.</w:t>
            </w:r>
            <w:r>
              <w:t xml:space="preserve"> </w:t>
            </w:r>
            <w:hyperlink r:id="rId26">
              <w:r>
                <w:rPr>
                  <w:rStyle w:val="Hyperlink"/>
                </w:rPr>
                <w:t xml:space="preserve">[5]</w:t>
              </w:r>
            </w:hyperlink>
          </w:p>
        </w:tc>
      </w:tr>
      <w:tr>
        <w:tc>
          <w:tcPr/>
          <w:p>
            <w:pPr>
              <w:pStyle w:val="Compact"/>
            </w:pPr>
            <w:r>
              <w:t xml:space="preserve">“Epikateşin”</w:t>
            </w:r>
          </w:p>
        </w:tc>
        <w:tc>
          <w:tcPr/>
          <w:p>
            <w:pPr>
              <w:pStyle w:val="Compact"/>
            </w:pPr>
            <w:r>
              <w:t xml:space="preserve">Sizdeki SMILES formülü catechin/epicatechin standardından sapıyor</w:t>
            </w:r>
          </w:p>
        </w:tc>
        <w:tc>
          <w:tcPr/>
          <w:p>
            <w:pPr>
              <w:pStyle w:val="Compact"/>
            </w:pPr>
            <w:r>
              <w:t xml:space="preserve">Epicatechin/catechin NMR verileri, aromatik ve flavan-3-ol iskelete sahip “C15H14O6” ailesiyle uyumlu şekilde raporlanır; tipik ¹H/¹³C bölgeleri buna göre şekillenir.</w:t>
            </w:r>
            <w:r>
              <w:t xml:space="preserve"> </w:t>
            </w:r>
            <w:hyperlink r:id="rId27">
              <w:r>
                <w:rPr>
                  <w:rStyle w:val="Hyperlink"/>
                </w:rPr>
                <w:t xml:space="preserve">[6]</w:t>
              </w:r>
            </w:hyperlink>
          </w:p>
        </w:tc>
      </w:tr>
    </w:tbl>
    <w:p>
      <w:pPr>
        <w:pStyle w:val="BodyText"/>
      </w:pPr>
      <w:r>
        <w:t xml:space="preserve">Buradaki kritik ürün gereksinimi: Ticari bir teyit/prediksiyon sisteminde “kullanıcı SMILES girdi” yaklaşımı tek başına yetmez. Sistem, SMILES geçerliliğini ve kimlik tutarlılığını</w:t>
      </w:r>
      <w:r>
        <w:t xml:space="preserve"> </w:t>
      </w:r>
      <w:r>
        <w:rPr>
          <w:b/>
          <w:bCs/>
        </w:rPr>
        <w:t xml:space="preserve">başlangıç kapısı</w:t>
      </w:r>
      <w:r>
        <w:t xml:space="preserve"> </w:t>
      </w:r>
      <w:r>
        <w:t xml:space="preserve">(gating) olarak zorlamalıdır:</w:t>
      </w:r>
    </w:p>
    <w:p>
      <w:pPr>
        <w:pStyle w:val="Compact"/>
        <w:numPr>
          <w:ilvl w:val="0"/>
          <w:numId w:val="1001"/>
        </w:numPr>
      </w:pPr>
      <w:r>
        <w:rPr>
          <w:b/>
          <w:bCs/>
        </w:rPr>
        <w:t xml:space="preserve">Geçersiz SMILES</w:t>
      </w:r>
      <w:r>
        <w:t xml:space="preserve"> </w:t>
      </w:r>
      <w:r>
        <w:t xml:space="preserve">(parantez dengesi, ring closure eşleşmesi, stereokimya işaretlerinin doğru konumu vb.) hard fail olmalı.</w:t>
      </w:r>
    </w:p>
    <w:p>
      <w:pPr>
        <w:pStyle w:val="Compact"/>
        <w:numPr>
          <w:ilvl w:val="0"/>
          <w:numId w:val="1001"/>
        </w:numPr>
      </w:pPr>
      <w:r>
        <w:t xml:space="preserve">SMILES geçerli olsa bile, “etiket adı” (resveratrol/quercetin/catechin gibi) ile</w:t>
      </w:r>
      <w:r>
        <w:t xml:space="preserve"> </w:t>
      </w:r>
      <w:r>
        <w:rPr>
          <w:b/>
          <w:bCs/>
        </w:rPr>
        <w:t xml:space="preserve">formül/fonksiyonel grup sayısı</w:t>
      </w:r>
      <w:r>
        <w:t xml:space="preserve"> </w:t>
      </w:r>
      <w:r>
        <w:t xml:space="preserve">arasında bariz çelişki varsa, sistem bunu “kimlik uyuşmazlığı” olarak raporlamalı: örneğin resveratrol üç –OH gerektirir ama C14H12O2 iki –OH türetiyorsa kullanıcıya otomatik uyarı vermeli.</w:t>
      </w:r>
      <w:r>
        <w:t xml:space="preserve"> </w:t>
      </w:r>
      <w:hyperlink r:id="rId23">
        <w:r>
          <w:rPr>
            <w:rStyle w:val="Hyperlink"/>
          </w:rPr>
          <w:t xml:space="preserve">[7]</w:t>
        </w:r>
      </w:hyperlink>
    </w:p>
    <w:bookmarkEnd w:id="28"/>
    <w:bookmarkStart w:id="39" w:name="X32eb898942e1dbfc6035bf8d14430eb37dcf913"/>
    <w:p>
      <w:pPr>
        <w:pStyle w:val="Heading2"/>
      </w:pPr>
      <w:r>
        <w:t xml:space="preserve">Teorik spektrum çıktılarının kimyasal tutarlılık analizi</w:t>
      </w:r>
    </w:p>
    <w:p>
      <w:pPr>
        <w:pStyle w:val="FirstParagraph"/>
      </w:pPr>
      <w:r>
        <w:t xml:space="preserve">Aşağıdaki analizde, uygulamanızın ürettiği kalıpları (ör. aromatik sinyal=0 gibi) kimyasal gerçeklikle karşılaştırıyorum. Burada “doğru veri” için</w:t>
      </w:r>
      <w:r>
        <w:t xml:space="preserve"> </w:t>
      </w:r>
      <w:r>
        <w:rPr>
          <w:b/>
          <w:bCs/>
        </w:rPr>
        <w:t xml:space="preserve">nmrXiv/NFDI4Chem</w:t>
      </w:r>
      <w:r>
        <w:t xml:space="preserve"> </w:t>
      </w:r>
      <w:r>
        <w:t xml:space="preserve">meta verileri ve kamuya açık NMR tabloları/örnek spektrum anlatımları kullanıldı.</w:t>
      </w:r>
    </w:p>
    <w:bookmarkStart w:id="31" w:name="Xe2c9067a9e28cbe7ce834be8e7c12d4f747c9e9"/>
    <w:p>
      <w:pPr>
        <w:pStyle w:val="Heading3"/>
      </w:pPr>
      <w:r>
        <w:t xml:space="preserve">Aromatiklik algısı kırıldığı için ¹H/¹³C bölgeleri sistematik kayıyor</w:t>
      </w:r>
    </w:p>
    <w:p>
      <w:pPr>
        <w:pStyle w:val="FirstParagraph"/>
      </w:pPr>
      <w:r>
        <w:t xml:space="preserve">Quercetin için örnek bir güvenilir tablo: DMSO‑d₆ ortamında quercetin ¹H sinyalleri aromatik bölgede ~6.2–7.7 ppm; fenolik OH’lar ~9–12.5 ppm; ¹³C’de flavonol karbonili ~175–176 ppm ve çok sayıda aromatik/sp² karbon ~90–165 ppm aralığında beklenir.</w:t>
      </w:r>
      <w:r>
        <w:t xml:space="preserve"> </w:t>
      </w:r>
      <w:hyperlink r:id="rId29">
        <w:r>
          <w:rPr>
            <w:rStyle w:val="Hyperlink"/>
          </w:rPr>
          <w:t xml:space="preserve">[8]</w:t>
        </w:r>
      </w:hyperlink>
    </w:p>
    <w:p>
      <w:pPr>
        <w:pStyle w:val="BodyText"/>
      </w:pPr>
      <w:r>
        <w:t xml:space="preserve">Epicatechin/catechin için tipik ¹H örüntüsü: aromatik halkada ~6.7–7.0 ppm; A-halkası H‑6/H‑8 ~5.9 civarı; heterosiklik H‑2/H‑3 ~4–5 ppm; H‑4 protonu ~2.5–3 ppm.</w:t>
      </w:r>
      <w:r>
        <w:t xml:space="preserve"> </w:t>
      </w:r>
      <w:hyperlink r:id="rId27">
        <w:r>
          <w:rPr>
            <w:rStyle w:val="Hyperlink"/>
          </w:rPr>
          <w:t xml:space="preserve">[9]</w:t>
        </w:r>
      </w:hyperlink>
    </w:p>
    <w:p>
      <w:pPr>
        <w:pStyle w:val="BodyText"/>
      </w:pPr>
      <w:r>
        <w:t xml:space="preserve">Sizin çıktılarınızda ise resveratrol/dihidroksistilben ve flavonoidlerde:</w:t>
      </w:r>
    </w:p>
    <w:p>
      <w:pPr>
        <w:pStyle w:val="Compact"/>
        <w:numPr>
          <w:ilvl w:val="0"/>
          <w:numId w:val="1002"/>
        </w:numPr>
      </w:pPr>
      <w:r>
        <w:rPr>
          <w:b/>
          <w:bCs/>
        </w:rPr>
        <w:t xml:space="preserve">Aromatik bölge sinyalleri (6–8 ppm) yok/0 integral</w:t>
      </w:r>
      <w:r>
        <w:t xml:space="preserve"> </w:t>
      </w:r>
      <w:r>
        <w:t xml:space="preserve">gibi raporlanıyor.</w:t>
      </w:r>
    </w:p>
    <w:p>
      <w:pPr>
        <w:pStyle w:val="Compact"/>
        <w:numPr>
          <w:ilvl w:val="0"/>
          <w:numId w:val="1002"/>
        </w:numPr>
      </w:pPr>
      <w:r>
        <w:t xml:space="preserve">¹³C listeleri</w:t>
      </w:r>
      <w:r>
        <w:t xml:space="preserve"> </w:t>
      </w:r>
      <w:r>
        <w:rPr>
          <w:b/>
          <w:bCs/>
        </w:rPr>
        <w:t xml:space="preserve">11–60 ppm</w:t>
      </w:r>
      <w:r>
        <w:t xml:space="preserve"> </w:t>
      </w:r>
      <w:r>
        <w:t xml:space="preserve">bandında yoğunlaşıyor (alifatik CH/CH₂), halbuki aromatik/sp² karbonlar için</w:t>
      </w:r>
      <w:r>
        <w:t xml:space="preserve"> </w:t>
      </w:r>
      <w:r>
        <w:rPr>
          <w:b/>
          <w:bCs/>
        </w:rPr>
        <w:t xml:space="preserve">~90–165 ppm</w:t>
      </w:r>
      <w:r>
        <w:t xml:space="preserve"> </w:t>
      </w:r>
      <w:r>
        <w:t xml:space="preserve">ve karbonil varsa</w:t>
      </w:r>
      <w:r>
        <w:t xml:space="preserve"> </w:t>
      </w:r>
      <w:r>
        <w:rPr>
          <w:b/>
          <w:bCs/>
        </w:rPr>
        <w:t xml:space="preserve">~160–200+ ppm</w:t>
      </w:r>
      <w:r>
        <w:t xml:space="preserve"> </w:t>
      </w:r>
      <w:r>
        <w:t xml:space="preserve">beklenir. Quercetin örneğinde karbonil ~175.95 ppm olarak tabloya girmiştir.</w:t>
      </w:r>
      <w:r>
        <w:t xml:space="preserve"> </w:t>
      </w:r>
      <w:hyperlink r:id="rId29">
        <w:r>
          <w:rPr>
            <w:rStyle w:val="Hyperlink"/>
          </w:rPr>
          <w:t xml:space="preserve">[10]</w:t>
        </w:r>
      </w:hyperlink>
    </w:p>
    <w:p>
      <w:pPr>
        <w:pStyle w:val="FirstParagraph"/>
      </w:pPr>
      <w:r>
        <w:t xml:space="preserve">Bu desen, MS veya DBE’den bağımsız şekilde “aromatiklik = lowercase</w:t>
      </w:r>
      <w:r>
        <w:t xml:space="preserve"> </w:t>
      </w:r>
      <w:r>
        <w:rPr>
          <w:rStyle w:val="VerbatimChar"/>
        </w:rPr>
        <w:t xml:space="preserve">c</w:t>
      </w:r>
      <w:r>
        <w:t xml:space="preserve"> </w:t>
      </w:r>
      <w:r>
        <w:t xml:space="preserve">gördüm mü?” gibi sınırlı bir algılama olduğu izlenimini verir. Modern kimya yazılımlarında aromatik atomlar lower-case ile yazılabilir; ancak kullanıcıların Kekulé form SMILES girmesi de çok yaygındır. Bu yüzden ticari araçlar aromatikliği SMILES yazımına göre değil,</w:t>
      </w:r>
      <w:r>
        <w:t xml:space="preserve"> </w:t>
      </w:r>
      <w:r>
        <w:rPr>
          <w:b/>
          <w:bCs/>
        </w:rPr>
        <w:t xml:space="preserve">kimyasal graf</w:t>
      </w:r>
      <w:r>
        <w:t xml:space="preserve"> </w:t>
      </w:r>
      <w:r>
        <w:t xml:space="preserve">üzerinden tayin eder (aromatiklik algısı, kekülizasyon, delokalizasyon). SMILES’ta aromatik atomların lowercase gösterimi konvansiyondur.</w:t>
      </w:r>
      <w:r>
        <w:t xml:space="preserve"> </w:t>
      </w:r>
      <w:hyperlink r:id="rId30">
        <w:r>
          <w:rPr>
            <w:rStyle w:val="Hyperlink"/>
          </w:rPr>
          <w:t xml:space="preserve">[11]</w:t>
        </w:r>
      </w:hyperlink>
    </w:p>
    <w:bookmarkEnd w:id="31"/>
    <w:bookmarkStart w:id="33" w:name="Xe50687d03361ba2e2bf1624a09f14421aa5b79b"/>
    <w:p>
      <w:pPr>
        <w:pStyle w:val="Heading3"/>
      </w:pPr>
      <w:r>
        <w:t xml:space="preserve">HSQC/COSY/HMBC mantığı: “neden HSQC boş olabilir?” gerekçesi kimyasal olarak yanlış yerde</w:t>
      </w:r>
    </w:p>
    <w:p>
      <w:pPr>
        <w:pStyle w:val="FirstParagraph"/>
      </w:pPr>
      <w:r>
        <w:t xml:space="preserve">HSQC’nin temel prensibi: HSQC,</w:t>
      </w:r>
      <w:r>
        <w:t xml:space="preserve"> </w:t>
      </w:r>
      <w:r>
        <w:rPr>
          <w:b/>
          <w:bCs/>
        </w:rPr>
        <w:t xml:space="preserve">doğrudan bağlı</w:t>
      </w:r>
      <w:r>
        <w:t xml:space="preserve"> </w:t>
      </w:r>
      <w:r>
        <w:t xml:space="preserve">H‑X (çoğunlukla ¹H–¹³C veya ¹H–¹⁵N) korelasyonlarını verir; yani her benzersiz proton‑taşıyan karbona karşılık bir tepe beklenir. Quaternary karbonlar (H taşımayan) HSQC’de görünmez; ayrıca değişebilir protonlar (OH/NH) HSQC’nin ¹³C ekseni için zaten hedef değildir.</w:t>
      </w:r>
      <w:r>
        <w:t xml:space="preserve"> </w:t>
      </w:r>
      <w:hyperlink r:id="rId32">
        <w:r>
          <w:rPr>
            <w:rStyle w:val="Hyperlink"/>
          </w:rPr>
          <w:t xml:space="preserve">[12]</w:t>
        </w:r>
      </w:hyperlink>
    </w:p>
    <w:p>
      <w:pPr>
        <w:pStyle w:val="BodyText"/>
      </w:pPr>
      <w:r>
        <w:t xml:space="preserve">Sizin rapor metninizde “HSQC boş; eksik korelasyonlar OH/NH hızlı değişim ile açıklanabilir” gibi bir genelleme var. Bu yorum,</w:t>
      </w:r>
      <w:r>
        <w:t xml:space="preserve"> </w:t>
      </w:r>
      <w:r>
        <w:rPr>
          <w:b/>
          <w:bCs/>
        </w:rPr>
        <w:t xml:space="preserve">CH ve CH₂ gibi karbon bağlı protonları</w:t>
      </w:r>
      <w:r>
        <w:t xml:space="preserve"> </w:t>
      </w:r>
      <w:r>
        <w:t xml:space="preserve">“exchangeable” kategorisine yanlış sokarsa hatalı olur; çünkü CH/CH₂ protonları OH/NH gibi solventle hızlı değişim yapan protonlar değildir. HSQC’de boşluk varsa daha olası nedenler:</w:t>
      </w:r>
    </w:p>
    <w:p>
      <w:pPr>
        <w:pStyle w:val="Compact"/>
        <w:numPr>
          <w:ilvl w:val="0"/>
          <w:numId w:val="1003"/>
        </w:numPr>
      </w:pPr>
      <w:r>
        <w:t xml:space="preserve">gerçekte HSQC verisi yok / peak picking yapılmadı,</w:t>
      </w:r>
    </w:p>
    <w:p>
      <w:pPr>
        <w:pStyle w:val="Compact"/>
        <w:numPr>
          <w:ilvl w:val="0"/>
          <w:numId w:val="1003"/>
        </w:numPr>
      </w:pPr>
      <w:r>
        <w:t xml:space="preserve">spektrum referanslama/eksen eşleşmesi bozuk,</w:t>
      </w:r>
    </w:p>
    <w:p>
      <w:pPr>
        <w:pStyle w:val="Compact"/>
        <w:numPr>
          <w:ilvl w:val="0"/>
          <w:numId w:val="1003"/>
        </w:numPr>
      </w:pPr>
      <w:r>
        <w:t xml:space="preserve">veri pipeline’ında HSQC peak listesi üretilmedi,</w:t>
      </w:r>
    </w:p>
    <w:p>
      <w:pPr>
        <w:pStyle w:val="Compact"/>
        <w:numPr>
          <w:ilvl w:val="0"/>
          <w:numId w:val="1003"/>
        </w:numPr>
      </w:pPr>
      <w:r>
        <w:t xml:space="preserve">ya da yapısal model “protonlu karbon” sayısını yanlış çıkardı (örn. aromatikliği sp² yerine alifatik saydı).</w:t>
      </w:r>
    </w:p>
    <w:p>
      <w:pPr>
        <w:pStyle w:val="FirstParagraph"/>
      </w:pPr>
      <w:r>
        <w:t xml:space="preserve">Bu nedenle HSQC QC’nin doğru temeli şu olmalı: “yapıdan türetilen protonlu karbon sayısı” ile “HSQC’de bulunan tepe sayısı” ve “tip-eşleşmesi (CH/CH₂/CH₃)” karşılaştırması.</w:t>
      </w:r>
      <w:r>
        <w:t xml:space="preserve"> </w:t>
      </w:r>
      <w:hyperlink r:id="rId32">
        <w:r>
          <w:rPr>
            <w:rStyle w:val="Hyperlink"/>
          </w:rPr>
          <w:t xml:space="preserve">[12]</w:t>
        </w:r>
      </w:hyperlink>
    </w:p>
    <w:bookmarkEnd w:id="33"/>
    <w:bookmarkStart w:id="38" w:name="X1ad835ccd99e354559f9fc2e3508d72f5c40e13"/>
    <w:p>
      <w:pPr>
        <w:pStyle w:val="Heading3"/>
      </w:pPr>
      <w:r>
        <w:t xml:space="preserve">MS/IR kısımları: bazı parçalar doğru ama yapı bağımlılığı zayıf</w:t>
      </w:r>
    </w:p>
    <w:p>
      <w:pPr>
        <w:pStyle w:val="FirstParagraph"/>
      </w:pPr>
      <w:r>
        <w:rPr>
          <w:b/>
          <w:bCs/>
        </w:rPr>
        <w:t xml:space="preserve">MS adductları</w:t>
      </w:r>
      <w:r>
        <w:t xml:space="preserve">: ESI’de [M+H]⁺, [M+Na]⁺ gibi adductların görülmesi çok yaygındır; hatta üretici tablolarında pozitif mod adductlar ve kütle farkları sistematik biçimde verilir.</w:t>
      </w:r>
      <w:r>
        <w:t xml:space="preserve"> </w:t>
      </w:r>
      <w:hyperlink r:id="rId34">
        <w:r>
          <w:rPr>
            <w:rStyle w:val="Hyperlink"/>
          </w:rPr>
          <w:t xml:space="preserve">[13]</w:t>
        </w:r>
      </w:hyperlink>
      <w:r>
        <w:br/>
      </w:r>
      <w:r>
        <w:rPr>
          <w:b/>
          <w:bCs/>
        </w:rPr>
        <w:t xml:space="preserve">Dehidrasyon kaybı (-18, H₂O)</w:t>
      </w:r>
      <w:r>
        <w:t xml:space="preserve">: Alkol fonksiyonelliği içeren moleküllerde kütle spektrometrisinde “su kaybı” (M‑18) sık görülen fragmantasyon yollarından biridir.</w:t>
      </w:r>
      <w:r>
        <w:t xml:space="preserve"> </w:t>
      </w:r>
      <w:hyperlink r:id="rId35">
        <w:r>
          <w:rPr>
            <w:rStyle w:val="Hyperlink"/>
          </w:rPr>
          <w:t xml:space="preserve">[14]</w:t>
        </w:r>
      </w:hyperlink>
      <w:r>
        <w:br/>
      </w:r>
      <w:r>
        <w:t xml:space="preserve">Dolayısıyla sizin çıktılarınızda “[M+H]⁺, [M+Na]⁺, -H₂O” gibi parçaların görünmesi kimyasal olarak makul bir iskelet.</w:t>
      </w:r>
    </w:p>
    <w:p>
      <w:pPr>
        <w:pStyle w:val="BodyText"/>
      </w:pPr>
      <w:r>
        <w:rPr>
          <w:b/>
          <w:bCs/>
        </w:rPr>
        <w:t xml:space="preserve">IR</w:t>
      </w:r>
      <w:r>
        <w:t xml:space="preserve"> </w:t>
      </w:r>
      <w:r>
        <w:t xml:space="preserve">tarafında ise fenolik –OH için tipik geniş bant ~3550–3230 cm⁻¹ aralığında beklenir.</w:t>
      </w:r>
      <w:r>
        <w:t xml:space="preserve"> </w:t>
      </w:r>
      <w:hyperlink r:id="rId36">
        <w:r>
          <w:rPr>
            <w:rStyle w:val="Hyperlink"/>
          </w:rPr>
          <w:t xml:space="preserve">[15]</w:t>
        </w:r>
      </w:hyperlink>
      <w:r>
        <w:br/>
      </w:r>
      <w:r>
        <w:t xml:space="preserve">Aromatik/alekenik C–H gerilmesi 3000 cm⁻¹ üzeri bölgede; aromatik iskelet titreşimleri ise ~1450–1600 cm⁻¹ bandında görülür; bu bantlar aromatik halkalı bileşiklerin yorumlanmasında temel göstergelerdendir.</w:t>
      </w:r>
      <w:r>
        <w:t xml:space="preserve"> </w:t>
      </w:r>
      <w:hyperlink r:id="rId37">
        <w:r>
          <w:rPr>
            <w:rStyle w:val="Hyperlink"/>
          </w:rPr>
          <w:t xml:space="preserve">[16]</w:t>
        </w:r>
      </w:hyperlink>
    </w:p>
    <w:p>
      <w:pPr>
        <w:pStyle w:val="BodyText"/>
      </w:pPr>
      <w:r>
        <w:t xml:space="preserve">Sizin çıktılarda IR’nin “2930 alifatik C–H” bandını neredeyse varsayılan eklemesi, tamamen aromatik ağırlıklı bileşiklerde sistematik yanlılığa yol açar. Bu bir “küçük IR hatası” değil; QC tarafında aromatik vs alifatik sınıflandırmanın zaten kırık olduğunun başka bir semptomu.</w:t>
      </w:r>
    </w:p>
    <w:bookmarkEnd w:id="38"/>
    <w:bookmarkEnd w:id="39"/>
    <w:bookmarkStart w:id="46" w:name="X1bd37ca2c84b9e9600579b737a26c0da1267e20"/>
    <w:p>
      <w:pPr>
        <w:pStyle w:val="Heading2"/>
      </w:pPr>
      <w:r>
        <w:t xml:space="preserve">Mevcut mimari ve mekanizma değerlendirmesi</w:t>
      </w:r>
    </w:p>
    <w:p>
      <w:pPr>
        <w:pStyle w:val="FirstParagraph"/>
      </w:pPr>
      <w:r>
        <w:t xml:space="preserve">Kodunuzun genel yaklaşımı “tek HTML içinde çekirdek + üreticiler + teyit raporu” şeklinde hızlı prototip için verimli; fakat ticari doğruluk için aşağıdaki yapısal riskleri taşıyor:</w:t>
      </w:r>
    </w:p>
    <w:bookmarkStart w:id="42" w:name="X3abccc867880047ff0950b636af32dfade0fa6d"/>
    <w:p>
      <w:pPr>
        <w:pStyle w:val="Heading3"/>
      </w:pPr>
      <w:r>
        <w:t xml:space="preserve">SMILES standardizasyonu ve kimyasal graf katmanı eksik</w:t>
      </w:r>
    </w:p>
    <w:p>
      <w:pPr>
        <w:pStyle w:val="FirstParagraph"/>
      </w:pPr>
      <w:r>
        <w:t xml:space="preserve">Ticari-grade NMR/CASE (computer-assisted structure elucidation) araçları, SMILES’i yalnızca string olarak değil “kimyasal graf” olarak ele alır: atom/bond, aromatiklik, valans, formal yük, stereo, tautomer/protomer gibi boyutlar</w:t>
      </w:r>
      <w:r>
        <w:t xml:space="preserve"> </w:t>
      </w:r>
      <w:r>
        <w:rPr>
          <w:b/>
          <w:bCs/>
        </w:rPr>
        <w:t xml:space="preserve">grafın parçasıdır</w:t>
      </w:r>
      <w:r>
        <w:t xml:space="preserve">. ACD/Labs, structure’dan 1D/2D NMR tahmini yaptığını; çözücü/alan şiddeti gibi deney koşullarını simüle ettiğini; tautomerik formları dikkate alarak yorumlamayı kolaylaştırdığını açıkça listeler.</w:t>
      </w:r>
      <w:r>
        <w:t xml:space="preserve"> </w:t>
      </w:r>
      <w:hyperlink r:id="rId40">
        <w:r>
          <w:rPr>
            <w:rStyle w:val="Hyperlink"/>
          </w:rPr>
          <w:t xml:space="preserve">[17]</w:t>
        </w:r>
      </w:hyperlink>
      <w:r>
        <w:br/>
      </w:r>
      <w:r>
        <w:t xml:space="preserve">Benzer biçimde Mnova NMRPredict/Mnova Predict, birden fazla tahmin motorunu (ML + increment/</w:t>
      </w:r>
      <w:r>
        <w:rPr>
          <w:i/>
          <w:iCs/>
        </w:rPr>
        <w:t xml:space="preserve">HOSE</w:t>
      </w:r>
      <w:r>
        <w:t xml:space="preserve">-code) birleştiren “ensemble” yaklaşımını vurgular.</w:t>
      </w:r>
      <w:r>
        <w:t xml:space="preserve"> </w:t>
      </w:r>
      <w:hyperlink r:id="rId41">
        <w:r>
          <w:rPr>
            <w:rStyle w:val="Hyperlink"/>
          </w:rPr>
          <w:t xml:space="preserve">[18]</w:t>
        </w:r>
      </w:hyperlink>
    </w:p>
    <w:p>
      <w:pPr>
        <w:pStyle w:val="BodyText"/>
      </w:pPr>
      <w:r>
        <w:t xml:space="preserve">Sizin sistemde ise (gözlenen çıktılara bakarak) aromatiklik/hibritizasyon/“vinyl/aromatic” sınıfları SMILES yazım biçimine fazla bağımlı. Bu nedenle:</w:t>
      </w:r>
    </w:p>
    <w:p>
      <w:pPr>
        <w:pStyle w:val="Compact"/>
        <w:numPr>
          <w:ilvl w:val="0"/>
          <w:numId w:val="1004"/>
        </w:numPr>
      </w:pPr>
      <w:r>
        <w:t xml:space="preserve">Kekulé SMILES (uppercase C + explicit çift bağlar) aromatik algısını kaçırıyor.</w:t>
      </w:r>
    </w:p>
    <w:p>
      <w:pPr>
        <w:pStyle w:val="Compact"/>
        <w:numPr>
          <w:ilvl w:val="0"/>
          <w:numId w:val="1004"/>
        </w:numPr>
      </w:pPr>
      <w:r>
        <w:t xml:space="preserve">Buna bağlı olarak ¹H/¹³C ppm bölgeleri yanlış seçiliyor.</w:t>
      </w:r>
    </w:p>
    <w:p>
      <w:pPr>
        <w:pStyle w:val="Compact"/>
        <w:numPr>
          <w:ilvl w:val="0"/>
          <w:numId w:val="1004"/>
        </w:numPr>
      </w:pPr>
      <w:r>
        <w:t xml:space="preserve">2D korelasyon üretimi ve QC “beklenti” seti de yanlış sınıflara dayanıyor.</w:t>
      </w:r>
    </w:p>
    <w:bookmarkEnd w:id="42"/>
    <w:bookmarkStart w:id="43" w:name="X5eb59c33589cc5204cd324d6386aac0ab06eb9e"/>
    <w:p>
      <w:pPr>
        <w:pStyle w:val="Heading3"/>
      </w:pPr>
      <w:r>
        <w:t xml:space="preserve">Kuralların sıralama ve kaynak veriye bağlılık sorunları</w:t>
      </w:r>
    </w:p>
    <w:p>
      <w:pPr>
        <w:pStyle w:val="FirstParagraph"/>
      </w:pPr>
      <w:r>
        <w:t xml:space="preserve">Kural motorunuzda bazı QC’ler çok değerli (DBE/formül kontrolü, HSQC’de quaternary karbon veto, MS adduct mantığı gibi). Ancak kuralların çoğu şu iki koşula aşırı duyarlı:</w:t>
      </w:r>
    </w:p>
    <w:p>
      <w:pPr>
        <w:pStyle w:val="BodyText"/>
      </w:pPr>
      <w:r>
        <w:t xml:space="preserve">1)</w:t>
      </w:r>
      <w:r>
        <w:t xml:space="preserve"> </w:t>
      </w:r>
      <w:r>
        <w:rPr>
          <w:b/>
          <w:bCs/>
        </w:rPr>
        <w:t xml:space="preserve">Yapıdan türetilen sayımlar</w:t>
      </w:r>
      <w:r>
        <w:t xml:space="preserve"> </w:t>
      </w:r>
      <w:r>
        <w:t xml:space="preserve">(aromatikC, vinylC, methyl sınıfları, exchangeable H),</w:t>
      </w:r>
      <w:r>
        <w:br/>
      </w:r>
      <w:r>
        <w:t xml:space="preserve">2)</w:t>
      </w:r>
      <w:r>
        <w:t xml:space="preserve"> </w:t>
      </w:r>
      <w:r>
        <w:rPr>
          <w:b/>
          <w:bCs/>
        </w:rPr>
        <w:t xml:space="preserve">Spektrum üreticinin ürettiği peak listeleri</w:t>
      </w:r>
      <w:r>
        <w:t xml:space="preserve"> </w:t>
      </w:r>
      <w:r>
        <w:t xml:space="preserve">(özellikle ¹H/¹³C “teorik” listelerin kendisi).</w:t>
      </w:r>
    </w:p>
    <w:p>
      <w:pPr>
        <w:pStyle w:val="BodyText"/>
      </w:pPr>
      <w:r>
        <w:t xml:space="preserve">Eğer bu iki temel katmanda (özellikle yapı sınıflandırması) hata varsa, QC’ler yanlış pozitif/negatif üretir. Örneğin “QC_METHYL_CLASS_MISSING: AlkylCH3 expected” türü bulgular, CH₃ içermeyen polifenollerde bile “methyl bekledim” diyebiliyorsa, beklenen sınıf hesaplaması yapısal olarak yanlış kurulmuş demektir. ACD’nin spektrum tahmininde “exchangeable protonları D₂O’da ignore etme” gibi rafine ayarlar eklemesi, bu tip detayların ticari ürünlerde doğrudan özellik olarak ele alındığını gösterir.</w:t>
      </w:r>
      <w:r>
        <w:t xml:space="preserve"> </w:t>
      </w:r>
      <w:hyperlink r:id="rId40">
        <w:r>
          <w:rPr>
            <w:rStyle w:val="Hyperlink"/>
          </w:rPr>
          <w:t xml:space="preserve">[19]</w:t>
        </w:r>
      </w:hyperlink>
    </w:p>
    <w:bookmarkEnd w:id="43"/>
    <w:bookmarkStart w:id="45" w:name="Xf5d997f2a6e2f41cada0ba738e7d17909332586"/>
    <w:p>
      <w:pPr>
        <w:pStyle w:val="Heading3"/>
      </w:pPr>
      <w:r>
        <w:t xml:space="preserve">Referanslama ve deney koşulları parametreleri “birinci sınıf vatandaş” değil</w:t>
      </w:r>
    </w:p>
    <w:p>
      <w:pPr>
        <w:pStyle w:val="FirstParagraph"/>
      </w:pPr>
      <w:r>
        <w:t xml:space="preserve">NMR’de kimyasal kaymalar; solvent, sıcaklık, konsantrasyon, pH, hidrojen bağı ve referanslama (TMS/DSS vb.) gibi faktörlerden etkilenir. IUPAC, kimyasal kaymaların evrensel birincil referans olarak TMS (organik) veya DSS (aqueous) ile ilişkilendirilmesini ve dolaylı referanslamanın “ikincil” yaklaşım olduğunu vurgular.</w:t>
      </w:r>
      <w:r>
        <w:t xml:space="preserve"> </w:t>
      </w:r>
      <w:hyperlink r:id="rId44">
        <w:r>
          <w:rPr>
            <w:rStyle w:val="Hyperlink"/>
          </w:rPr>
          <w:t xml:space="preserve">[20]</w:t>
        </w:r>
      </w:hyperlink>
    </w:p>
    <w:p>
      <w:pPr>
        <w:pStyle w:val="BodyText"/>
      </w:pPr>
      <w:r>
        <w:t xml:space="preserve">Ticari ürün beklentisi şudur: kullanıcı arayüzü ve veri modeli, “solvent / alan şiddeti / sıcaklık / referans piki” gibi değişkenleri her spektrum için</w:t>
      </w:r>
      <w:r>
        <w:t xml:space="preserve"> </w:t>
      </w:r>
      <w:r>
        <w:rPr>
          <w:b/>
          <w:bCs/>
        </w:rPr>
        <w:t xml:space="preserve">zorunlu metadata</w:t>
      </w:r>
      <w:r>
        <w:t xml:space="preserve"> </w:t>
      </w:r>
      <w:r>
        <w:t xml:space="preserve">olarak taşımalı; prediksiyon ve QC bu parametreleri modele sokmalıdır. ACD bunu “Simulate experimental conditions” ve solvent-spesifik ¹H/¹³C tahmini gibi özelliklerle doğrudan listeler.</w:t>
      </w:r>
      <w:r>
        <w:t xml:space="preserve"> </w:t>
      </w:r>
      <w:hyperlink r:id="rId40">
        <w:r>
          <w:rPr>
            <w:rStyle w:val="Hyperlink"/>
          </w:rPr>
          <w:t xml:space="preserve">[17]</w:t>
        </w:r>
      </w:hyperlink>
    </w:p>
    <w:bookmarkEnd w:id="45"/>
    <w:bookmarkEnd w:id="46"/>
    <w:bookmarkStart w:id="51" w:name="X17ca32a9458c0c5b33e82c6abcfed6d9cecc396"/>
    <w:p>
      <w:pPr>
        <w:pStyle w:val="Heading2"/>
      </w:pPr>
      <w:r>
        <w:t xml:space="preserve">Teyit raporu ve kural motoru için zorunlu düzeltmeler</w:t>
      </w:r>
    </w:p>
    <w:p>
      <w:pPr>
        <w:pStyle w:val="FirstParagraph"/>
      </w:pPr>
      <w:r>
        <w:t xml:space="preserve">Bu bölüm, “teyit raporu”nun kimyasal doğruluğunu artırmak için kural motoru mantığını nasıl yeniden inşa etmeniz gerektiğini özetler. Odak:</w:t>
      </w:r>
      <w:r>
        <w:t xml:space="preserve"> </w:t>
      </w:r>
      <w:r>
        <w:rPr>
          <w:b/>
          <w:bCs/>
        </w:rPr>
        <w:t xml:space="preserve">kuralların kendisi</w:t>
      </w:r>
      <w:r>
        <w:t xml:space="preserve"> </w:t>
      </w:r>
      <w:r>
        <w:t xml:space="preserve">kadar, kuralların dayandığı</w:t>
      </w:r>
      <w:r>
        <w:t xml:space="preserve"> </w:t>
      </w:r>
      <w:r>
        <w:rPr>
          <w:b/>
          <w:bCs/>
        </w:rPr>
        <w:t xml:space="preserve">doğru değişkenlerin</w:t>
      </w:r>
      <w:r>
        <w:t xml:space="preserve"> </w:t>
      </w:r>
      <w:r>
        <w:t xml:space="preserve">üretilmesi.</w:t>
      </w:r>
    </w:p>
    <w:bookmarkStart w:id="47" w:name="girdi-doğrulama-kuralları"/>
    <w:p>
      <w:pPr>
        <w:pStyle w:val="Heading3"/>
      </w:pPr>
      <w:r>
        <w:t xml:space="preserve">Girdi doğrulama kuralları</w:t>
      </w:r>
    </w:p>
    <w:p>
      <w:pPr>
        <w:pStyle w:val="FirstParagraph"/>
      </w:pPr>
      <w:r>
        <w:t xml:space="preserve">Zorunlu eklentiler:</w:t>
      </w:r>
    </w:p>
    <w:p>
      <w:pPr>
        <w:pStyle w:val="Compact"/>
        <w:numPr>
          <w:ilvl w:val="0"/>
          <w:numId w:val="1005"/>
        </w:numPr>
      </w:pPr>
      <w:r>
        <w:rPr>
          <w:b/>
          <w:bCs/>
        </w:rPr>
        <w:t xml:space="preserve">SMILES geçerlilik doğrulaması</w:t>
      </w:r>
      <w:r>
        <w:t xml:space="preserve">: Unmatched parantez, ring closure eşleşmeme, illegal karakter, valans ihlali → “FATAL: Invalid structure input”.</w:t>
      </w:r>
    </w:p>
    <w:p>
      <w:pPr>
        <w:pStyle w:val="Compact"/>
        <w:numPr>
          <w:ilvl w:val="0"/>
          <w:numId w:val="1005"/>
        </w:numPr>
      </w:pPr>
      <w:r>
        <w:rPr>
          <w:b/>
          <w:bCs/>
        </w:rPr>
        <w:t xml:space="preserve">İsim ↔ formül ↔ fonksiyonel grup tutarlılığı</w:t>
      </w:r>
      <w:r>
        <w:t xml:space="preserve">: “resveratrol” etiketi girildiğinde sistem otomatik olarak “C14H12O3 ve 3×phenolic OH” bekleyip, SMILES’ta 2×OH görürse “Name/structure mismatch” biçiminde WARN vermeli. Resveratrol ve stilbestrol/dihidroksistilben formülleri bu tür kontroller için net örnek sağlar.</w:t>
      </w:r>
      <w:r>
        <w:t xml:space="preserve"> </w:t>
      </w:r>
      <w:hyperlink r:id="rId23">
        <w:r>
          <w:rPr>
            <w:rStyle w:val="Hyperlink"/>
          </w:rPr>
          <w:t xml:space="preserve">[7]</w:t>
        </w:r>
      </w:hyperlink>
    </w:p>
    <w:p>
      <w:pPr>
        <w:pStyle w:val="Compact"/>
        <w:numPr>
          <w:ilvl w:val="0"/>
          <w:numId w:val="1005"/>
        </w:numPr>
      </w:pPr>
      <w:r>
        <w:rPr>
          <w:b/>
          <w:bCs/>
        </w:rPr>
        <w:t xml:space="preserve">Standardizasyon</w:t>
      </w:r>
      <w:r>
        <w:t xml:space="preserve">: tuz/solvat ayrımı, en büyük fragmanı seçme, net yük/protomer seçimi.</w:t>
      </w:r>
    </w:p>
    <w:bookmarkEnd w:id="47"/>
    <w:bookmarkStart w:id="48" w:name="X5d482cff30aff33241d54eb02310dcb72662435"/>
    <w:p>
      <w:pPr>
        <w:pStyle w:val="Heading3"/>
      </w:pPr>
      <w:r>
        <w:t xml:space="preserve">Yapıdan türetilen beklenen NMR özet istatistikleri</w:t>
      </w:r>
    </w:p>
    <w:p>
      <w:pPr>
        <w:pStyle w:val="FirstParagraph"/>
      </w:pPr>
      <w:r>
        <w:t xml:space="preserve">Teyit raporunuzun birçok modülü şu tür “expected” değerleri kullanıyor: toplam H sayısı, aromatik H beklenen, karbon sayısı, protonlu karbon sayısı, karbonil var/yok vb. Bunların</w:t>
      </w:r>
      <w:r>
        <w:t xml:space="preserve"> </w:t>
      </w:r>
      <w:r>
        <w:rPr>
          <w:b/>
          <w:bCs/>
        </w:rPr>
        <w:t xml:space="preserve">graf tabanlı</w:t>
      </w:r>
      <w:r>
        <w:t xml:space="preserve"> </w:t>
      </w:r>
      <w:r>
        <w:t xml:space="preserve">hesaplanması şart.</w:t>
      </w:r>
    </w:p>
    <w:p>
      <w:pPr>
        <w:pStyle w:val="BodyText"/>
      </w:pPr>
      <w:r>
        <w:t xml:space="preserve">Önerilen çekirdek değişken seti (hepsi yapı grafından hesaplanmalı):</w:t>
      </w:r>
    </w:p>
    <w:p>
      <w:pPr>
        <w:pStyle w:val="Compact"/>
        <w:numPr>
          <w:ilvl w:val="0"/>
          <w:numId w:val="1006"/>
        </w:numPr>
      </w:pPr>
      <w:r>
        <w:rPr>
          <w:rStyle w:val="VerbatimChar"/>
        </w:rPr>
        <w:t xml:space="preserve">nC_total</w:t>
      </w:r>
      <w:r>
        <w:t xml:space="preserve">,</w:t>
      </w:r>
      <w:r>
        <w:t xml:space="preserve"> </w:t>
      </w:r>
      <w:r>
        <w:rPr>
          <w:rStyle w:val="VerbatimChar"/>
        </w:rPr>
        <w:t xml:space="preserve">nH_total</w:t>
      </w:r>
      <w:r>
        <w:t xml:space="preserve">,</w:t>
      </w:r>
      <w:r>
        <w:t xml:space="preserve"> </w:t>
      </w:r>
      <w:r>
        <w:rPr>
          <w:rStyle w:val="VerbatimChar"/>
        </w:rPr>
        <w:t xml:space="preserve">nN_total</w:t>
      </w:r>
      <w:r>
        <w:t xml:space="preserve">, … (formül)</w:t>
      </w:r>
    </w:p>
    <w:p>
      <w:pPr>
        <w:pStyle w:val="Compact"/>
        <w:numPr>
          <w:ilvl w:val="0"/>
          <w:numId w:val="1006"/>
        </w:numPr>
      </w:pPr>
      <w:r>
        <w:rPr>
          <w:rStyle w:val="VerbatimChar"/>
        </w:rPr>
        <w:t xml:space="preserve">DBE</w:t>
      </w:r>
      <w:r>
        <w:t xml:space="preserve"> </w:t>
      </w:r>
      <w:r>
        <w:t xml:space="preserve">(formülden; DBE = C − H/2 + N/2 + 1 − X/2 gibi klasik formül)</w:t>
      </w:r>
    </w:p>
    <w:p>
      <w:pPr>
        <w:pStyle w:val="Compact"/>
        <w:numPr>
          <w:ilvl w:val="0"/>
          <w:numId w:val="1006"/>
        </w:numPr>
      </w:pPr>
      <w:r>
        <w:rPr>
          <w:rStyle w:val="VerbatimChar"/>
        </w:rPr>
        <w:t xml:space="preserve">nC_aromatic</w:t>
      </w:r>
      <w:r>
        <w:t xml:space="preserve">,</w:t>
      </w:r>
      <w:r>
        <w:t xml:space="preserve"> </w:t>
      </w:r>
      <w:r>
        <w:rPr>
          <w:rStyle w:val="VerbatimChar"/>
        </w:rPr>
        <w:t xml:space="preserve">nH_aromatic</w:t>
      </w:r>
      <w:r>
        <w:t xml:space="preserve"> </w:t>
      </w:r>
      <w:r>
        <w:t xml:space="preserve">(aromatik sınıf)</w:t>
      </w:r>
    </w:p>
    <w:p>
      <w:pPr>
        <w:pStyle w:val="Compact"/>
        <w:numPr>
          <w:ilvl w:val="0"/>
          <w:numId w:val="1006"/>
        </w:numPr>
      </w:pPr>
      <w:r>
        <w:rPr>
          <w:rStyle w:val="VerbatimChar"/>
        </w:rPr>
        <w:t xml:space="preserve">nC_sp2_non_aromatic</w:t>
      </w:r>
      <w:r>
        <w:t xml:space="preserve"> </w:t>
      </w:r>
      <w:r>
        <w:t xml:space="preserve">(alken/karbonil vb.)</w:t>
      </w:r>
    </w:p>
    <w:p>
      <w:pPr>
        <w:pStyle w:val="Compact"/>
        <w:numPr>
          <w:ilvl w:val="0"/>
          <w:numId w:val="1006"/>
        </w:numPr>
      </w:pPr>
      <w:r>
        <w:rPr>
          <w:rStyle w:val="VerbatimChar"/>
        </w:rPr>
        <w:t xml:space="preserve">nC_carbonyl</w:t>
      </w:r>
      <w:r>
        <w:t xml:space="preserve"> </w:t>
      </w:r>
      <w:r>
        <w:t xml:space="preserve">(C=O türleri: ester/amide/keton/aldehit/asit)</w:t>
      </w:r>
    </w:p>
    <w:p>
      <w:pPr>
        <w:pStyle w:val="Compact"/>
        <w:numPr>
          <w:ilvl w:val="0"/>
          <w:numId w:val="1006"/>
        </w:numPr>
      </w:pPr>
      <w:r>
        <w:rPr>
          <w:rStyle w:val="VerbatimChar"/>
        </w:rPr>
        <w:t xml:space="preserve">nC_protonated = nCH + nCH2 + nCH3</w:t>
      </w:r>
      <w:r>
        <w:t xml:space="preserve"> </w:t>
      </w:r>
      <w:r>
        <w:t xml:space="preserve">(HSQC beklenen tepe sayısı)</w:t>
      </w:r>
    </w:p>
    <w:p>
      <w:pPr>
        <w:pStyle w:val="Compact"/>
        <w:numPr>
          <w:ilvl w:val="0"/>
          <w:numId w:val="1006"/>
        </w:numPr>
      </w:pPr>
      <w:r>
        <w:rPr>
          <w:rStyle w:val="VerbatimChar"/>
        </w:rPr>
        <w:t xml:space="preserve">nH_exchangeable</w:t>
      </w:r>
      <w:r>
        <w:t xml:space="preserve"> </w:t>
      </w:r>
      <w:r>
        <w:t xml:space="preserve">(OH/NH/SH; çözücüye göre gözlenebilirlik opsiyonları)</w:t>
      </w:r>
    </w:p>
    <w:p>
      <w:pPr>
        <w:pStyle w:val="Compact"/>
        <w:numPr>
          <w:ilvl w:val="0"/>
          <w:numId w:val="1006"/>
        </w:numPr>
      </w:pPr>
      <w:r>
        <w:rPr>
          <w:rStyle w:val="VerbatimChar"/>
        </w:rPr>
        <w:t xml:space="preserve">symmetry_classes</w:t>
      </w:r>
      <w:r>
        <w:t xml:space="preserve"> </w:t>
      </w:r>
      <w:r>
        <w:t xml:space="preserve">(benzersiz ¹³C çevre sayısı; gerekli olduğunda ¹H benzersiz çevre sayısı)</w:t>
      </w:r>
    </w:p>
    <w:p>
      <w:pPr>
        <w:pStyle w:val="FirstParagraph"/>
      </w:pPr>
      <w:r>
        <w:t xml:space="preserve">Bu veriler olmadan “HSQC assignment ratio”, “aromatic integral expectation”, “methyl class mismatch” gibi QC’ler güvenilir çalışmaz.</w:t>
      </w:r>
    </w:p>
    <w:bookmarkEnd w:id="48"/>
    <w:bookmarkStart w:id="49" w:name="X585c90404e93afb4bb92efa894d1b7a58d061b4"/>
    <w:p>
      <w:pPr>
        <w:pStyle w:val="Heading3"/>
      </w:pPr>
      <w:r>
        <w:t xml:space="preserve">HSQC/COSY/HMBC kuralları: kimyasal prensiplerle hizalama</w:t>
      </w:r>
    </w:p>
    <w:p>
      <w:pPr>
        <w:pStyle w:val="FirstParagraph"/>
      </w:pPr>
      <w:r>
        <w:t xml:space="preserve">HSQC için kural temeli: “HSQC sadece doğrudan bağlı protonlu karbona tepe verir.”</w:t>
      </w:r>
      <w:r>
        <w:t xml:space="preserve"> </w:t>
      </w:r>
      <w:hyperlink r:id="rId32">
        <w:r>
          <w:rPr>
            <w:rStyle w:val="Hyperlink"/>
          </w:rPr>
          <w:t xml:space="preserve">[12]</w:t>
        </w:r>
      </w:hyperlink>
      <w:r>
        <w:br/>
      </w:r>
      <w:r>
        <w:t xml:space="preserve">Dolayısıyla:</w:t>
      </w:r>
    </w:p>
    <w:p>
      <w:pPr>
        <w:pStyle w:val="Compact"/>
        <w:numPr>
          <w:ilvl w:val="0"/>
          <w:numId w:val="1007"/>
        </w:numPr>
      </w:pPr>
      <w:r>
        <w:t xml:space="preserve">HSQC “pass” verilmesi için</w:t>
      </w:r>
      <w:r>
        <w:t xml:space="preserve"> </w:t>
      </w:r>
      <w:r>
        <w:rPr>
          <w:b/>
          <w:bCs/>
        </w:rPr>
        <w:t xml:space="preserve">HSQC tepe sayısı ≥ protonlu karbon sayısının belli yüzdesi</w:t>
      </w:r>
      <w:r>
        <w:t xml:space="preserve"> </w:t>
      </w:r>
      <w:r>
        <w:t xml:space="preserve">olmalı (data completeness varmı yokmu ayrı).</w:t>
      </w:r>
    </w:p>
    <w:p>
      <w:pPr>
        <w:pStyle w:val="Compact"/>
        <w:numPr>
          <w:ilvl w:val="0"/>
          <w:numId w:val="1007"/>
        </w:numPr>
      </w:pPr>
      <w:r>
        <w:t xml:space="preserve">“OH/NH exchange” gerekçesi, yalnızca “¹H ekseriyeti OH/NH olan spektrumda ¹H integrali beklenenden düşük” gibi durumlarda kullanılmalı;</w:t>
      </w:r>
      <w:r>
        <w:t xml:space="preserve"> </w:t>
      </w:r>
      <w:r>
        <w:rPr>
          <w:b/>
          <w:bCs/>
        </w:rPr>
        <w:t xml:space="preserve">CH/CH₂ HSQC boşluğu</w:t>
      </w:r>
      <w:r>
        <w:t xml:space="preserve"> </w:t>
      </w:r>
      <w:r>
        <w:t xml:space="preserve">için kullanılmamalı.</w:t>
      </w:r>
    </w:p>
    <w:p>
      <w:pPr>
        <w:pStyle w:val="FirstParagraph"/>
      </w:pPr>
      <w:r>
        <w:t xml:space="preserve">COSY için kural temeli: COSY, ¹H–¹H</w:t>
      </w:r>
      <w:r>
        <w:t xml:space="preserve"> </w:t>
      </w:r>
      <w:r>
        <w:rPr>
          <w:b/>
          <w:bCs/>
        </w:rPr>
        <w:t xml:space="preserve">skaler kuplaj</w:t>
      </w:r>
      <w:r>
        <w:t xml:space="preserve"> </w:t>
      </w:r>
      <w:r>
        <w:t xml:space="preserve">(çoğunlukla ³J) ağını verir; bu nedenle COSY varlığı, spin sistemi bağlanabilirliğini gösterir. ACD bu tür 2D yöntemleri tahmin edebildiğini listeler (1H‑1H COSY dahil).</w:t>
      </w:r>
      <w:r>
        <w:t xml:space="preserve"> </w:t>
      </w:r>
      <w:hyperlink r:id="rId40">
        <w:r>
          <w:rPr>
            <w:rStyle w:val="Hyperlink"/>
          </w:rPr>
          <w:t xml:space="preserve">[17]</w:t>
        </w:r>
      </w:hyperlink>
    </w:p>
    <w:p>
      <w:pPr>
        <w:pStyle w:val="BodyText"/>
      </w:pPr>
      <w:r>
        <w:t xml:space="preserve">HMBC için kural temeli: HMBC, 2–3 bağ uzaklıktaki ¹H–¹³C korelasyonlarını vurgular; bu özellikle karbonil/aromatik iskelet bağlantılarında kritiktir (quercetin örnek tabloda HMBC korelasyonları listelenmiştir).</w:t>
      </w:r>
      <w:r>
        <w:t xml:space="preserve"> </w:t>
      </w:r>
      <w:hyperlink r:id="rId29">
        <w:r>
          <w:rPr>
            <w:rStyle w:val="Hyperlink"/>
          </w:rPr>
          <w:t xml:space="preserve">[10]</w:t>
        </w:r>
      </w:hyperlink>
      <w:r>
        <w:br/>
      </w:r>
      <w:r>
        <w:t xml:space="preserve">Bu nedenle HMBC QC’si “karbonil var ise en az bir HMBC karbonil korelasyonu” gibi kaba bir kural yerine,</w:t>
      </w:r>
      <w:r>
        <w:t xml:space="preserve"> </w:t>
      </w:r>
      <w:r>
        <w:rPr>
          <w:b/>
          <w:bCs/>
        </w:rPr>
        <w:t xml:space="preserve">yapıdan türetilen olası 2J/3J yolların kapsanma oranını</w:t>
      </w:r>
      <w:r>
        <w:t xml:space="preserve"> </w:t>
      </w:r>
      <w:r>
        <w:t xml:space="preserve">hedeflemeli.</w:t>
      </w:r>
    </w:p>
    <w:bookmarkEnd w:id="49"/>
    <w:bookmarkStart w:id="50" w:name="X1de26c2257308990b152a4c76a6873ce587e8e2"/>
    <w:p>
      <w:pPr>
        <w:pStyle w:val="Heading3"/>
      </w:pPr>
      <w:r>
        <w:t xml:space="preserve">MS ve IR kuralları: yapı-fonksiyonel gruba bağlama</w:t>
      </w:r>
    </w:p>
    <w:p>
      <w:pPr>
        <w:pStyle w:val="FirstParagraph"/>
      </w:pPr>
      <w:r>
        <w:t xml:space="preserve">ESI adductları için [M+H]⁺, [M+Na]⁺, [M+K]⁺ vb. beklenenleri ve kütle farklarını tablo bazlı tanımlamak doğru yönde; bu tür adduct listeleri üretici dokümantasyonlarında standartlaştırılmıştır.</w:t>
      </w:r>
      <w:r>
        <w:t xml:space="preserve"> </w:t>
      </w:r>
      <w:hyperlink r:id="rId34">
        <w:r>
          <w:rPr>
            <w:rStyle w:val="Hyperlink"/>
          </w:rPr>
          <w:t xml:space="preserve">[13]</w:t>
        </w:r>
      </w:hyperlink>
      <w:r>
        <w:br/>
      </w:r>
      <w:r>
        <w:t xml:space="preserve">Alkol/çoklu OH içeren bileşiklerde su kaybı fragmanı (M–18) sık görüldüğünden, bu kaybın varlığı/ yokluğu için kural koymak mantıklıdır.</w:t>
      </w:r>
      <w:r>
        <w:t xml:space="preserve"> </w:t>
      </w:r>
      <w:hyperlink r:id="rId35">
        <w:r>
          <w:rPr>
            <w:rStyle w:val="Hyperlink"/>
          </w:rPr>
          <w:t xml:space="preserve">[14]</w:t>
        </w:r>
      </w:hyperlink>
    </w:p>
    <w:p>
      <w:pPr>
        <w:pStyle w:val="BodyText"/>
      </w:pPr>
      <w:r>
        <w:t xml:space="preserve">IR tarafında fenolik O–H bandı ve aromatik iskelet bantları gibi temel fonksiyonel grup işaretleri, aromatik algısı sağlamlaştırıldıktan sonra spektruma yansıtılmalı.</w:t>
      </w:r>
      <w:r>
        <w:t xml:space="preserve"> </w:t>
      </w:r>
      <w:hyperlink r:id="rId36">
        <w:r>
          <w:rPr>
            <w:rStyle w:val="Hyperlink"/>
          </w:rPr>
          <w:t xml:space="preserve">[21]</w:t>
        </w:r>
      </w:hyperlink>
    </w:p>
    <w:bookmarkEnd w:id="50"/>
    <w:bookmarkEnd w:id="51"/>
    <w:bookmarkStart w:id="64" w:name="Xae130dc130c7405a58ba3a20bbbfc43096df6aa"/>
    <w:p>
      <w:pPr>
        <w:pStyle w:val="Heading2"/>
      </w:pPr>
      <w:r>
        <w:t xml:space="preserve">Spektrum üretim motorunu Mnova/ACD seviyesine çıkarmak için zorunlu mimari</w:t>
      </w:r>
    </w:p>
    <w:p>
      <w:pPr>
        <w:pStyle w:val="FirstParagraph"/>
      </w:pPr>
      <w:r>
        <w:t xml:space="preserve">Bu bölüm, “sadece QC’yi düzeltmek” değil,</w:t>
      </w:r>
      <w:r>
        <w:t xml:space="preserve"> </w:t>
      </w:r>
      <w:r>
        <w:rPr>
          <w:b/>
          <w:bCs/>
        </w:rPr>
        <w:t xml:space="preserve">teorik spektrum üretimini gerçekten yapıya bağlı</w:t>
      </w:r>
      <w:r>
        <w:t xml:space="preserve"> </w:t>
      </w:r>
      <w:r>
        <w:t xml:space="preserve">bir modele dönüştürmek için gereken mimariyi önerir. Mnova ve ACD’nin ürün açıklamaları burada doğrudan hedef benchmark olarak kullanıldı.</w:t>
      </w:r>
    </w:p>
    <w:bookmarkStart w:id="55" w:name="Xdc9c614c88a40608a04de35b6c36aee92c64d28"/>
    <w:p>
      <w:pPr>
        <w:pStyle w:val="Heading3"/>
      </w:pPr>
      <w:r>
        <w:t xml:space="preserve">Tahmin algoritması yaklaşımı: tek motor değil, ensemble + eğitim</w:t>
      </w:r>
    </w:p>
    <w:p>
      <w:pPr>
        <w:pStyle w:val="FirstParagraph"/>
      </w:pPr>
      <w:r>
        <w:t xml:space="preserve">Mnova NMRPredict/Mnova Predict; ML yöntemleri, increment ve</w:t>
      </w:r>
      <w:r>
        <w:t xml:space="preserve"> </w:t>
      </w:r>
      <w:r>
        <w:rPr>
          <w:i/>
          <w:iCs/>
        </w:rPr>
        <w:t xml:space="preserve">HOSE</w:t>
      </w:r>
      <w:r>
        <w:t xml:space="preserve">-code algoritmalarını</w:t>
      </w:r>
      <w:r>
        <w:t xml:space="preserve"> </w:t>
      </w:r>
      <w:r>
        <w:rPr>
          <w:b/>
          <w:bCs/>
        </w:rPr>
        <w:t xml:space="preserve">ensemble</w:t>
      </w:r>
      <w:r>
        <w:t xml:space="preserve"> </w:t>
      </w:r>
      <w:r>
        <w:t xml:space="preserve">yaklaşımıyla birleştirdiğini açıkça belirtir.</w:t>
      </w:r>
      <w:r>
        <w:t xml:space="preserve"> </w:t>
      </w:r>
      <w:hyperlink r:id="rId41">
        <w:r>
          <w:rPr>
            <w:rStyle w:val="Hyperlink"/>
          </w:rPr>
          <w:t xml:space="preserve">[18]</w:t>
        </w:r>
      </w:hyperlink>
      <w:r>
        <w:br/>
      </w:r>
      <w:r>
        <w:t xml:space="preserve">ACD/Labs ise iki algoritmayı (HOSE + neural network) birlikte kullandığını; HOSE’un veri tabanına benzer yapılar için güçlü, neural network’ün veri tabanında olmayan kimyasal uzayda daha iyi genelleştiğini ve algoritmaların in-house veri ile eğitilebildiğini anlatır.</w:t>
      </w:r>
      <w:r>
        <w:t xml:space="preserve"> </w:t>
      </w:r>
      <w:hyperlink r:id="rId40">
        <w:r>
          <w:rPr>
            <w:rStyle w:val="Hyperlink"/>
          </w:rPr>
          <w:t xml:space="preserve">[17]</w:t>
        </w:r>
      </w:hyperlink>
    </w:p>
    <w:p>
      <w:pPr>
        <w:pStyle w:val="BodyText"/>
      </w:pPr>
      <w:r>
        <w:t xml:space="preserve">Buna göre “zorunlu” tasarım:</w:t>
      </w:r>
    </w:p>
    <w:p>
      <w:pPr>
        <w:pStyle w:val="Compact"/>
        <w:numPr>
          <w:ilvl w:val="0"/>
          <w:numId w:val="1008"/>
        </w:numPr>
      </w:pPr>
      <w:r>
        <w:rPr>
          <w:b/>
          <w:bCs/>
        </w:rPr>
        <w:t xml:space="preserve">Engine A (HOSE / incremental)</w:t>
      </w:r>
      <w:r>
        <w:t xml:space="preserve">: atom çevresi kodları; hızlı, açıklanabilir, referans veriye dayalı. HOSE kodlarının kimyasal kayma tahmininde yaygın teknoloji olduğu ve HOSE + QSPR birleşiminin endüstride kullanıldığı dokümante edilmiştir.</w:t>
      </w:r>
      <w:r>
        <w:t xml:space="preserve"> </w:t>
      </w:r>
      <w:hyperlink r:id="rId52">
        <w:r>
          <w:rPr>
            <w:rStyle w:val="Hyperlink"/>
          </w:rPr>
          <w:t xml:space="preserve">[22]</w:t>
        </w:r>
      </w:hyperlink>
    </w:p>
    <w:p>
      <w:pPr>
        <w:pStyle w:val="Compact"/>
        <w:numPr>
          <w:ilvl w:val="0"/>
          <w:numId w:val="1008"/>
        </w:numPr>
      </w:pPr>
      <w:r>
        <w:rPr>
          <w:b/>
          <w:bCs/>
        </w:rPr>
        <w:t xml:space="preserve">Engine B (ML / GNN)</w:t>
      </w:r>
      <w:r>
        <w:t xml:space="preserve">: stereokimya, konformasyon ve uzak etkileri daha iyi modellemek için grafik sinir ağları. CASCADE gibi sistemler, 3D yapı girdisiyle GNN kullanarak QM doğruluğuna yaklaşan kimyasal kayma tahminini ve deneysel veriyle transfer learning yaklaşımını gösterir.</w:t>
      </w:r>
      <w:r>
        <w:t xml:space="preserve"> </w:t>
      </w:r>
      <w:hyperlink r:id="rId53">
        <w:r>
          <w:rPr>
            <w:rStyle w:val="Hyperlink"/>
          </w:rPr>
          <w:t xml:space="preserve">[23]</w:t>
        </w:r>
      </w:hyperlink>
    </w:p>
    <w:p>
      <w:pPr>
        <w:pStyle w:val="Compact"/>
        <w:numPr>
          <w:ilvl w:val="0"/>
          <w:numId w:val="1008"/>
        </w:numPr>
      </w:pPr>
      <w:r>
        <w:rPr>
          <w:b/>
          <w:bCs/>
        </w:rPr>
        <w:t xml:space="preserve">Engine C (opsiyonel DFT/GIAO “yüksek doğruluk modu”)</w:t>
      </w:r>
      <w:r>
        <w:t xml:space="preserve">: yüksek maliyetli ama zor vakalarda altın standart yakınsaması. ORCA gibi paketlerin NMR kimyasal kayma/J-kuplaj hesaplayabildiği dokümante edilmiştir.</w:t>
      </w:r>
      <w:r>
        <w:t xml:space="preserve"> </w:t>
      </w:r>
      <w:hyperlink r:id="rId54">
        <w:r>
          <w:rPr>
            <w:rStyle w:val="Hyperlink"/>
          </w:rPr>
          <w:t xml:space="preserve">[24]</w:t>
        </w:r>
      </w:hyperlink>
    </w:p>
    <w:bookmarkEnd w:id="55"/>
    <w:bookmarkStart w:id="58" w:name="X3aa97dc9a591e785526499ab181249cdf784bed"/>
    <w:p>
      <w:pPr>
        <w:pStyle w:val="Heading3"/>
      </w:pPr>
      <w:r>
        <w:t xml:space="preserve">Spin sistemi ve çizgi şekli simülasyonu: “peak listesi” değil “spectrum physics”</w:t>
      </w:r>
    </w:p>
    <w:p>
      <w:pPr>
        <w:pStyle w:val="FirstParagraph"/>
      </w:pPr>
      <w:r>
        <w:t xml:space="preserve">ACD, “kuplaj sabitleri ve ikinci dereceden etkiler (second-order)” gibi ayrıntıları tahmin ettiğini; ayrıca saflaştırılmış (pure shift) ¹H NMR gibi varyantları ele alabildiğini listeler.</w:t>
      </w:r>
      <w:r>
        <w:t xml:space="preserve"> </w:t>
      </w:r>
      <w:hyperlink r:id="rId40">
        <w:r>
          <w:rPr>
            <w:rStyle w:val="Hyperlink"/>
          </w:rPr>
          <w:t xml:space="preserve">[17]</w:t>
        </w:r>
      </w:hyperlink>
      <w:r>
        <w:br/>
      </w:r>
      <w:r>
        <w:t xml:space="preserve">NMRdb gibi online araçlar da AB/ABX gibi ikinci dereceden etkilerin simüle edilebildiğini açıkça yazar.</w:t>
      </w:r>
      <w:r>
        <w:t xml:space="preserve"> </w:t>
      </w:r>
      <w:hyperlink r:id="rId56">
        <w:r>
          <w:rPr>
            <w:rStyle w:val="Hyperlink"/>
          </w:rPr>
          <w:t xml:space="preserve">[25]</w:t>
        </w:r>
      </w:hyperlink>
    </w:p>
    <w:p>
      <w:pPr>
        <w:pStyle w:val="BodyText"/>
      </w:pPr>
      <w:r>
        <w:t xml:space="preserve">Bu seviyeye çıkmak için spektrum üreticinizin çekirdeğinde şu fiziksel model bulunmalı:</w:t>
      </w:r>
    </w:p>
    <w:p>
      <w:pPr>
        <w:pStyle w:val="BodyText"/>
      </w:pPr>
      <w:r>
        <w:t xml:space="preserve">1) Atom bazında:</w:t>
      </w:r>
      <w:r>
        <w:t xml:space="preserve"> </w:t>
      </w:r>
      <w:r>
        <w:rPr>
          <w:rStyle w:val="VerbatimChar"/>
        </w:rPr>
        <w:t xml:space="preserve">(δ_i, J_ij)</w:t>
      </w:r>
      <w:r>
        <w:t xml:space="preserve"> </w:t>
      </w:r>
      <w:r>
        <w:t xml:space="preserve">seti üret (kimyasal kaymalar ve kuplajlar).</w:t>
      </w:r>
      <w:r>
        <w:br/>
      </w:r>
      <w:r>
        <w:t xml:space="preserve">2) Deneysel parametre: alan şiddeti (MHz), linewidth, sıcaklık/viskozite, karışım oranı.</w:t>
      </w:r>
      <w:r>
        <w:br/>
      </w:r>
      <w:r>
        <w:t xml:space="preserve">3) Spin Hamiltonian tabanlı veya iyi yaklaştırma ile</w:t>
      </w:r>
      <w:r>
        <w:t xml:space="preserve"> </w:t>
      </w:r>
      <w:r>
        <w:rPr>
          <w:b/>
          <w:bCs/>
        </w:rPr>
        <w:t xml:space="preserve">frekans domeninde çizgi şekli</w:t>
      </w:r>
      <w:r>
        <w:t xml:space="preserve"> </w:t>
      </w:r>
      <w:r>
        <w:t xml:space="preserve">üret. NP‑MRD protokolleri, kimyasal kaymalar + kuplajlar + alan şiddeti girdisiyle spektrum simülasyonunun standart QM hesaplarıyla yapılabildiğini belirtir.</w:t>
      </w:r>
      <w:r>
        <w:t xml:space="preserve"> </w:t>
      </w:r>
      <w:hyperlink r:id="rId57">
        <w:r>
          <w:rPr>
            <w:rStyle w:val="Hyperlink"/>
          </w:rPr>
          <w:t xml:space="preserve">[26]</w:t>
        </w:r>
      </w:hyperlink>
    </w:p>
    <w:p>
      <w:pPr>
        <w:pStyle w:val="BodyText"/>
      </w:pPr>
      <w:r>
        <w:t xml:space="preserve">Bu altyapı olmadan “multiplicity: dd, J=…” gibi çıktıların doğru/kararlı olması beklenmez.</w:t>
      </w:r>
    </w:p>
    <w:bookmarkEnd w:id="58"/>
    <w:bookmarkStart w:id="61" w:name="Xd3f812af2c5f9e138cdc0bc3708a9bbdc7685c6"/>
    <w:p>
      <w:pPr>
        <w:pStyle w:val="Heading3"/>
      </w:pPr>
      <w:r>
        <w:t xml:space="preserve">2D spektrum tahmini: bağlantısallık, edit tipleri, projeksiyonlar</w:t>
      </w:r>
    </w:p>
    <w:p>
      <w:pPr>
        <w:pStyle w:val="FirstParagraph"/>
      </w:pPr>
      <w:r>
        <w:t xml:space="preserve">ACD’nin hedeflediği 2D seti çok geniş: HSQC, HSQC‑DEPT, HMQC, HMBC, HSQC‑TOCSY, JRES vb.</w:t>
      </w:r>
      <w:r>
        <w:t xml:space="preserve"> </w:t>
      </w:r>
      <w:hyperlink r:id="rId40">
        <w:r>
          <w:rPr>
            <w:rStyle w:val="Hyperlink"/>
          </w:rPr>
          <w:t xml:space="preserve">[17]</w:t>
        </w:r>
      </w:hyperlink>
      <w:r>
        <w:br/>
      </w:r>
      <w:r>
        <w:t xml:space="preserve">Mnova NMRPredict’in en azından HSQC tahmini yaptığını belirtir.</w:t>
      </w:r>
      <w:r>
        <w:t xml:space="preserve"> </w:t>
      </w:r>
      <w:hyperlink r:id="rId59">
        <w:r>
          <w:rPr>
            <w:rStyle w:val="Hyperlink"/>
          </w:rPr>
          <w:t xml:space="preserve">[27]</w:t>
        </w:r>
      </w:hyperlink>
      <w:r>
        <w:br/>
      </w:r>
      <w:r>
        <w:t xml:space="preserve">NMRium demo predict aracı da varsayılan olarak ¹H/¹³C yanında COSY/HSQC/HMBC ürettiğini söyler.</w:t>
      </w:r>
      <w:r>
        <w:t xml:space="preserve"> </w:t>
      </w:r>
      <w:hyperlink r:id="rId60">
        <w:r>
          <w:rPr>
            <w:rStyle w:val="Hyperlink"/>
          </w:rPr>
          <w:t xml:space="preserve">[28]</w:t>
        </w:r>
      </w:hyperlink>
    </w:p>
    <w:p>
      <w:pPr>
        <w:pStyle w:val="BodyText"/>
      </w:pPr>
      <w:r>
        <w:t xml:space="preserve">Sizin sisteminiz için “zorunlu genişleme”:</w:t>
      </w:r>
    </w:p>
    <w:p>
      <w:pPr>
        <w:pStyle w:val="Compact"/>
        <w:numPr>
          <w:ilvl w:val="0"/>
          <w:numId w:val="1009"/>
        </w:numPr>
      </w:pPr>
      <w:r>
        <w:t xml:space="preserve">HSQC: her protonlu karbon için (δH, δC) + CH/CH₂/CH₃ faz etiketi (DEPT editing).</w:t>
      </w:r>
    </w:p>
    <w:p>
      <w:pPr>
        <w:pStyle w:val="Compact"/>
        <w:numPr>
          <w:ilvl w:val="0"/>
          <w:numId w:val="1009"/>
        </w:numPr>
      </w:pPr>
      <w:r>
        <w:t xml:space="preserve">HMBC: 2–3 bağ yoluyla olası korelasyonların graf tabanlı üretimi ve olasılık/ağırlıklandırma.</w:t>
      </w:r>
    </w:p>
    <w:p>
      <w:pPr>
        <w:pStyle w:val="Compact"/>
        <w:numPr>
          <w:ilvl w:val="0"/>
          <w:numId w:val="1009"/>
        </w:numPr>
      </w:pPr>
      <w:r>
        <w:t xml:space="preserve">COSY: 2J/3J (ve opsiyonel long-range) korelasyonlarının graf tabanlı listesi.</w:t>
      </w:r>
    </w:p>
    <w:p>
      <w:pPr>
        <w:pStyle w:val="Compact"/>
        <w:numPr>
          <w:ilvl w:val="0"/>
          <w:numId w:val="1009"/>
        </w:numPr>
      </w:pPr>
      <w:r>
        <w:t xml:space="preserve">2D kontur simülasyonu: sadece “pair list” değil, istenirse kontur haritasına dönüşen yoğunluk modeli (ticari ürün seviyesinde beklenir).</w:t>
      </w:r>
      <w:r>
        <w:t xml:space="preserve"> </w:t>
      </w:r>
      <w:hyperlink r:id="rId40">
        <w:r>
          <w:rPr>
            <w:rStyle w:val="Hyperlink"/>
          </w:rPr>
          <w:t xml:space="preserve">[17]</w:t>
        </w:r>
      </w:hyperlink>
    </w:p>
    <w:bookmarkEnd w:id="61"/>
    <w:bookmarkStart w:id="63" w:name="X365434bc36abbd8fd07126b3a5a071a0f45616b"/>
    <w:p>
      <w:pPr>
        <w:pStyle w:val="Heading3"/>
      </w:pPr>
      <w:r>
        <w:t xml:space="preserve">Referans veri tabanı ve eğitim verisi: “kapsam”ın gerçek olması</w:t>
      </w:r>
    </w:p>
    <w:p>
      <w:pPr>
        <w:pStyle w:val="FirstParagraph"/>
      </w:pPr>
      <w:r>
        <w:t xml:space="preserve">ACD, kapsamlı spektral veritabanı metrikleri (milyonlarca ¹H/¹³C kayma; yüzbinlerce yapı) ve “sürekli güncellenen NMR spektral veritabanları” gibi iddiaları ürün özelliği olarak sunar.</w:t>
      </w:r>
      <w:r>
        <w:t xml:space="preserve"> </w:t>
      </w:r>
      <w:hyperlink r:id="rId40">
        <w:r>
          <w:rPr>
            <w:rStyle w:val="Hyperlink"/>
          </w:rPr>
          <w:t xml:space="preserve">[17]</w:t>
        </w:r>
      </w:hyperlink>
      <w:r>
        <w:br/>
      </w:r>
      <w:r>
        <w:t xml:space="preserve">ACD/NMR Workbook Suite broşürü ayrıca ~100 milyon bilinen yapıdan türetilmiş ¹³C sinyalleri ile “known structure search/dereplication” tarzı arama yaklaşımını tarif eder.</w:t>
      </w:r>
      <w:r>
        <w:t xml:space="preserve"> </w:t>
      </w:r>
      <w:hyperlink r:id="rId62">
        <w:r>
          <w:rPr>
            <w:rStyle w:val="Hyperlink"/>
          </w:rPr>
          <w:t xml:space="preserve">[29]</w:t>
        </w:r>
      </w:hyperlink>
    </w:p>
    <w:p>
      <w:pPr>
        <w:pStyle w:val="BodyText"/>
      </w:pPr>
      <w:r>
        <w:t xml:space="preserve">Sizin tarafta</w:t>
      </w:r>
      <w:r>
        <w:t xml:space="preserve"> </w:t>
      </w:r>
      <w:r>
        <w:rPr>
          <w:b/>
          <w:bCs/>
        </w:rPr>
        <w:t xml:space="preserve">GOLDEN_EXPECTATIONS</w:t>
      </w:r>
      <w:r>
        <w:t xml:space="preserve">,</w:t>
      </w:r>
      <w:r>
        <w:t xml:space="preserve"> </w:t>
      </w:r>
      <w:r>
        <w:rPr>
          <w:b/>
          <w:bCs/>
        </w:rPr>
        <w:t xml:space="preserve">coverage_matrix</w:t>
      </w:r>
      <w:r>
        <w:t xml:space="preserve">,</w:t>
      </w:r>
      <w:r>
        <w:t xml:space="preserve"> </w:t>
      </w:r>
      <w:r>
        <w:rPr>
          <w:b/>
          <w:bCs/>
        </w:rPr>
        <w:t xml:space="preserve">verification_library</w:t>
      </w:r>
      <w:r>
        <w:t xml:space="preserve"> </w:t>
      </w:r>
      <w:r>
        <w:t xml:space="preserve">gibi altyapı tohumları doğru yönde; fakat ticari düzey için:</w:t>
      </w:r>
    </w:p>
    <w:p>
      <w:pPr>
        <w:pStyle w:val="Compact"/>
        <w:numPr>
          <w:ilvl w:val="0"/>
          <w:numId w:val="1010"/>
        </w:numPr>
      </w:pPr>
      <w:r>
        <w:t xml:space="preserve">Açık lisanslı veri kaynakları (ör. nmrXiv veri setleri CC0 olarak listeleniyor) üretim pipeline’ına alınmalı.</w:t>
      </w:r>
      <w:r>
        <w:t xml:space="preserve"> </w:t>
      </w:r>
      <w:hyperlink r:id="rId24">
        <w:r>
          <w:rPr>
            <w:rStyle w:val="Hyperlink"/>
          </w:rPr>
          <w:t xml:space="preserve">[30]</w:t>
        </w:r>
      </w:hyperlink>
    </w:p>
    <w:p>
      <w:pPr>
        <w:pStyle w:val="Compact"/>
        <w:numPr>
          <w:ilvl w:val="0"/>
          <w:numId w:val="1010"/>
        </w:numPr>
      </w:pPr>
      <w:r>
        <w:t xml:space="preserve">Veri standardı: atom eşlemesi (assignment), solvent/alan şiddeti/ sıcaklık metadata zorunlu.</w:t>
      </w:r>
    </w:p>
    <w:p>
      <w:pPr>
        <w:pStyle w:val="Compact"/>
        <w:numPr>
          <w:ilvl w:val="0"/>
          <w:numId w:val="1010"/>
        </w:numPr>
      </w:pPr>
      <w:r>
        <w:t xml:space="preserve">Modelin “kimyasal uzay” kapsaması için</w:t>
      </w:r>
      <w:r>
        <w:t xml:space="preserve"> </w:t>
      </w:r>
      <w:r>
        <w:rPr>
          <w:i/>
          <w:iCs/>
        </w:rPr>
        <w:t xml:space="preserve">aktif öğrenme</w:t>
      </w:r>
      <w:r>
        <w:t xml:space="preserve"> </w:t>
      </w:r>
      <w:r>
        <w:t xml:space="preserve">(en çok hata yapılan alt sınıflara veri toplama) stratejisi.</w:t>
      </w:r>
    </w:p>
    <w:bookmarkEnd w:id="63"/>
    <w:bookmarkEnd w:id="64"/>
    <w:bookmarkStart w:id="75" w:name="Xa04b292a89fc88b7b463308422ab26c20e7cbf7"/>
    <w:p>
      <w:pPr>
        <w:pStyle w:val="Heading2"/>
      </w:pPr>
      <w:r>
        <w:t xml:space="preserve">Ticari ürün beklentileri ve “Mnova/ACD gibi her şeyi yapma” yol haritası</w:t>
      </w:r>
    </w:p>
    <w:p>
      <w:pPr>
        <w:pStyle w:val="FirstParagraph"/>
      </w:pPr>
      <w:r>
        <w:t xml:space="preserve">Bu bölüm, firmaların pratik beklentilerini “özellik listesi” düzeyinde değil;</w:t>
      </w:r>
      <w:r>
        <w:t xml:space="preserve"> </w:t>
      </w:r>
      <w:r>
        <w:rPr>
          <w:b/>
          <w:bCs/>
        </w:rPr>
        <w:t xml:space="preserve">neden gerekli</w:t>
      </w:r>
      <w:r>
        <w:t xml:space="preserve"> </w:t>
      </w:r>
      <w:r>
        <w:t xml:space="preserve">ve</w:t>
      </w:r>
      <w:r>
        <w:t xml:space="preserve"> </w:t>
      </w:r>
      <w:r>
        <w:rPr>
          <w:b/>
          <w:bCs/>
        </w:rPr>
        <w:t xml:space="preserve">hangi geliştirmelerle</w:t>
      </w:r>
      <w:r>
        <w:t xml:space="preserve"> </w:t>
      </w:r>
      <w:r>
        <w:t xml:space="preserve">karşılanacağı düzeyinde netleştirir.</w:t>
      </w:r>
    </w:p>
    <w:bookmarkStart w:id="69" w:name="X6b2a64d6568086162318c74ed170ef268697953"/>
    <w:p>
      <w:pPr>
        <w:pStyle w:val="Heading3"/>
      </w:pPr>
      <w:r>
        <w:t xml:space="preserve">Kurumsal kullanıcı beklentileri: doğruluk, izlenebilirlik, ölçek</w:t>
      </w:r>
    </w:p>
    <w:p>
      <w:pPr>
        <w:pStyle w:val="FirstParagraph"/>
      </w:pPr>
      <w:r>
        <w:rPr>
          <w:b/>
          <w:bCs/>
        </w:rPr>
        <w:t xml:space="preserve">Doğruluk ve ölçülebilir performans</w:t>
      </w:r>
      <w:r>
        <w:t xml:space="preserve">: ACD, “match factor / quantitative rating” gibi sayısal uyumluluk metrikleriyle yapı‑spektrum uyumunu derecelendirmeyi; ayrıca izomer karşılaştırması (unbiased verification) yapmayı ürün anlatımına koyuyor.</w:t>
      </w:r>
      <w:r>
        <w:t xml:space="preserve"> </w:t>
      </w:r>
      <w:hyperlink r:id="rId62">
        <w:r>
          <w:rPr>
            <w:rStyle w:val="Hyperlink"/>
          </w:rPr>
          <w:t xml:space="preserve">[29]</w:t>
        </w:r>
      </w:hyperlink>
      <w:r>
        <w:br/>
      </w:r>
      <w:r>
        <w:t xml:space="preserve">Bu, sizin teyit motorunuzdaki “score/confidence” fikrinin doğru bir ticari hedef olduğunu gösterir; ancak bu skorların dayandığı temel tahminlerin ve yapı grafının hatasız olması şart.</w:t>
      </w:r>
    </w:p>
    <w:p>
      <w:pPr>
        <w:pStyle w:val="BodyText"/>
      </w:pPr>
      <w:r>
        <w:rPr>
          <w:b/>
          <w:bCs/>
        </w:rPr>
        <w:t xml:space="preserve">Veri işleme ve vendor formatları</w:t>
      </w:r>
      <w:r>
        <w:t xml:space="preserve">: ACD/NMR Workbook Suite’in “tüm büyük üretici formatlarından 1D/2D NMR verisi işleme” yeteneği, ticari pazarda birincil beklentidir.</w:t>
      </w:r>
      <w:r>
        <w:t xml:space="preserve"> </w:t>
      </w:r>
      <w:hyperlink r:id="rId65">
        <w:r>
          <w:rPr>
            <w:rStyle w:val="Hyperlink"/>
          </w:rPr>
          <w:t xml:space="preserve">[31]</w:t>
        </w:r>
      </w:hyperlink>
      <w:r>
        <w:br/>
      </w:r>
      <w:r>
        <w:t xml:space="preserve">Mnova’nın eğitim dokümanları ise FT, faz/baseline düzeltmesi ve 2D işleme adımlarının pratik eğitim materyallerinde standart olduğunu gösterir.</w:t>
      </w:r>
      <w:r>
        <w:t xml:space="preserve"> </w:t>
      </w:r>
      <w:hyperlink r:id="rId66">
        <w:r>
          <w:rPr>
            <w:rStyle w:val="Hyperlink"/>
          </w:rPr>
          <w:t xml:space="preserve">[32]</w:t>
        </w:r>
      </w:hyperlink>
    </w:p>
    <w:p>
      <w:pPr>
        <w:pStyle w:val="BodyText"/>
      </w:pPr>
      <w:r>
        <w:rPr>
          <w:b/>
          <w:bCs/>
        </w:rPr>
        <w:t xml:space="preserve">Otomasyon ve dekonvolüsyon</w:t>
      </w:r>
      <w:r>
        <w:t xml:space="preserve">: Mnova’nın GSD yaklaşımı, peak picking ve multiplet analizini spektrumdan otomatik dekonvolüsyonla çıkarmayı temel yetenek olarak sunar.</w:t>
      </w:r>
      <w:r>
        <w:t xml:space="preserve"> </w:t>
      </w:r>
      <w:hyperlink r:id="rId67">
        <w:r>
          <w:rPr>
            <w:rStyle w:val="Hyperlink"/>
          </w:rPr>
          <w:t xml:space="preserve">[33]</w:t>
        </w:r>
      </w:hyperlink>
      <w:r>
        <w:br/>
      </w:r>
      <w:r>
        <w:t xml:space="preserve">ACD broşürü de karışım analizi ve güçlü multiplet overlap durumlarında dekonvolüsyon/derişim hesapları gibi işlevleri özellikle vurgular.</w:t>
      </w:r>
      <w:r>
        <w:t xml:space="preserve"> </w:t>
      </w:r>
      <w:hyperlink r:id="rId62">
        <w:r>
          <w:rPr>
            <w:rStyle w:val="Hyperlink"/>
          </w:rPr>
          <w:t xml:space="preserve">[29]</w:t>
        </w:r>
      </w:hyperlink>
    </w:p>
    <w:p>
      <w:pPr>
        <w:pStyle w:val="BodyText"/>
      </w:pPr>
      <w:r>
        <w:t xml:space="preserve">Bu yüzden ürünleşme için “zorunlu” bileşenler:</w:t>
      </w:r>
    </w:p>
    <w:p>
      <w:pPr>
        <w:pStyle w:val="Compact"/>
        <w:numPr>
          <w:ilvl w:val="0"/>
          <w:numId w:val="1011"/>
        </w:numPr>
      </w:pPr>
      <w:r>
        <w:rPr>
          <w:b/>
          <w:bCs/>
        </w:rPr>
        <w:t xml:space="preserve">Spektrum işleme pipeline’ı</w:t>
      </w:r>
      <w:r>
        <w:t xml:space="preserve">: FT, phase, baseline, apodization, zero filling, auto/manual referencing, watermark/artefact bastırma. (Mnova’da phase/baseline için gelişmiş algoritmalar ve derin-öğrenme tabanlı iyileştirmeler vurgulanıyor.)</w:t>
      </w:r>
      <w:r>
        <w:t xml:space="preserve"> </w:t>
      </w:r>
      <w:hyperlink r:id="rId68">
        <w:r>
          <w:rPr>
            <w:rStyle w:val="Hyperlink"/>
          </w:rPr>
          <w:t xml:space="preserve">[34]</w:t>
        </w:r>
      </w:hyperlink>
    </w:p>
    <w:p>
      <w:pPr>
        <w:pStyle w:val="Compact"/>
        <w:numPr>
          <w:ilvl w:val="0"/>
          <w:numId w:val="1011"/>
        </w:numPr>
      </w:pPr>
      <w:r>
        <w:rPr>
          <w:b/>
          <w:bCs/>
        </w:rPr>
        <w:t xml:space="preserve">Çoklu spektrum senkron analizi</w:t>
      </w:r>
      <w:r>
        <w:t xml:space="preserve">: 1H/13C/HSQC/HMBC pikleri arasında assignment senkronizasyonu (ACD broşürü bu “simultaneously analyze and assign across datasets” çizgisinde).</w:t>
      </w:r>
      <w:r>
        <w:t xml:space="preserve"> </w:t>
      </w:r>
      <w:hyperlink r:id="rId62">
        <w:r>
          <w:rPr>
            <w:rStyle w:val="Hyperlink"/>
          </w:rPr>
          <w:t xml:space="preserve">[29]</w:t>
        </w:r>
      </w:hyperlink>
    </w:p>
    <w:p>
      <w:pPr>
        <w:pStyle w:val="Compact"/>
        <w:numPr>
          <w:ilvl w:val="0"/>
          <w:numId w:val="1011"/>
        </w:numPr>
      </w:pPr>
      <w:r>
        <w:rPr>
          <w:b/>
          <w:bCs/>
        </w:rPr>
        <w:t xml:space="preserve">Raporlama/çıktı</w:t>
      </w:r>
      <w:r>
        <w:t xml:space="preserve">: Word/Excel/PowerPoint/PDF çıktılarını tek tıkla üretebilme; ACD broşüründe doğrudan beklenen iş akışı olarak geçiyor.</w:t>
      </w:r>
      <w:r>
        <w:t xml:space="preserve"> </w:t>
      </w:r>
      <w:hyperlink r:id="rId62">
        <w:r>
          <w:rPr>
            <w:rStyle w:val="Hyperlink"/>
          </w:rPr>
          <w:t xml:space="preserve">[29]</w:t>
        </w:r>
      </w:hyperlink>
    </w:p>
    <w:bookmarkEnd w:id="69"/>
    <w:bookmarkStart w:id="72" w:name="güvenlik-ve-regülasyon-beklentileri"/>
    <w:p>
      <w:pPr>
        <w:pStyle w:val="Heading3"/>
      </w:pPr>
      <w:r>
        <w:t xml:space="preserve">Güvenlik ve regülasyon beklentileri</w:t>
      </w:r>
    </w:p>
    <w:p>
      <w:pPr>
        <w:pStyle w:val="FirstParagraph"/>
      </w:pPr>
      <w:r>
        <w:t xml:space="preserve">Eğer ürününüz ilaç/regulated endüstride (QC, CMC, analitik geliştirme) kullanılacaksa iki beklenti sık görülür:</w:t>
      </w:r>
    </w:p>
    <w:p>
      <w:pPr>
        <w:pStyle w:val="Compact"/>
        <w:numPr>
          <w:ilvl w:val="0"/>
          <w:numId w:val="1012"/>
        </w:numPr>
      </w:pPr>
      <w:r>
        <w:rPr>
          <w:b/>
          <w:bCs/>
        </w:rPr>
        <w:t xml:space="preserve">ISO/IEC 27001</w:t>
      </w:r>
      <w:r>
        <w:t xml:space="preserve"> </w:t>
      </w:r>
      <w:r>
        <w:t xml:space="preserve">uyumlu bilgi güvenliği yönetim sistemi: ISO, 27001’in “bilgi güvenliği yönetim sistemi kurma/uygulama/sürdürme/iyileştirme” standardı olduğunu açıkça tanımlar.</w:t>
      </w:r>
      <w:r>
        <w:t xml:space="preserve"> </w:t>
      </w:r>
      <w:hyperlink r:id="rId70">
        <w:r>
          <w:rPr>
            <w:rStyle w:val="Hyperlink"/>
          </w:rPr>
          <w:t xml:space="preserve">[35]</w:t>
        </w:r>
      </w:hyperlink>
    </w:p>
    <w:p>
      <w:pPr>
        <w:pStyle w:val="Compact"/>
        <w:numPr>
          <w:ilvl w:val="0"/>
          <w:numId w:val="1012"/>
        </w:numPr>
      </w:pPr>
      <w:r>
        <w:rPr>
          <w:b/>
          <w:bCs/>
        </w:rPr>
        <w:t xml:space="preserve">21 CFR Part 11</w:t>
      </w:r>
      <w:r>
        <w:t xml:space="preserve"> </w:t>
      </w:r>
      <w:r>
        <w:t xml:space="preserve">(FDA): elektronik kayıt ve elektronik imzaların güvenilirliği, kayıtla imza bağının koparılamaması gibi gereksinimler regülasyonda açıkça yer alır.</w:t>
      </w:r>
      <w:r>
        <w:t xml:space="preserve"> </w:t>
      </w:r>
      <w:hyperlink r:id="rId71">
        <w:r>
          <w:rPr>
            <w:rStyle w:val="Hyperlink"/>
          </w:rPr>
          <w:t xml:space="preserve">[36]</w:t>
        </w:r>
      </w:hyperlink>
    </w:p>
    <w:p>
      <w:pPr>
        <w:pStyle w:val="FirstParagraph"/>
      </w:pPr>
      <w:r>
        <w:t xml:space="preserve">Bu da ürüne şu mühendislik eklerini zorunlu kılar: audit trail, versiyonlama, imzalı raporlar, kullanıcı/rol yönetimi, değişmez kayıt (WORM benzeri), doğrulanabilir build (reproducible).</w:t>
      </w:r>
    </w:p>
    <w:bookmarkEnd w:id="72"/>
    <w:bookmarkStart w:id="73" w:name="X6f6ce12bf757f5adddfd7814a499c24b7242d7d"/>
    <w:p>
      <w:pPr>
        <w:pStyle w:val="Heading3"/>
      </w:pPr>
      <w:r>
        <w:t xml:space="preserve">Uygulamanız için “eksiksizleşme” adına somut modül ve kod taslağı</w:t>
      </w:r>
    </w:p>
    <w:p>
      <w:pPr>
        <w:pStyle w:val="FirstParagraph"/>
      </w:pPr>
      <w:r>
        <w:t xml:space="preserve">Aşağıdaki, kod tabanınızı tekrar organize etmek için önerilen</w:t>
      </w:r>
      <w:r>
        <w:t xml:space="preserve"> </w:t>
      </w:r>
      <w:r>
        <w:rPr>
          <w:b/>
          <w:bCs/>
        </w:rPr>
        <w:t xml:space="preserve">çekirdek modül haritasıdır</w:t>
      </w:r>
      <w:r>
        <w:t xml:space="preserve"> </w:t>
      </w:r>
      <w:r>
        <w:t xml:space="preserve">(ticari ürünlerde tipik mimari):</w:t>
      </w:r>
    </w:p>
    <w:p>
      <w:pPr>
        <w:pStyle w:val="SourceCode"/>
      </w:pPr>
      <w:r>
        <w:rPr>
          <w:rStyle w:val="VerbatimChar"/>
        </w:rPr>
        <w:t xml:space="preserve">core/</w:t>
      </w:r>
      <w:r>
        <w:br/>
      </w:r>
      <w:r>
        <w:rPr>
          <w:rStyle w:val="VerbatimChar"/>
        </w:rPr>
        <w:t xml:space="preserve">  chem/</w:t>
      </w:r>
      <w:r>
        <w:br/>
      </w:r>
      <w:r>
        <w:rPr>
          <w:rStyle w:val="VerbatimChar"/>
        </w:rPr>
        <w:t xml:space="preserve">    parse.ts                 // SMILES/InChI/MOL girişleri (robust parsing)</w:t>
      </w:r>
      <w:r>
        <w:br/>
      </w:r>
      <w:r>
        <w:rPr>
          <w:rStyle w:val="VerbatimChar"/>
        </w:rPr>
        <w:t xml:space="preserve">    standardize.ts           // tuz/solvat, kekülizasyon, aromatiklik, tautomer/protomer</w:t>
      </w:r>
      <w:r>
        <w:br/>
      </w:r>
      <w:r>
        <w:rPr>
          <w:rStyle w:val="VerbatimChar"/>
        </w:rPr>
        <w:t xml:space="preserve">    features.ts              // atom/bond özellikleri, symmetry classes, functional groups</w:t>
      </w:r>
      <w:r>
        <w:br/>
      </w:r>
      <w:r>
        <w:rPr>
          <w:rStyle w:val="VerbatimChar"/>
        </w:rPr>
        <w:t xml:space="preserve">    conformers.ts            // 3D konformer üretimi (opsiyonel, ML/DFT için)</w:t>
      </w:r>
      <w:r>
        <w:br/>
      </w:r>
      <w:r>
        <w:rPr>
          <w:rStyle w:val="VerbatimChar"/>
        </w:rPr>
        <w:t xml:space="preserve">  predict/</w:t>
      </w:r>
      <w:r>
        <w:br/>
      </w:r>
      <w:r>
        <w:rPr>
          <w:rStyle w:val="VerbatimChar"/>
        </w:rPr>
        <w:t xml:space="preserve">    nmr/</w:t>
      </w:r>
      <w:r>
        <w:br/>
      </w:r>
      <w:r>
        <w:rPr>
          <w:rStyle w:val="VerbatimChar"/>
        </w:rPr>
        <w:t xml:space="preserve">      shifts_hose.ts         // HOSE/increment tabanlı δ tahmini</w:t>
      </w:r>
      <w:r>
        <w:br/>
      </w:r>
      <w:r>
        <w:rPr>
          <w:rStyle w:val="VerbatimChar"/>
        </w:rPr>
        <w:t xml:space="preserve">      shifts_gnn.ts          // GNN tabanlı δ tahmini (ensemble parçası)</w:t>
      </w:r>
      <w:r>
        <w:br/>
      </w:r>
      <w:r>
        <w:rPr>
          <w:rStyle w:val="VerbatimChar"/>
        </w:rPr>
        <w:t xml:space="preserve">      couplings.ts           // J tahmini (1H-1H, 1H-13C)</w:t>
      </w:r>
      <w:r>
        <w:br/>
      </w:r>
      <w:r>
        <w:rPr>
          <w:rStyle w:val="VerbatimChar"/>
        </w:rPr>
        <w:t xml:space="preserve">      spectrum_sim.ts        // spin sistemi + lineshape simülasyonu</w:t>
      </w:r>
      <w:r>
        <w:br/>
      </w:r>
      <w:r>
        <w:rPr>
          <w:rStyle w:val="VerbatimChar"/>
        </w:rPr>
        <w:t xml:space="preserve">      predict_2d.ts          // HSQC/HMBC/COSY üretimi</w:t>
      </w:r>
      <w:r>
        <w:br/>
      </w:r>
      <w:r>
        <w:rPr>
          <w:rStyle w:val="VerbatimChar"/>
        </w:rPr>
        <w:t xml:space="preserve">    ms/</w:t>
      </w:r>
      <w:r>
        <w:br/>
      </w:r>
      <w:r>
        <w:rPr>
          <w:rStyle w:val="VerbatimChar"/>
        </w:rPr>
        <w:t xml:space="preserve">      adducts.ts             // ESI adduct modeli (pozitif/negatif) (tablo bazlı)</w:t>
      </w:r>
      <w:r>
        <w:br/>
      </w:r>
      <w:r>
        <w:rPr>
          <w:rStyle w:val="VerbatimChar"/>
        </w:rPr>
        <w:t xml:space="preserve">      isotopes.ts            // izotop paternleri</w:t>
      </w:r>
      <w:r>
        <w:br/>
      </w:r>
      <w:r>
        <w:rPr>
          <w:rStyle w:val="VerbatimChar"/>
        </w:rPr>
        <w:t xml:space="preserve">      fragments.ts           // fonksiyonel grup temelli fragmantasyon</w:t>
      </w:r>
      <w:r>
        <w:br/>
      </w:r>
      <w:r>
        <w:rPr>
          <w:rStyle w:val="VerbatimChar"/>
        </w:rPr>
        <w:t xml:space="preserve">    ir/</w:t>
      </w:r>
      <w:r>
        <w:br/>
      </w:r>
      <w:r>
        <w:rPr>
          <w:rStyle w:val="VerbatimChar"/>
        </w:rPr>
        <w:t xml:space="preserve">      bands.ts               // fonksiyonel grup → IR bantları (olası + şiddet)</w:t>
      </w:r>
      <w:r>
        <w:br/>
      </w:r>
      <w:r>
        <w:rPr>
          <w:rStyle w:val="VerbatimChar"/>
        </w:rPr>
        <w:t xml:space="preserve">  verify/</w:t>
      </w:r>
      <w:r>
        <w:br/>
      </w:r>
      <w:r>
        <w:rPr>
          <w:rStyle w:val="VerbatimChar"/>
        </w:rPr>
        <w:t xml:space="preserve">    rules_engine.ts          // JSON tabanlı kurallar + prereq + severity + evidence</w:t>
      </w:r>
      <w:r>
        <w:br/>
      </w:r>
      <w:r>
        <w:rPr>
          <w:rStyle w:val="VerbatimChar"/>
        </w:rPr>
        <w:t xml:space="preserve">    match_metrics.ts         // MAE/RMSE(ppm), match factor, coverage skorları</w:t>
      </w:r>
      <w:r>
        <w:br/>
      </w:r>
      <w:r>
        <w:rPr>
          <w:rStyle w:val="VerbatimChar"/>
        </w:rPr>
        <w:t xml:space="preserve">    explain.ts               // root-cause açıklama jeneratörü</w:t>
      </w:r>
      <w:r>
        <w:br/>
      </w:r>
      <w:r>
        <w:rPr>
          <w:rStyle w:val="VerbatimChar"/>
        </w:rPr>
        <w:t xml:space="preserve">ui/</w:t>
      </w:r>
      <w:r>
        <w:br/>
      </w:r>
      <w:r>
        <w:rPr>
          <w:rStyle w:val="VerbatimChar"/>
        </w:rPr>
        <w:t xml:space="preserve">  viewer/                    // spektrum görüntüleme, overlay, assignment UI</w:t>
      </w:r>
      <w:r>
        <w:br/>
      </w:r>
      <w:r>
        <w:rPr>
          <w:rStyle w:val="VerbatimChar"/>
        </w:rPr>
        <w:t xml:space="preserve">data/</w:t>
      </w:r>
      <w:r>
        <w:br/>
      </w:r>
      <w:r>
        <w:rPr>
          <w:rStyle w:val="VerbatimChar"/>
        </w:rPr>
        <w:t xml:space="preserve">  nmr_db/                    // open + in-house (lisanslı) shift/assignment verileri</w:t>
      </w:r>
      <w:r>
        <w:br/>
      </w:r>
      <w:r>
        <w:rPr>
          <w:rStyle w:val="VerbatimChar"/>
        </w:rPr>
        <w:t xml:space="preserve">  models/                    // ML modelleri ve sürümleri</w:t>
      </w:r>
    </w:p>
    <w:p>
      <w:pPr>
        <w:pStyle w:val="FirstParagraph"/>
      </w:pPr>
      <w:r>
        <w:t xml:space="preserve">Bu yapıda “kimyasal kanunların koda dönüşmesi” iki formdadır:</w:t>
      </w:r>
    </w:p>
    <w:p>
      <w:pPr>
        <w:pStyle w:val="BodyText"/>
      </w:pPr>
      <w:r>
        <w:t xml:space="preserve">1)</w:t>
      </w:r>
      <w:r>
        <w:t xml:space="preserve"> </w:t>
      </w:r>
      <w:r>
        <w:rPr>
          <w:b/>
          <w:bCs/>
        </w:rPr>
        <w:t xml:space="preserve">Deterministik kurallar</w:t>
      </w:r>
      <w:r>
        <w:t xml:space="preserve">: HSQC 1-bond korelasyon prensibi, ESI adduct kütle farkları, IR bant aralıkları, referanslama kuralları gibi tartışmasız fizik/kimya ilkeleri. HSQC ve adduct prensipleri için örnek kaynaklar:</w:t>
      </w:r>
      <w:r>
        <w:t xml:space="preserve"> </w:t>
      </w:r>
      <w:hyperlink r:id="rId32">
        <w:r>
          <w:rPr>
            <w:rStyle w:val="Hyperlink"/>
          </w:rPr>
          <w:t xml:space="preserve">[37]</w:t>
        </w:r>
      </w:hyperlink>
      <w:r>
        <w:br/>
      </w:r>
      <w:r>
        <w:t xml:space="preserve">2)</w:t>
      </w:r>
      <w:r>
        <w:t xml:space="preserve"> </w:t>
      </w:r>
      <w:r>
        <w:rPr>
          <w:b/>
          <w:bCs/>
        </w:rPr>
        <w:t xml:space="preserve">İstatistiksel tahmin</w:t>
      </w:r>
      <w:r>
        <w:t xml:space="preserve">: kimyasal kaymalar ve kuplajlar; HOSE/QSPR ve ML/GNN gibi yöntemler (Mnova/ACD’nin product-level olarak belirttiği yaklaşım).</w:t>
      </w:r>
      <w:r>
        <w:t xml:space="preserve"> </w:t>
      </w:r>
      <w:hyperlink r:id="rId41">
        <w:r>
          <w:rPr>
            <w:rStyle w:val="Hyperlink"/>
          </w:rPr>
          <w:t xml:space="preserve">[38]</w:t>
        </w:r>
      </w:hyperlink>
    </w:p>
    <w:bookmarkEnd w:id="73"/>
    <w:bookmarkStart w:id="74" w:name="Xe9430bae476636d75313b286881a9aa66886f4a"/>
    <w:p>
      <w:pPr>
        <w:pStyle w:val="Heading3"/>
      </w:pPr>
      <w:r>
        <w:t xml:space="preserve">“Hatasız/tam doğru” hedefi için gerçekçi kalite standardı</w:t>
      </w:r>
    </w:p>
    <w:p>
      <w:pPr>
        <w:pStyle w:val="FirstParagraph"/>
      </w:pPr>
      <w:r>
        <w:t xml:space="preserve">NMR/MS/IR tahmini doğası gereği “mutlak hatasız” olamaz; ancak ticari olarak kabul gören çıta şudur:</w:t>
      </w:r>
    </w:p>
    <w:p>
      <w:pPr>
        <w:pStyle w:val="Compact"/>
        <w:numPr>
          <w:ilvl w:val="0"/>
          <w:numId w:val="1013"/>
        </w:numPr>
      </w:pPr>
      <w:r>
        <w:t xml:space="preserve">Her tahmin için</w:t>
      </w:r>
      <w:r>
        <w:t xml:space="preserve"> </w:t>
      </w:r>
      <w:r>
        <w:rPr>
          <w:b/>
          <w:bCs/>
        </w:rPr>
        <w:t xml:space="preserve">belirsizlik (uncertainty)</w:t>
      </w:r>
      <w:r>
        <w:t xml:space="preserve"> </w:t>
      </w:r>
      <w:r>
        <w:t xml:space="preserve">ver (örn. atom başına σ).</w:t>
      </w:r>
    </w:p>
    <w:p>
      <w:pPr>
        <w:pStyle w:val="Compact"/>
        <w:numPr>
          <w:ilvl w:val="0"/>
          <w:numId w:val="1013"/>
        </w:numPr>
      </w:pPr>
      <w:r>
        <w:t xml:space="preserve">Uyumsuzlukları açıklayan</w:t>
      </w:r>
      <w:r>
        <w:t xml:space="preserve"> </w:t>
      </w:r>
      <w:r>
        <w:rPr>
          <w:b/>
          <w:bCs/>
        </w:rPr>
        <w:t xml:space="preserve">kanıt izi</w:t>
      </w:r>
      <w:r>
        <w:t xml:space="preserve"> </w:t>
      </w:r>
      <w:r>
        <w:t xml:space="preserve">(evidence trail) üret.</w:t>
      </w:r>
    </w:p>
    <w:p>
      <w:pPr>
        <w:pStyle w:val="Compact"/>
        <w:numPr>
          <w:ilvl w:val="0"/>
          <w:numId w:val="1013"/>
        </w:numPr>
      </w:pPr>
      <w:r>
        <w:t xml:space="preserve">Çoklu hipotez (izomer/tautomer/protomer) üretip sıralama yap (ACD broşüründe “unbiased verification” yaklaşımı).</w:t>
      </w:r>
      <w:r>
        <w:t xml:space="preserve"> </w:t>
      </w:r>
      <w:hyperlink r:id="rId62">
        <w:r>
          <w:rPr>
            <w:rStyle w:val="Hyperlink"/>
          </w:rPr>
          <w:t xml:space="preserve">[29]</w:t>
        </w:r>
      </w:hyperlink>
    </w:p>
    <w:p>
      <w:pPr>
        <w:pStyle w:val="Compact"/>
        <w:numPr>
          <w:ilvl w:val="0"/>
          <w:numId w:val="1013"/>
        </w:numPr>
      </w:pPr>
      <w:r>
        <w:t xml:space="preserve">Kullanıcıya deney koşullarını doğru set etme imkânı ver (solvent/field/ısı) ve bu koşullar prediksiyonun parçası olsun (ACD’de açık özellik).</w:t>
      </w:r>
      <w:r>
        <w:t xml:space="preserve"> </w:t>
      </w:r>
      <w:hyperlink r:id="rId40">
        <w:r>
          <w:rPr>
            <w:rStyle w:val="Hyperlink"/>
          </w:rPr>
          <w:t xml:space="preserve">[17]</w:t>
        </w:r>
      </w:hyperlink>
    </w:p>
    <w:p>
      <w:pPr>
        <w:pStyle w:val="FirstParagraph"/>
      </w:pPr>
      <w:r>
        <w:t xml:space="preserve">Bu standardı yakaladığınızda, mevcut “FAIL/WARN” çıktılarınız da daha anlamlı hale gelir: “aromatik algısı kırıldı” gibi kök nedenler yerini “DMSO’da OH exchange nedeniyle 5‑OH kaydı beklenenden farklı” gibi kimyasal olarak doğru açıklamalara bırakır.</w:t>
      </w:r>
    </w:p>
    <w:p>
      <w:r>
        <w:pict>
          <v:rect style="width:0;height:1.5pt" o:hralign="center" o:hrstd="t" o:hr="t"/>
        </w:pict>
      </w:r>
    </w:p>
    <w:p>
      <w:pPr>
        <w:pStyle w:val="FirstParagraph"/>
      </w:pPr>
      <w:r>
        <w:t xml:space="preserve">Bu raporun en kritik “ilk düzeltme” önerisi şudur:</w:t>
      </w:r>
      <w:r>
        <w:t xml:space="preserve"> </w:t>
      </w:r>
      <w:r>
        <w:rPr>
          <w:b/>
          <w:bCs/>
        </w:rPr>
        <w:t xml:space="preserve">(1) doğru kimlik / doğru yapı grafı</w:t>
      </w:r>
      <w:r>
        <w:t xml:space="preserve"> </w:t>
      </w:r>
      <w:r>
        <w:t xml:space="preserve">olmadan,</w:t>
      </w:r>
      <w:r>
        <w:t xml:space="preserve"> </w:t>
      </w:r>
      <w:r>
        <w:rPr>
          <w:b/>
          <w:bCs/>
        </w:rPr>
        <w:t xml:space="preserve">(2) yapıdan türeyen doğru beklenen değerler</w:t>
      </w:r>
      <w:r>
        <w:t xml:space="preserve"> </w:t>
      </w:r>
      <w:r>
        <w:t xml:space="preserve">olmadan, en iyi kural motoru bile yanlış skor üretir. Bu iki temel katmanı RDKit-benzeri bir kimya çekirdeği veya eşdeğer sağlam bir graf standardizasyon katmanı ile güçlendirdiğiniz anda, hem spektrum üretimi hem teyit raporu aynı anda düzelmeye başlar; ardından HOSE+ML ensemble ve spin simülasyonu ile Mnova/ACD seviyesine yaklaşmak teknik olarak mümkün bir yol haritasına dönüşür.</w:t>
      </w:r>
    </w:p>
    <w:bookmarkEnd w:id="74"/>
    <w:bookmarkEnd w:id="75"/>
    <w:bookmarkEnd w:id="76"/>
    <w:bookmarkEnd w:id="77"/>
    <w:p>
      <w:r>
        <w:pict>
          <v:rect style="width:0;height:1.5pt" o:hralign="center" o:hrstd="t" o:hr="t"/>
        </w:pict>
      </w:r>
    </w:p>
    <w:bookmarkStart w:id="78" w:name="citations"/>
    <w:p>
      <w:pPr>
        <w:pStyle w:val="FirstParagraph"/>
      </w:pPr>
      <w:hyperlink r:id="rId22">
        <w:r>
          <w:rPr>
            <w:rStyle w:val="Hyperlink"/>
          </w:rPr>
          <w:t xml:space="preserve">[1]</w:t>
        </w:r>
      </w:hyperlink>
      <w:r>
        <w:t xml:space="preserve"> </w:t>
      </w:r>
      <w:r>
        <w:t xml:space="preserve">Stilbestrol - Wikipedia</w:t>
      </w:r>
    </w:p>
    <w:p>
      <w:pPr>
        <w:pStyle w:val="BodyText"/>
      </w:pPr>
      <w:hyperlink r:id="rId22">
        <w:r>
          <w:rPr>
            <w:rStyle w:val="Hyperlink"/>
          </w:rPr>
          <w:t xml:space="preserve">https://en.wikipedia.org/wiki/Stilbestrol</w:t>
        </w:r>
      </w:hyperlink>
    </w:p>
    <w:p>
      <w:pPr>
        <w:pStyle w:val="BodyText"/>
      </w:pPr>
      <w:hyperlink r:id="rId23">
        <w:r>
          <w:rPr>
            <w:rStyle w:val="Hyperlink"/>
          </w:rPr>
          <w:t xml:space="preserve">[2]</w:t>
        </w:r>
      </w:hyperlink>
      <w:r>
        <w:t xml:space="preserve"> </w:t>
      </w:r>
      <w:hyperlink r:id="rId23">
        <w:r>
          <w:rPr>
            <w:rStyle w:val="Hyperlink"/>
          </w:rPr>
          <w:t xml:space="preserve">[7]</w:t>
        </w:r>
      </w:hyperlink>
      <w:r>
        <w:t xml:space="preserve"> </w:t>
      </w:r>
      <w:r>
        <w:t xml:space="preserve">Resveratrol - Wikipedia</w:t>
      </w:r>
    </w:p>
    <w:p>
      <w:pPr>
        <w:pStyle w:val="BodyText"/>
      </w:pPr>
      <w:hyperlink r:id="rId23">
        <w:r>
          <w:rPr>
            <w:rStyle w:val="Hyperlink"/>
          </w:rPr>
          <w:t xml:space="preserve">https://en.wikipedia.org/wiki/Resveratrol</w:t>
        </w:r>
      </w:hyperlink>
    </w:p>
    <w:p>
      <w:pPr>
        <w:pStyle w:val="BodyText"/>
      </w:pPr>
      <w:hyperlink r:id="rId24">
        <w:r>
          <w:rPr>
            <w:rStyle w:val="Hyperlink"/>
          </w:rPr>
          <w:t xml:space="preserve">[3]</w:t>
        </w:r>
      </w:hyperlink>
      <w:r>
        <w:t xml:space="preserve"> </w:t>
      </w:r>
      <w:hyperlink r:id="rId24">
        <w:r>
          <w:rPr>
            <w:rStyle w:val="Hyperlink"/>
          </w:rPr>
          <w:t xml:space="preserve">[30]</w:t>
        </w:r>
      </w:hyperlink>
      <w:r>
        <w:t xml:space="preserve"> </w:t>
      </w:r>
      <w:r>
        <w:t xml:space="preserve">Quercetin, dihydrate annotated NMR 400 MHz DMSOd6 data[1H.jdx] - Dataset - NFDI4Chem Search Service</w:t>
      </w:r>
    </w:p>
    <w:p>
      <w:pPr>
        <w:pStyle w:val="BodyText"/>
      </w:pPr>
      <w:hyperlink r:id="rId24">
        <w:r>
          <w:rPr>
            <w:rStyle w:val="Hyperlink"/>
          </w:rPr>
          <w:t xml:space="preserve">https://search.nfdi4chem.de/dataset/nmrxiv-d1006</w:t>
        </w:r>
      </w:hyperlink>
    </w:p>
    <w:p>
      <w:pPr>
        <w:pStyle w:val="BodyText"/>
      </w:pPr>
      <w:hyperlink r:id="rId25">
        <w:r>
          <w:rPr>
            <w:rStyle w:val="Hyperlink"/>
          </w:rPr>
          <w:t xml:space="preserve">[4]</w:t>
        </w:r>
      </w:hyperlink>
      <w:r>
        <w:t xml:space="preserve"> </w:t>
      </w:r>
      <w:r>
        <w:t xml:space="preserve">https://en.wikipedia.org/wiki/Kaempferol</w:t>
      </w:r>
    </w:p>
    <w:p>
      <w:pPr>
        <w:pStyle w:val="BodyText"/>
      </w:pPr>
      <w:hyperlink r:id="rId25">
        <w:r>
          <w:rPr>
            <w:rStyle w:val="Hyperlink"/>
          </w:rPr>
          <w:t xml:space="preserve">https://en.wikipedia.org/wiki/Kaempferol</w:t>
        </w:r>
      </w:hyperlink>
    </w:p>
    <w:p>
      <w:pPr>
        <w:pStyle w:val="BodyText"/>
      </w:pPr>
      <w:hyperlink r:id="rId26">
        <w:r>
          <w:rPr>
            <w:rStyle w:val="Hyperlink"/>
          </w:rPr>
          <w:t xml:space="preserve">[5]</w:t>
        </w:r>
      </w:hyperlink>
      <w:r>
        <w:t xml:space="preserve"> </w:t>
      </w:r>
      <w:r>
        <w:t xml:space="preserve">Catechin annotated NMR 400 MHz DMSOd6 data. - Dataset - NFDI4Chem Search Service</w:t>
      </w:r>
    </w:p>
    <w:p>
      <w:pPr>
        <w:pStyle w:val="BodyText"/>
      </w:pPr>
      <w:hyperlink r:id="rId26">
        <w:r>
          <w:rPr>
            <w:rStyle w:val="Hyperlink"/>
          </w:rPr>
          <w:t xml:space="preserve">https://search.nfdi4chem.de/dataset/nmrxiv-d1120</w:t>
        </w:r>
      </w:hyperlink>
    </w:p>
    <w:p>
      <w:pPr>
        <w:pStyle w:val="BodyText"/>
      </w:pPr>
      <w:hyperlink r:id="rId27">
        <w:r>
          <w:rPr>
            <w:rStyle w:val="Hyperlink"/>
          </w:rPr>
          <w:t xml:space="preserve">[6]</w:t>
        </w:r>
      </w:hyperlink>
      <w:r>
        <w:t xml:space="preserve"> </w:t>
      </w:r>
      <w:hyperlink r:id="rId27">
        <w:r>
          <w:rPr>
            <w:rStyle w:val="Hyperlink"/>
          </w:rPr>
          <w:t xml:space="preserve">[9]</w:t>
        </w:r>
      </w:hyperlink>
      <w:r>
        <w:t xml:space="preserve"> </w:t>
      </w:r>
      <w:r>
        <w:t xml:space="preserve">Spectroscopic Characterization of (-)-Catechin Derivatives: An In-depth Technical Guide</w:t>
      </w:r>
    </w:p>
    <w:p>
      <w:pPr>
        <w:pStyle w:val="BodyText"/>
      </w:pPr>
      <w:hyperlink r:id="rId27">
        <w:r>
          <w:rPr>
            <w:rStyle w:val="Hyperlink"/>
          </w:rPr>
          <w:t xml:space="preserve">https://www.benchchem.com/pdf/Spectroscopic_Characterization_of_Catechin_Derivatives_An_In_depth_Technical_Guide.pdf</w:t>
        </w:r>
      </w:hyperlink>
    </w:p>
    <w:p>
      <w:pPr>
        <w:pStyle w:val="BodyText"/>
      </w:pPr>
      <w:hyperlink r:id="rId29">
        <w:r>
          <w:rPr>
            <w:rStyle w:val="Hyperlink"/>
          </w:rPr>
          <w:t xml:space="preserve">[8]</w:t>
        </w:r>
      </w:hyperlink>
      <w:r>
        <w:t xml:space="preserve"> </w:t>
      </w:r>
      <w:hyperlink r:id="rId29">
        <w:r>
          <w:rPr>
            <w:rStyle w:val="Hyperlink"/>
          </w:rPr>
          <w:t xml:space="preserve">[10]</w:t>
        </w:r>
      </w:hyperlink>
      <w:r>
        <w:t xml:space="preserve"> </w:t>
      </w:r>
      <w:r>
        <w:t xml:space="preserve">Application Notes and Protocols for the Structural Elucidation of Flavonoids by NMR Spectroscopy: A Case Study of Quercetin</w:t>
      </w:r>
    </w:p>
    <w:p>
      <w:pPr>
        <w:pStyle w:val="BodyText"/>
      </w:pPr>
      <w:hyperlink r:id="rId29">
        <w:r>
          <w:rPr>
            <w:rStyle w:val="Hyperlink"/>
          </w:rPr>
          <w:t xml:space="preserve">https://pdf.benchchem.com/30/Application_Notes_and_Protocols_for_the_Structural_Elucidation_of_Flavonoids_by_NMR_Spectroscopy_A_Case_Study_of_Quercetin.pdf</w:t>
        </w:r>
      </w:hyperlink>
    </w:p>
    <w:p>
      <w:pPr>
        <w:pStyle w:val="BodyText"/>
      </w:pPr>
      <w:hyperlink r:id="rId30">
        <w:r>
          <w:rPr>
            <w:rStyle w:val="Hyperlink"/>
          </w:rPr>
          <w:t xml:space="preserve">[11]</w:t>
        </w:r>
      </w:hyperlink>
      <w:r>
        <w:t xml:space="preserve"> </w:t>
      </w:r>
      <w:r>
        <w:t xml:space="preserve">https://colab.research.google.com/github/PatWalters/practical_cheminformatics_tutorials/blob/main/fundamentals/SMILES_tutorial.ipynb</w:t>
      </w:r>
    </w:p>
    <w:p>
      <w:pPr>
        <w:pStyle w:val="BodyText"/>
      </w:pPr>
      <w:hyperlink r:id="rId30">
        <w:r>
          <w:rPr>
            <w:rStyle w:val="Hyperlink"/>
          </w:rPr>
          <w:t xml:space="preserve">https://colab.research.google.com/github/PatWalters/practical_cheminformatics_tutorials/blob/main/fundamentals/SMILES_tutorial.ipynb</w:t>
        </w:r>
      </w:hyperlink>
    </w:p>
    <w:p>
      <w:pPr>
        <w:pStyle w:val="BodyText"/>
      </w:pPr>
      <w:hyperlink r:id="rId32">
        <w:r>
          <w:rPr>
            <w:rStyle w:val="Hyperlink"/>
          </w:rPr>
          <w:t xml:space="preserve">[12]</w:t>
        </w:r>
      </w:hyperlink>
      <w:r>
        <w:t xml:space="preserve"> </w:t>
      </w:r>
      <w:hyperlink r:id="rId32">
        <w:r>
          <w:rPr>
            <w:rStyle w:val="Hyperlink"/>
          </w:rPr>
          <w:t xml:space="preserve">[37]</w:t>
        </w:r>
      </w:hyperlink>
      <w:r>
        <w:t xml:space="preserve"> </w:t>
      </w:r>
      <w:r>
        <w:t xml:space="preserve">https://nmr.chem.columbia.edu/content/hsqc-and-hmbc</w:t>
      </w:r>
    </w:p>
    <w:p>
      <w:pPr>
        <w:pStyle w:val="BodyText"/>
      </w:pPr>
      <w:hyperlink r:id="rId32">
        <w:r>
          <w:rPr>
            <w:rStyle w:val="Hyperlink"/>
          </w:rPr>
          <w:t xml:space="preserve">https://nmr.chem.columbia.edu/content/hsqc-and-hmbc</w:t>
        </w:r>
      </w:hyperlink>
    </w:p>
    <w:p>
      <w:pPr>
        <w:pStyle w:val="BodyText"/>
      </w:pPr>
      <w:hyperlink r:id="rId34">
        <w:r>
          <w:rPr>
            <w:rStyle w:val="Hyperlink"/>
          </w:rPr>
          <w:t xml:space="preserve">[13]</w:t>
        </w:r>
      </w:hyperlink>
      <w:r>
        <w:t xml:space="preserve"> </w:t>
      </w:r>
      <w:r>
        <w:t xml:space="preserve">https://support.waters.com/KB_Chem/Other/WKB67428_What_are_common_adducts_in_ESI_Mass_Spectrometry</w:t>
      </w:r>
    </w:p>
    <w:p>
      <w:pPr>
        <w:pStyle w:val="BodyText"/>
      </w:pPr>
      <w:hyperlink r:id="rId34">
        <w:r>
          <w:rPr>
            <w:rStyle w:val="Hyperlink"/>
          </w:rPr>
          <w:t xml:space="preserve">https://support.waters.com/KB_Chem/Other/WKB67428_What_are_common_adducts_in_ESI_Mass_Spectrometry</w:t>
        </w:r>
      </w:hyperlink>
    </w:p>
    <w:p>
      <w:pPr>
        <w:pStyle w:val="BodyText"/>
      </w:pPr>
      <w:hyperlink r:id="rId35">
        <w:r>
          <w:rPr>
            <w:rStyle w:val="Hyperlink"/>
          </w:rPr>
          <w:t xml:space="preserve">[14]</w:t>
        </w:r>
      </w:hyperlink>
      <w:r>
        <w:t xml:space="preserve"> </w:t>
      </w:r>
      <w:r>
        <w:t xml:space="preserve">https://www.chemistrysteps.com/mass-spectrometry-of-alcohols/</w:t>
      </w:r>
    </w:p>
    <w:p>
      <w:pPr>
        <w:pStyle w:val="BodyText"/>
      </w:pPr>
      <w:hyperlink r:id="rId35">
        <w:r>
          <w:rPr>
            <w:rStyle w:val="Hyperlink"/>
          </w:rPr>
          <w:t xml:space="preserve">https://www.chemistrysteps.com/mass-spectrometry-of-alcohols/</w:t>
        </w:r>
      </w:hyperlink>
    </w:p>
    <w:p>
      <w:pPr>
        <w:pStyle w:val="BodyText"/>
      </w:pPr>
      <w:hyperlink r:id="rId36">
        <w:r>
          <w:rPr>
            <w:rStyle w:val="Hyperlink"/>
          </w:rPr>
          <w:t xml:space="preserve">[15]</w:t>
        </w:r>
      </w:hyperlink>
      <w:r>
        <w:t xml:space="preserve"> </w:t>
      </w:r>
      <w:hyperlink r:id="rId36">
        <w:r>
          <w:rPr>
            <w:rStyle w:val="Hyperlink"/>
          </w:rPr>
          <w:t xml:space="preserve">[21]</w:t>
        </w:r>
      </w:hyperlink>
      <w:r>
        <w:t xml:space="preserve"> </w:t>
      </w:r>
      <w:r>
        <w:t xml:space="preserve">https://www.docbrown.info/page06/spectra2/phenol-ir.htm</w:t>
      </w:r>
    </w:p>
    <w:p>
      <w:pPr>
        <w:pStyle w:val="BodyText"/>
      </w:pPr>
      <w:hyperlink r:id="rId36">
        <w:r>
          <w:rPr>
            <w:rStyle w:val="Hyperlink"/>
          </w:rPr>
          <w:t xml:space="preserve">https://www.docbrown.info/page06/spectra2/phenol-ir.htm</w:t>
        </w:r>
      </w:hyperlink>
    </w:p>
    <w:p>
      <w:pPr>
        <w:pStyle w:val="BodyText"/>
      </w:pPr>
      <w:hyperlink r:id="rId37">
        <w:r>
          <w:rPr>
            <w:rStyle w:val="Hyperlink"/>
          </w:rPr>
          <w:t xml:space="preserve">[16]</w:t>
        </w:r>
      </w:hyperlink>
      <w:r>
        <w:t xml:space="preserve"> </w:t>
      </w:r>
      <w:r>
        <w:t xml:space="preserve">https://www.orgchemboulder.com/Spectroscopy/irtutor/aromaticsir.shtml</w:t>
      </w:r>
    </w:p>
    <w:p>
      <w:pPr>
        <w:pStyle w:val="BodyText"/>
      </w:pPr>
      <w:hyperlink r:id="rId37">
        <w:r>
          <w:rPr>
            <w:rStyle w:val="Hyperlink"/>
          </w:rPr>
          <w:t xml:space="preserve">https://www.orgchemboulder.com/Spectroscopy/irtutor/aromaticsir.shtml</w:t>
        </w:r>
      </w:hyperlink>
    </w:p>
    <w:p>
      <w:pPr>
        <w:pStyle w:val="BodyText"/>
      </w:pPr>
      <w:hyperlink r:id="rId40">
        <w:r>
          <w:rPr>
            <w:rStyle w:val="Hyperlink"/>
          </w:rPr>
          <w:t xml:space="preserve">[17]</w:t>
        </w:r>
      </w:hyperlink>
      <w:r>
        <w:t xml:space="preserve"> </w:t>
      </w:r>
      <w:hyperlink r:id="rId40">
        <w:r>
          <w:rPr>
            <w:rStyle w:val="Hyperlink"/>
          </w:rPr>
          <w:t xml:space="preserve">[19]</w:t>
        </w:r>
      </w:hyperlink>
      <w:r>
        <w:t xml:space="preserve"> </w:t>
      </w:r>
      <w:r>
        <w:t xml:space="preserve">NMR Prediction | 1H, 13C, 15N, 19F, 31P NMR Predictor | ACD/Labs</w:t>
      </w:r>
    </w:p>
    <w:p>
      <w:pPr>
        <w:pStyle w:val="BodyText"/>
      </w:pPr>
      <w:hyperlink r:id="rId40">
        <w:r>
          <w:rPr>
            <w:rStyle w:val="Hyperlink"/>
          </w:rPr>
          <w:t xml:space="preserve">https://www.acdlabs.com/products/spectrus-platform/nmr-predictors/</w:t>
        </w:r>
      </w:hyperlink>
    </w:p>
    <w:p>
      <w:pPr>
        <w:pStyle w:val="BodyText"/>
      </w:pPr>
      <w:hyperlink r:id="rId41">
        <w:r>
          <w:rPr>
            <w:rStyle w:val="Hyperlink"/>
          </w:rPr>
          <w:t xml:space="preserve">[18]</w:t>
        </w:r>
      </w:hyperlink>
      <w:r>
        <w:t xml:space="preserve"> </w:t>
      </w:r>
      <w:hyperlink r:id="rId41">
        <w:r>
          <w:rPr>
            <w:rStyle w:val="Hyperlink"/>
          </w:rPr>
          <w:t xml:space="preserve">[38]</w:t>
        </w:r>
      </w:hyperlink>
      <w:r>
        <w:t xml:space="preserve"> </w:t>
      </w:r>
      <w:r>
        <w:t xml:space="preserve">Download NMR Predict - Mestrelab</w:t>
      </w:r>
    </w:p>
    <w:p>
      <w:pPr>
        <w:pStyle w:val="BodyText"/>
      </w:pPr>
      <w:hyperlink r:id="rId41">
        <w:r>
          <w:rPr>
            <w:rStyle w:val="Hyperlink"/>
          </w:rPr>
          <w:t xml:space="preserve">https://mestrelab.com/main-product/nmr-predict?utm_source=chatgpt.com</w:t>
        </w:r>
      </w:hyperlink>
    </w:p>
    <w:p>
      <w:pPr>
        <w:pStyle w:val="BodyText"/>
      </w:pPr>
      <w:hyperlink r:id="rId44">
        <w:r>
          <w:rPr>
            <w:rStyle w:val="Hyperlink"/>
          </w:rPr>
          <w:t xml:space="preserve">[20]</w:t>
        </w:r>
      </w:hyperlink>
      <w:r>
        <w:t xml:space="preserve"> </w:t>
      </w:r>
      <w:r>
        <w:t xml:space="preserve">https://nmr.chem.ucsb.edu/protocols/refppm.html</w:t>
      </w:r>
    </w:p>
    <w:p>
      <w:pPr>
        <w:pStyle w:val="BodyText"/>
      </w:pPr>
      <w:hyperlink r:id="rId44">
        <w:r>
          <w:rPr>
            <w:rStyle w:val="Hyperlink"/>
          </w:rPr>
          <w:t xml:space="preserve">https://nmr.chem.ucsb.edu/protocols/refppm.html</w:t>
        </w:r>
      </w:hyperlink>
    </w:p>
    <w:p>
      <w:pPr>
        <w:pStyle w:val="BodyText"/>
      </w:pPr>
      <w:hyperlink r:id="rId52">
        <w:r>
          <w:rPr>
            <w:rStyle w:val="Hyperlink"/>
          </w:rPr>
          <w:t xml:space="preserve">[22]</w:t>
        </w:r>
      </w:hyperlink>
      <w:r>
        <w:t xml:space="preserve"> </w:t>
      </w:r>
      <w:r>
        <w:t xml:space="preserve">https://docs.chemaxon.com/display/docs/nmr-model-prediction.md</w:t>
      </w:r>
    </w:p>
    <w:p>
      <w:pPr>
        <w:pStyle w:val="BodyText"/>
      </w:pPr>
      <w:hyperlink r:id="rId52">
        <w:r>
          <w:rPr>
            <w:rStyle w:val="Hyperlink"/>
          </w:rPr>
          <w:t xml:space="preserve">https://docs.chemaxon.com/display/docs/nmr-model-prediction.md</w:t>
        </w:r>
      </w:hyperlink>
    </w:p>
    <w:p>
      <w:pPr>
        <w:pStyle w:val="BodyText"/>
      </w:pPr>
      <w:hyperlink r:id="rId53">
        <w:r>
          <w:rPr>
            <w:rStyle w:val="Hyperlink"/>
          </w:rPr>
          <w:t xml:space="preserve">[23]</w:t>
        </w:r>
      </w:hyperlink>
      <w:r>
        <w:t xml:space="preserve"> </w:t>
      </w:r>
      <w:r>
        <w:t xml:space="preserve">Real-time prediction of 1 H and 13 C chemical shifts with DFT accuracy ...</w:t>
      </w:r>
    </w:p>
    <w:p>
      <w:pPr>
        <w:pStyle w:val="BodyText"/>
      </w:pPr>
      <w:hyperlink r:id="rId53">
        <w:r>
          <w:rPr>
            <w:rStyle w:val="Hyperlink"/>
          </w:rPr>
          <w:t xml:space="preserve">https://pubs.rsc.org/en/content/articlehtml/2021/sc/d1sc03343c?utm_source=chatgpt.com</w:t>
        </w:r>
      </w:hyperlink>
    </w:p>
    <w:p>
      <w:pPr>
        <w:pStyle w:val="BodyText"/>
      </w:pPr>
      <w:hyperlink r:id="rId54">
        <w:r>
          <w:rPr>
            <w:rStyle w:val="Hyperlink"/>
          </w:rPr>
          <w:t xml:space="preserve">[24]</w:t>
        </w:r>
      </w:hyperlink>
      <w:r>
        <w:t xml:space="preserve"> </w:t>
      </w:r>
      <w:r>
        <w:t xml:space="preserve">Nuclear Magnetic Resonance (NMR) - ORCA 6.0 TUTORIALS - FACCTs</w:t>
      </w:r>
    </w:p>
    <w:p>
      <w:pPr>
        <w:pStyle w:val="BodyText"/>
      </w:pPr>
      <w:hyperlink r:id="rId54">
        <w:r>
          <w:rPr>
            <w:rStyle w:val="Hyperlink"/>
          </w:rPr>
          <w:t xml:space="preserve">https://www.faccts.de/docs/orca/6.0/tutorials/spec/NMR.html?utm_source=chatgpt.com</w:t>
        </w:r>
      </w:hyperlink>
    </w:p>
    <w:p>
      <w:pPr>
        <w:pStyle w:val="BodyText"/>
      </w:pPr>
      <w:hyperlink r:id="rId56">
        <w:r>
          <w:rPr>
            <w:rStyle w:val="Hyperlink"/>
          </w:rPr>
          <w:t xml:space="preserve">[25]</w:t>
        </w:r>
      </w:hyperlink>
      <w:r>
        <w:t xml:space="preserve"> </w:t>
      </w:r>
      <w:r>
        <w:t xml:space="preserve">https://www.nmrdb.org/simulator/index.shtml</w:t>
      </w:r>
    </w:p>
    <w:p>
      <w:pPr>
        <w:pStyle w:val="BodyText"/>
      </w:pPr>
      <w:hyperlink r:id="rId56">
        <w:r>
          <w:rPr>
            <w:rStyle w:val="Hyperlink"/>
          </w:rPr>
          <w:t xml:space="preserve">https://www.nmrdb.org/simulator/index.shtml</w:t>
        </w:r>
      </w:hyperlink>
    </w:p>
    <w:p>
      <w:pPr>
        <w:pStyle w:val="BodyText"/>
      </w:pPr>
      <w:hyperlink r:id="rId57">
        <w:r>
          <w:rPr>
            <w:rStyle w:val="Hyperlink"/>
          </w:rPr>
          <w:t xml:space="preserve">[26]</w:t>
        </w:r>
      </w:hyperlink>
      <w:r>
        <w:t xml:space="preserve"> </w:t>
      </w:r>
      <w:r>
        <w:t xml:space="preserve">https://np-mrd.org/data_protocols</w:t>
      </w:r>
    </w:p>
    <w:p>
      <w:pPr>
        <w:pStyle w:val="BodyText"/>
      </w:pPr>
      <w:hyperlink r:id="rId57">
        <w:r>
          <w:rPr>
            <w:rStyle w:val="Hyperlink"/>
          </w:rPr>
          <w:t xml:space="preserve">https://np-mrd.org/data_protocols</w:t>
        </w:r>
      </w:hyperlink>
    </w:p>
    <w:p>
      <w:pPr>
        <w:pStyle w:val="BodyText"/>
      </w:pPr>
      <w:hyperlink r:id="rId59">
        <w:r>
          <w:rPr>
            <w:rStyle w:val="Hyperlink"/>
          </w:rPr>
          <w:t xml:space="preserve">[27]</w:t>
        </w:r>
      </w:hyperlink>
      <w:r>
        <w:t xml:space="preserve"> </w:t>
      </w:r>
      <w:r>
        <w:t xml:space="preserve">https://mestrelab.com/product/nmr-predict</w:t>
      </w:r>
    </w:p>
    <w:p>
      <w:pPr>
        <w:pStyle w:val="BodyText"/>
      </w:pPr>
      <w:hyperlink r:id="rId59">
        <w:r>
          <w:rPr>
            <w:rStyle w:val="Hyperlink"/>
          </w:rPr>
          <w:t xml:space="preserve">https://mestrelab.com/product/nmr-predict</w:t>
        </w:r>
      </w:hyperlink>
    </w:p>
    <w:p>
      <w:pPr>
        <w:pStyle w:val="BodyText"/>
      </w:pPr>
      <w:hyperlink r:id="rId60">
        <w:r>
          <w:rPr>
            <w:rStyle w:val="Hyperlink"/>
          </w:rPr>
          <w:t xml:space="preserve">[28]</w:t>
        </w:r>
      </w:hyperlink>
      <w:r>
        <w:t xml:space="preserve"> </w:t>
      </w:r>
      <w:r>
        <w:t xml:space="preserve">https://www.nmrium.com/predict</w:t>
      </w:r>
    </w:p>
    <w:p>
      <w:pPr>
        <w:pStyle w:val="BodyText"/>
      </w:pPr>
      <w:hyperlink r:id="rId60">
        <w:r>
          <w:rPr>
            <w:rStyle w:val="Hyperlink"/>
          </w:rPr>
          <w:t xml:space="preserve">https://www.nmrium.com/predict</w:t>
        </w:r>
      </w:hyperlink>
    </w:p>
    <w:p>
      <w:pPr>
        <w:pStyle w:val="BodyText"/>
      </w:pPr>
      <w:hyperlink r:id="rId62">
        <w:r>
          <w:rPr>
            <w:rStyle w:val="Hyperlink"/>
          </w:rPr>
          <w:t xml:space="preserve">[29]</w:t>
        </w:r>
      </w:hyperlink>
      <w:r>
        <w:t xml:space="preserve"> </w:t>
      </w:r>
      <w:r>
        <w:t xml:space="preserve">pub-mediabox-storage.rxweb-prd.com</w:t>
      </w:r>
    </w:p>
    <w:p>
      <w:pPr>
        <w:pStyle w:val="BodyText"/>
      </w:pPr>
      <w:hyperlink r:id="rId62">
        <w:r>
          <w:rPr>
            <w:rStyle w:val="Hyperlink"/>
          </w:rPr>
          <w:t xml:space="preserve">https://pub-mediabox-storage.rxweb-prd.com/exhibitor/document/exh-e1e1c600-8e54-4276-b909-04f8101cdc67/9aee281c-da37-42b3-a5d8-224c0c687bac.pdf</w:t>
        </w:r>
      </w:hyperlink>
    </w:p>
    <w:p>
      <w:pPr>
        <w:pStyle w:val="BodyText"/>
      </w:pPr>
      <w:hyperlink r:id="rId65">
        <w:r>
          <w:rPr>
            <w:rStyle w:val="Hyperlink"/>
          </w:rPr>
          <w:t xml:space="preserve">[31]</w:t>
        </w:r>
      </w:hyperlink>
      <w:r>
        <w:t xml:space="preserve"> </w:t>
      </w:r>
      <w:r>
        <w:t xml:space="preserve">https://www.acdlabs.com/products/spectrus-platform/nmr-workbook-suite/</w:t>
      </w:r>
    </w:p>
    <w:p>
      <w:pPr>
        <w:pStyle w:val="BodyText"/>
      </w:pPr>
      <w:hyperlink r:id="rId65">
        <w:r>
          <w:rPr>
            <w:rStyle w:val="Hyperlink"/>
          </w:rPr>
          <w:t xml:space="preserve">https://www.acdlabs.com/products/spectrus-platform/nmr-workbook-suite/</w:t>
        </w:r>
      </w:hyperlink>
    </w:p>
    <w:p>
      <w:pPr>
        <w:pStyle w:val="BodyText"/>
      </w:pPr>
      <w:hyperlink r:id="rId66">
        <w:r>
          <w:rPr>
            <w:rStyle w:val="Hyperlink"/>
          </w:rPr>
          <w:t xml:space="preserve">[32]</w:t>
        </w:r>
      </w:hyperlink>
      <w:r>
        <w:t xml:space="preserve"> </w:t>
      </w:r>
      <w:r>
        <w:t xml:space="preserve">https://www.mestrelabcn.com/Manual_HTML_Mnova_15/phase_correction_with_mnova.htm</w:t>
      </w:r>
    </w:p>
    <w:p>
      <w:pPr>
        <w:pStyle w:val="BodyText"/>
      </w:pPr>
      <w:hyperlink r:id="rId66">
        <w:r>
          <w:rPr>
            <w:rStyle w:val="Hyperlink"/>
          </w:rPr>
          <w:t xml:space="preserve">https://www.mestrelabcn.com/Manual_HTML_Mnova_15/phase_correction_with_mnova.htm</w:t>
        </w:r>
      </w:hyperlink>
    </w:p>
    <w:p>
      <w:pPr>
        <w:pStyle w:val="BodyText"/>
      </w:pPr>
      <w:hyperlink r:id="rId67">
        <w:r>
          <w:rPr>
            <w:rStyle w:val="Hyperlink"/>
          </w:rPr>
          <w:t xml:space="preserve">[33]</w:t>
        </w:r>
      </w:hyperlink>
      <w:r>
        <w:t xml:space="preserve"> </w:t>
      </w:r>
      <w:r>
        <w:t xml:space="preserve">https://mestrelab.com/resources-by-product/resources-nmr/gsd.html</w:t>
      </w:r>
    </w:p>
    <w:p>
      <w:pPr>
        <w:pStyle w:val="BodyText"/>
      </w:pPr>
      <w:hyperlink r:id="rId67">
        <w:r>
          <w:rPr>
            <w:rStyle w:val="Hyperlink"/>
          </w:rPr>
          <w:t xml:space="preserve">https://mestrelab.com/resources-by-product/resources-nmr/gsd.html</w:t>
        </w:r>
      </w:hyperlink>
    </w:p>
    <w:p>
      <w:pPr>
        <w:pStyle w:val="BodyText"/>
      </w:pPr>
      <w:hyperlink r:id="rId68">
        <w:r>
          <w:rPr>
            <w:rStyle w:val="Hyperlink"/>
          </w:rPr>
          <w:t xml:space="preserve">[34]</w:t>
        </w:r>
      </w:hyperlink>
      <w:r>
        <w:t xml:space="preserve"> </w:t>
      </w:r>
      <w:r>
        <w:t xml:space="preserve">https://mestrelab.com/articles/top-features-in-mnova-15.html</w:t>
      </w:r>
    </w:p>
    <w:p>
      <w:pPr>
        <w:pStyle w:val="BodyText"/>
      </w:pPr>
      <w:hyperlink r:id="rId68">
        <w:r>
          <w:rPr>
            <w:rStyle w:val="Hyperlink"/>
          </w:rPr>
          <w:t xml:space="preserve">https://mestrelab.com/articles/top-features-in-mnova-15.html</w:t>
        </w:r>
      </w:hyperlink>
    </w:p>
    <w:p>
      <w:pPr>
        <w:pStyle w:val="BodyText"/>
      </w:pPr>
      <w:hyperlink r:id="rId70">
        <w:r>
          <w:rPr>
            <w:rStyle w:val="Hyperlink"/>
          </w:rPr>
          <w:t xml:space="preserve">[35]</w:t>
        </w:r>
      </w:hyperlink>
      <w:r>
        <w:t xml:space="preserve"> </w:t>
      </w:r>
      <w:r>
        <w:t xml:space="preserve">ISO/IEC 27001:2022 - Information security management systems</w:t>
      </w:r>
    </w:p>
    <w:p>
      <w:pPr>
        <w:pStyle w:val="BodyText"/>
      </w:pPr>
      <w:hyperlink r:id="rId70">
        <w:r>
          <w:rPr>
            <w:rStyle w:val="Hyperlink"/>
          </w:rPr>
          <w:t xml:space="preserve">https://www.iso.org/standard/27001?utm_source=chatgpt.com</w:t>
        </w:r>
      </w:hyperlink>
    </w:p>
    <w:p>
      <w:pPr>
        <w:pStyle w:val="BodyText"/>
      </w:pPr>
      <w:hyperlink r:id="rId71">
        <w:r>
          <w:rPr>
            <w:rStyle w:val="Hyperlink"/>
          </w:rPr>
          <w:t xml:space="preserve">[36]</w:t>
        </w:r>
      </w:hyperlink>
      <w:r>
        <w:t xml:space="preserve"> </w:t>
      </w:r>
      <w:r>
        <w:t xml:space="preserve">21 CFR Part 11 -- Electronic Records; Electronic Signatures</w:t>
      </w:r>
    </w:p>
    <w:p>
      <w:pPr>
        <w:pStyle w:val="BodyText"/>
      </w:pPr>
      <w:hyperlink r:id="rId71">
        <w:r>
          <w:rPr>
            <w:rStyle w:val="Hyperlink"/>
          </w:rPr>
          <w:t xml:space="preserve">https://www.ecfr.gov/current/title-21/chapter-I/subchapter-A/part-11?utm_source=chatgpt.com</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colab.research.google.com/github/PatWalters/practical_cheminformatics_tutorials/blob/main/fundamentals/SMILES_tutorial.ipynb" TargetMode="External" /><Relationship Type="http://schemas.openxmlformats.org/officeDocument/2006/relationships/hyperlink" Id="rId52" Target="https://docs.chemaxon.com/display/docs/nmr-model-prediction.md" TargetMode="External" /><Relationship Type="http://schemas.openxmlformats.org/officeDocument/2006/relationships/hyperlink" Id="rId25" Target="https://en.wikipedia.org/wiki/Kaempferol" TargetMode="External" /><Relationship Type="http://schemas.openxmlformats.org/officeDocument/2006/relationships/hyperlink" Id="rId23" Target="https://en.wikipedia.org/wiki/Resveratrol" TargetMode="External" /><Relationship Type="http://schemas.openxmlformats.org/officeDocument/2006/relationships/hyperlink" Id="rId22" Target="https://en.wikipedia.org/wiki/Stilbestrol" TargetMode="External" /><Relationship Type="http://schemas.openxmlformats.org/officeDocument/2006/relationships/hyperlink" Id="rId68" Target="https://mestrelab.com/articles/top-features-in-mnova-15.html" TargetMode="External" /><Relationship Type="http://schemas.openxmlformats.org/officeDocument/2006/relationships/hyperlink" Id="rId41" Target="https://mestrelab.com/main-product/nmr-predict?utm_source=chatgpt.com" TargetMode="External" /><Relationship Type="http://schemas.openxmlformats.org/officeDocument/2006/relationships/hyperlink" Id="rId59" Target="https://mestrelab.com/product/nmr-predict" TargetMode="External" /><Relationship Type="http://schemas.openxmlformats.org/officeDocument/2006/relationships/hyperlink" Id="rId67" Target="https://mestrelab.com/resources-by-product/resources-nmr/gsd.html" TargetMode="External" /><Relationship Type="http://schemas.openxmlformats.org/officeDocument/2006/relationships/hyperlink" Id="rId32" Target="https://nmr.chem.columbia.edu/content/hsqc-and-hmbc" TargetMode="External" /><Relationship Type="http://schemas.openxmlformats.org/officeDocument/2006/relationships/hyperlink" Id="rId44" Target="https://nmr.chem.ucsb.edu/protocols/refppm.html" TargetMode="External" /><Relationship Type="http://schemas.openxmlformats.org/officeDocument/2006/relationships/hyperlink" Id="rId57" Target="https://np-mrd.org/data_protocols" TargetMode="External" /><Relationship Type="http://schemas.openxmlformats.org/officeDocument/2006/relationships/hyperlink" Id="rId29" Target="https://pdf.benchchem.com/30/Application_Notes_and_Protocols_for_the_Structural_Elucidation_of_Flavonoids_by_NMR_Spectroscopy_A_Case_Study_of_Quercetin.pdf" TargetMode="External" /><Relationship Type="http://schemas.openxmlformats.org/officeDocument/2006/relationships/hyperlink" Id="rId62" Target="https://pub-mediabox-storage.rxweb-prd.com/exhibitor/document/exh-e1e1c600-8e54-4276-b909-04f8101cdc67/9aee281c-da37-42b3-a5d8-224c0c687bac.pdf" TargetMode="External" /><Relationship Type="http://schemas.openxmlformats.org/officeDocument/2006/relationships/hyperlink" Id="rId53" Target="https://pubs.rsc.org/en/content/articlehtml/2021/sc/d1sc03343c?utm_source=chatgpt.com" TargetMode="External" /><Relationship Type="http://schemas.openxmlformats.org/officeDocument/2006/relationships/hyperlink" Id="rId24" Target="https://search.nfdi4chem.de/dataset/nmrxiv-d1006" TargetMode="External" /><Relationship Type="http://schemas.openxmlformats.org/officeDocument/2006/relationships/hyperlink" Id="rId26" Target="https://search.nfdi4chem.de/dataset/nmrxiv-d1120" TargetMode="External" /><Relationship Type="http://schemas.openxmlformats.org/officeDocument/2006/relationships/hyperlink" Id="rId34" Target="https://support.waters.com/KB_Chem/Other/WKB67428_What_are_common_adducts_in_ESI_Mass_Spectrometry" TargetMode="External" /><Relationship Type="http://schemas.openxmlformats.org/officeDocument/2006/relationships/hyperlink" Id="rId40" Target="https://www.acdlabs.com/products/spectrus-platform/nmr-predictors/" TargetMode="External" /><Relationship Type="http://schemas.openxmlformats.org/officeDocument/2006/relationships/hyperlink" Id="rId65" Target="https://www.acdlabs.com/products/spectrus-platform/nmr-workbook-suite/" TargetMode="External" /><Relationship Type="http://schemas.openxmlformats.org/officeDocument/2006/relationships/hyperlink" Id="rId27" Target="https://www.benchchem.com/pdf/Spectroscopic_Characterization_of_Catechin_Derivatives_An_In_depth_Technical_Guide.pdf" TargetMode="External" /><Relationship Type="http://schemas.openxmlformats.org/officeDocument/2006/relationships/hyperlink" Id="rId35" Target="https://www.chemistrysteps.com/mass-spectrometry-of-alcohols/" TargetMode="External" /><Relationship Type="http://schemas.openxmlformats.org/officeDocument/2006/relationships/hyperlink" Id="rId36" Target="https://www.docbrown.info/page06/spectra2/phenol-ir.htm" TargetMode="External" /><Relationship Type="http://schemas.openxmlformats.org/officeDocument/2006/relationships/hyperlink" Id="rId71" Target="https://www.ecfr.gov/current/title-21/chapter-I/subchapter-A/part-11?utm_source=chatgpt.com" TargetMode="External" /><Relationship Type="http://schemas.openxmlformats.org/officeDocument/2006/relationships/hyperlink" Id="rId54" Target="https://www.faccts.de/docs/orca/6.0/tutorials/spec/NMR.html?utm_source=chatgpt.com" TargetMode="External" /><Relationship Type="http://schemas.openxmlformats.org/officeDocument/2006/relationships/hyperlink" Id="rId70" Target="https://www.iso.org/standard/27001?utm_source=chatgpt.com" TargetMode="External" /><Relationship Type="http://schemas.openxmlformats.org/officeDocument/2006/relationships/hyperlink" Id="rId66" Target="https://www.mestrelabcn.com/Manual_HTML_Mnova_15/phase_correction_with_mnova.htm" TargetMode="External" /><Relationship Type="http://schemas.openxmlformats.org/officeDocument/2006/relationships/hyperlink" Id="rId56" Target="https://www.nmrdb.org/simulator/index.shtml" TargetMode="External" /><Relationship Type="http://schemas.openxmlformats.org/officeDocument/2006/relationships/hyperlink" Id="rId60" Target="https://www.nmrium.com/predict" TargetMode="External" /><Relationship Type="http://schemas.openxmlformats.org/officeDocument/2006/relationships/hyperlink" Id="rId37" Target="https://www.orgchemboulder.com/Spectroscopy/irtutor/aromaticsir.shtml" TargetMode="External" /></Relationships>
</file>

<file path=word/_rels/footnotes.xml.rels><?xml version="1.0" encoding="UTF-8"?><Relationships xmlns="http://schemas.openxmlformats.org/package/2006/relationships"><Relationship Type="http://schemas.openxmlformats.org/officeDocument/2006/relationships/hyperlink" Id="rId30" Target="https://colab.research.google.com/github/PatWalters/practical_cheminformatics_tutorials/blob/main/fundamentals/SMILES_tutorial.ipynb" TargetMode="External" /><Relationship Type="http://schemas.openxmlformats.org/officeDocument/2006/relationships/hyperlink" Id="rId52" Target="https://docs.chemaxon.com/display/docs/nmr-model-prediction.md" TargetMode="External" /><Relationship Type="http://schemas.openxmlformats.org/officeDocument/2006/relationships/hyperlink" Id="rId25" Target="https://en.wikipedia.org/wiki/Kaempferol" TargetMode="External" /><Relationship Type="http://schemas.openxmlformats.org/officeDocument/2006/relationships/hyperlink" Id="rId23" Target="https://en.wikipedia.org/wiki/Resveratrol" TargetMode="External" /><Relationship Type="http://schemas.openxmlformats.org/officeDocument/2006/relationships/hyperlink" Id="rId22" Target="https://en.wikipedia.org/wiki/Stilbestrol" TargetMode="External" /><Relationship Type="http://schemas.openxmlformats.org/officeDocument/2006/relationships/hyperlink" Id="rId68" Target="https://mestrelab.com/articles/top-features-in-mnova-15.html" TargetMode="External" /><Relationship Type="http://schemas.openxmlformats.org/officeDocument/2006/relationships/hyperlink" Id="rId41" Target="https://mestrelab.com/main-product/nmr-predict?utm_source=chatgpt.com" TargetMode="External" /><Relationship Type="http://schemas.openxmlformats.org/officeDocument/2006/relationships/hyperlink" Id="rId59" Target="https://mestrelab.com/product/nmr-predict" TargetMode="External" /><Relationship Type="http://schemas.openxmlformats.org/officeDocument/2006/relationships/hyperlink" Id="rId67" Target="https://mestrelab.com/resources-by-product/resources-nmr/gsd.html" TargetMode="External" /><Relationship Type="http://schemas.openxmlformats.org/officeDocument/2006/relationships/hyperlink" Id="rId32" Target="https://nmr.chem.columbia.edu/content/hsqc-and-hmbc" TargetMode="External" /><Relationship Type="http://schemas.openxmlformats.org/officeDocument/2006/relationships/hyperlink" Id="rId44" Target="https://nmr.chem.ucsb.edu/protocols/refppm.html" TargetMode="External" /><Relationship Type="http://schemas.openxmlformats.org/officeDocument/2006/relationships/hyperlink" Id="rId57" Target="https://np-mrd.org/data_protocols" TargetMode="External" /><Relationship Type="http://schemas.openxmlformats.org/officeDocument/2006/relationships/hyperlink" Id="rId29" Target="https://pdf.benchchem.com/30/Application_Notes_and_Protocols_for_the_Structural_Elucidation_of_Flavonoids_by_NMR_Spectroscopy_A_Case_Study_of_Quercetin.pdf" TargetMode="External" /><Relationship Type="http://schemas.openxmlformats.org/officeDocument/2006/relationships/hyperlink" Id="rId62" Target="https://pub-mediabox-storage.rxweb-prd.com/exhibitor/document/exh-e1e1c600-8e54-4276-b909-04f8101cdc67/9aee281c-da37-42b3-a5d8-224c0c687bac.pdf" TargetMode="External" /><Relationship Type="http://schemas.openxmlformats.org/officeDocument/2006/relationships/hyperlink" Id="rId53" Target="https://pubs.rsc.org/en/content/articlehtml/2021/sc/d1sc03343c?utm_source=chatgpt.com" TargetMode="External" /><Relationship Type="http://schemas.openxmlformats.org/officeDocument/2006/relationships/hyperlink" Id="rId24" Target="https://search.nfdi4chem.de/dataset/nmrxiv-d1006" TargetMode="External" /><Relationship Type="http://schemas.openxmlformats.org/officeDocument/2006/relationships/hyperlink" Id="rId26" Target="https://search.nfdi4chem.de/dataset/nmrxiv-d1120" TargetMode="External" /><Relationship Type="http://schemas.openxmlformats.org/officeDocument/2006/relationships/hyperlink" Id="rId34" Target="https://support.waters.com/KB_Chem/Other/WKB67428_What_are_common_adducts_in_ESI_Mass_Spectrometry" TargetMode="External" /><Relationship Type="http://schemas.openxmlformats.org/officeDocument/2006/relationships/hyperlink" Id="rId40" Target="https://www.acdlabs.com/products/spectrus-platform/nmr-predictors/" TargetMode="External" /><Relationship Type="http://schemas.openxmlformats.org/officeDocument/2006/relationships/hyperlink" Id="rId65" Target="https://www.acdlabs.com/products/spectrus-platform/nmr-workbook-suite/" TargetMode="External" /><Relationship Type="http://schemas.openxmlformats.org/officeDocument/2006/relationships/hyperlink" Id="rId27" Target="https://www.benchchem.com/pdf/Spectroscopic_Characterization_of_Catechin_Derivatives_An_In_depth_Technical_Guide.pdf" TargetMode="External" /><Relationship Type="http://schemas.openxmlformats.org/officeDocument/2006/relationships/hyperlink" Id="rId35" Target="https://www.chemistrysteps.com/mass-spectrometry-of-alcohols/" TargetMode="External" /><Relationship Type="http://schemas.openxmlformats.org/officeDocument/2006/relationships/hyperlink" Id="rId36" Target="https://www.docbrown.info/page06/spectra2/phenol-ir.htm" TargetMode="External" /><Relationship Type="http://schemas.openxmlformats.org/officeDocument/2006/relationships/hyperlink" Id="rId71" Target="https://www.ecfr.gov/current/title-21/chapter-I/subchapter-A/part-11?utm_source=chatgpt.com" TargetMode="External" /><Relationship Type="http://schemas.openxmlformats.org/officeDocument/2006/relationships/hyperlink" Id="rId54" Target="https://www.faccts.de/docs/orca/6.0/tutorials/spec/NMR.html?utm_source=chatgpt.com" TargetMode="External" /><Relationship Type="http://schemas.openxmlformats.org/officeDocument/2006/relationships/hyperlink" Id="rId70" Target="https://www.iso.org/standard/27001?utm_source=chatgpt.com" TargetMode="External" /><Relationship Type="http://schemas.openxmlformats.org/officeDocument/2006/relationships/hyperlink" Id="rId66" Target="https://www.mestrelabcn.com/Manual_HTML_Mnova_15/phase_correction_with_mnova.htm" TargetMode="External" /><Relationship Type="http://schemas.openxmlformats.org/officeDocument/2006/relationships/hyperlink" Id="rId56" Target="https://www.nmrdb.org/simulator/index.shtml" TargetMode="External" /><Relationship Type="http://schemas.openxmlformats.org/officeDocument/2006/relationships/hyperlink" Id="rId60" Target="https://www.nmrium.com/predict" TargetMode="External" /><Relationship Type="http://schemas.openxmlformats.org/officeDocument/2006/relationships/hyperlink" Id="rId37" Target="https://www.orgchemboulder.com/Spectroscopy/irtutor/aromaticsir.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2026-02-21T14:30:38Z</dcterms:created>
  <dcterms:modified xsi:type="dcterms:W3CDTF">2026-02-21T14:30:38Z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