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4" w:name="content"/>
    <w:bookmarkStart w:id="73" w:name="X63aa8bb1ef02226fa8525f6881e12e107b8c3fd"/>
    <w:p>
      <w:pPr>
        <w:pStyle w:val="Heading1"/>
      </w:pPr>
      <w:r>
        <w:t xml:space="preserve">Spectrotester ve Spectrosınn İçin Derin Teknik Analiz, Birleştirme Mimarisi ve Ticari Ürün Yol Haritası</w:t>
      </w:r>
    </w:p>
    <w:bookmarkStart w:id="25" w:name="yönetici-özeti"/>
    <w:p>
      <w:pPr>
        <w:pStyle w:val="Heading2"/>
      </w:pPr>
      <w:r>
        <w:t xml:space="preserve">Yönetici özeti</w:t>
      </w:r>
    </w:p>
    <w:p>
      <w:pPr>
        <w:pStyle w:val="FirstParagraph"/>
      </w:pPr>
      <w:r>
        <w:t xml:space="preserve">Elinizdeki iki kod tabanı (Spectrotester ve Spectrosınn/SpectroMind) aynı problemi farklı olgunluk seviyelerinde çözüyor:</w:t>
      </w:r>
      <w:r>
        <w:t xml:space="preserve"> </w:t>
      </w:r>
      <w:r>
        <w:rPr>
          <w:b/>
          <w:bCs/>
        </w:rPr>
        <w:t xml:space="preserve">SMILES → (NMR/MS/IR) teorik spektrum üretimi + molekül–çıktı tutarlılığı teyidi + raporlama</w:t>
      </w:r>
      <w:r>
        <w:t xml:space="preserve">. Spectrotester güçlü bir “teyit raporu + QC kodları + kök neden” yaklaşımı geliştirmiş; fakat kimyasal çekirdeği (SMILES/kimyasal graf/aromatiklik/tautomer vb.) büyük ölçüde</w:t>
      </w:r>
      <w:r>
        <w:t xml:space="preserve"> </w:t>
      </w:r>
      <w:r>
        <w:rPr>
          <w:b/>
          <w:bCs/>
        </w:rPr>
        <w:t xml:space="preserve">string/pattern</w:t>
      </w:r>
      <w:r>
        <w:t xml:space="preserve"> </w:t>
      </w:r>
      <w:r>
        <w:t xml:space="preserve">tabanlı olduğu için yapısal sınıflandırma hataları spektral çıkarımlara sistematik olarak yansıyor. Bu tip hatalar, özellikle aromatiklik algısı ve ¹H/¹³C bölge sınıflandırmasında “0 aromatik sinyal” gibi çıktılar üretebiliyor; bu da NMR doğrulama modüllerinde zincirleme FAIL/WARN’a yol açıyor. Açık SMILES standardının sözdizim/semantik ayrımı ve ring closure/aromatiklik gibi kuralları, bu katmanın güvenilir olmasının zorunlu olduğunu açıkça ortaya koyar.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Spectrosınn (SpectroMind) tarafında ise RDKit tabanlı analiz, HOSE tabanlı NMR tahmini, MS predictor ve FTIR motoru gibi daha zengin motorlar var; ancak uygulama akışı sıkça</w:t>
      </w:r>
      <w:r>
        <w:t xml:space="preserve"> </w:t>
      </w:r>
      <w:r>
        <w:rPr>
          <w:b/>
          <w:bCs/>
        </w:rPr>
        <w:t xml:space="preserve">Node/Next route → “python spawn + geçici script”</w:t>
      </w:r>
      <w:r>
        <w:t xml:space="preserve"> </w:t>
      </w:r>
      <w:r>
        <w:t xml:space="preserve">biçiminde ilerliyor. Bu yaklaşım, deterministik davranışın kontrolü, güvenlik sertlemesi, bakım/ölçekleme ve özellikle</w:t>
      </w:r>
      <w:r>
        <w:t xml:space="preserve"> </w:t>
      </w:r>
      <w:r>
        <w:rPr>
          <w:b/>
          <w:bCs/>
        </w:rPr>
        <w:t xml:space="preserve">21 CFR Part 11</w:t>
      </w:r>
      <w:r>
        <w:t xml:space="preserve"> </w:t>
      </w:r>
      <w:r>
        <w:t xml:space="preserve">doğrulama/audit gereksinimleri açısından yüksek risklidir; çünkü Part 11 “doğruluk-güvenilirlik-tutarlı performans” için sistem validasyonunu, tam kopya üretebilmeyi, yetkili erişim kontrolünü ve güvenli zaman damgalı audit trail’leri açıkça şart koşar.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Bu nedenle “tek tek modül yamamak” yerine, iki sistemi</w:t>
      </w:r>
      <w:r>
        <w:t xml:space="preserve"> </w:t>
      </w:r>
      <w:r>
        <w:rPr>
          <w:b/>
          <w:bCs/>
        </w:rPr>
        <w:t xml:space="preserve">tek çekirdek etrafında birleştiren</w:t>
      </w:r>
      <w:r>
        <w:t xml:space="preserve"> </w:t>
      </w:r>
      <w:r>
        <w:t xml:space="preserve">bir platforma geçiş gereklidir: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 kanonik Chem Core</w:t>
      </w:r>
      <w:r>
        <w:t xml:space="preserve">: SMILES’i tam semantik ile parse eden; aromatiklik algısını “regex” ile değil kimyasal graf kurallarıyla yapan çekirdek. RDKit’in aromatiklik algısının ring atom/bond kurallarıyla işlendiği dokümantasyon, aradığınız deterministik temel için iyi bir referanstır.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 Rule Engine + Rulepack otoritesi</w:t>
      </w:r>
      <w:r>
        <w:t xml:space="preserve">: Tahmin ve teyit kurallarının aynı DSL/şemadan yürütülmesi.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Tek Teyit Raporu sözleşmesi + izlenebilirlik</w:t>
      </w:r>
      <w:r>
        <w:t xml:space="preserve">: Part 11 uyumlu audit trail, RBAC, e‑signature ve değişmez (immutability) artifact hashing.</w:t>
      </w:r>
    </w:p>
    <w:p>
      <w:pPr>
        <w:pStyle w:val="FirstParagraph"/>
      </w:pPr>
      <w:r>
        <w:t xml:space="preserve">Bu rapor; iki repo için</w:t>
      </w:r>
      <w:r>
        <w:t xml:space="preserve"> </w:t>
      </w:r>
      <w:r>
        <w:rPr>
          <w:b/>
          <w:bCs/>
        </w:rPr>
        <w:t xml:space="preserve">mevcut durum haritası</w:t>
      </w:r>
      <w:r>
        <w:t xml:space="preserve">, eksikleri, “kural tabanlı (ML yok)” spektrum üretim ve teyit için gereken</w:t>
      </w:r>
      <w:r>
        <w:t xml:space="preserve"> </w:t>
      </w:r>
      <w:r>
        <w:rPr>
          <w:b/>
          <w:bCs/>
        </w:rPr>
        <w:t xml:space="preserve">kimyasal prensip → kod dönüşümü</w:t>
      </w:r>
      <w:r>
        <w:t xml:space="preserve">, kural motoru/algoritma modülleri, test/validasyon, regülasyon ve en sonunda</w:t>
      </w:r>
      <w:r>
        <w:t xml:space="preserve"> </w:t>
      </w:r>
      <w:r>
        <w:rPr>
          <w:b/>
          <w:bCs/>
        </w:rPr>
        <w:t xml:space="preserve">birleştirme stratejisini</w:t>
      </w:r>
      <w:r>
        <w:t xml:space="preserve"> </w:t>
      </w:r>
      <w:r>
        <w:t xml:space="preserve">detaylandırır. Ayrıca talebiniz doğrultusunda indirilebilir</w:t>
      </w:r>
      <w:r>
        <w:t xml:space="preserve"> </w:t>
      </w:r>
      <w:r>
        <w:rPr>
          <w:b/>
          <w:bCs/>
        </w:rPr>
        <w:t xml:space="preserve">.docx raporu</w:t>
      </w:r>
      <w:r>
        <w:t xml:space="preserve"> </w:t>
      </w:r>
      <w:r>
        <w:t xml:space="preserve">da üretildi:</w:t>
      </w:r>
      <w:r>
        <w:t xml:space="preserve"> </w:t>
      </w:r>
      <w:hyperlink r:id="rId24">
        <w:r>
          <w:rPr>
            <w:rStyle w:val="Hyperlink"/>
          </w:rPr>
          <w:t xml:space="preserve">DOCX raporunu indir</w:t>
        </w:r>
      </w:hyperlink>
    </w:p>
    <w:bookmarkEnd w:id="25"/>
    <w:bookmarkStart w:id="30" w:name="kod-tabanlarının-mevcut-durum-analizi"/>
    <w:p>
      <w:pPr>
        <w:pStyle w:val="Heading2"/>
      </w:pPr>
      <w:r>
        <w:t xml:space="preserve">Kod tabanlarının mevcut durum analizi</w:t>
      </w:r>
    </w:p>
    <w:bookmarkStart w:id="26" w:name="Xf7173a354bc288eb43b4c30db0057ea48303513"/>
    <w:p>
      <w:pPr>
        <w:pStyle w:val="Heading3"/>
      </w:pPr>
      <w:r>
        <w:t xml:space="preserve">Spectrotester’in gerçek güçlü tarafları ve kritik kırılma noktaları</w:t>
      </w:r>
    </w:p>
    <w:p>
      <w:pPr>
        <w:pStyle w:val="FirstParagraph"/>
      </w:pPr>
      <w:r>
        <w:t xml:space="preserve">Spectrotester, tek HTML/JS içinde “çekirdek + üretim + teyit raporu” yaklaşımı ile hızlı iterasyon için verimli bir prototip. Kod içinde (ör.</w:t>
      </w:r>
      <w:r>
        <w:t xml:space="preserve"> </w:t>
      </w:r>
      <w:r>
        <w:rPr>
          <w:rStyle w:val="VerbatimChar"/>
        </w:rPr>
        <w:t xml:space="preserve">Spectromasterv0.2tester.html</w:t>
      </w:r>
      <w:r>
        <w:t xml:space="preserve">) aşağıdaki dikkat çekici yetenekler var:</w:t>
      </w:r>
    </w:p>
    <w:p>
      <w:pPr>
        <w:pStyle w:val="Compact"/>
        <w:numPr>
          <w:ilvl w:val="0"/>
          <w:numId w:val="1002"/>
        </w:numPr>
      </w:pPr>
      <w:r>
        <w:t xml:space="preserve">Teyit raporunu parçalı modüller halinde üretme (formula/DBE, ¹H, ¹³C, HSQC, COSY, HMBC, MS, IR), “coverage &amp; confidence” türü metrikler ve “root cause” üretimi.</w:t>
      </w:r>
    </w:p>
    <w:p>
      <w:pPr>
        <w:pStyle w:val="Compact"/>
        <w:numPr>
          <w:ilvl w:val="0"/>
          <w:numId w:val="1002"/>
        </w:numPr>
      </w:pPr>
      <w:r>
        <w:t xml:space="preserve">Çok sayıda QC kodu (örn. HSQC düşük atama, C13 sayım sapması, methyl sınıfı uyumsuzluğu, vinylic C düşük vs.) ile ayrıntılı “neden FAIL?” açıklama katmanı.</w:t>
      </w:r>
    </w:p>
    <w:p>
      <w:pPr>
        <w:pStyle w:val="Compact"/>
        <w:numPr>
          <w:ilvl w:val="0"/>
          <w:numId w:val="1002"/>
        </w:numPr>
      </w:pPr>
      <w:r>
        <w:t xml:space="preserve">JSON şemaları ve kural seti tohumu:</w:t>
      </w:r>
      <w:r>
        <w:t xml:space="preserve"> </w:t>
      </w:r>
      <w:r>
        <w:rPr>
          <w:rStyle w:val="VerbatimChar"/>
        </w:rPr>
        <w:t xml:space="preserve">lib/spectra/library/teyit_raporu_schema.json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ruleset.json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verification_library_seed.json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GOLDEN_EXPECTATIONS_30.json</w:t>
      </w:r>
      <w:r>
        <w:t xml:space="preserve"> </w:t>
      </w:r>
      <w:r>
        <w:t xml:space="preserve">gibi artefaktlar sayesinde</w:t>
      </w:r>
      <w:r>
        <w:t xml:space="preserve"> </w:t>
      </w:r>
      <w:r>
        <w:rPr>
          <w:b/>
          <w:bCs/>
        </w:rPr>
        <w:t xml:space="preserve">şema-first</w:t>
      </w:r>
      <w:r>
        <w:t xml:space="preserve"> </w:t>
      </w:r>
      <w:r>
        <w:t xml:space="preserve">tasarıma zemin.</w:t>
      </w:r>
    </w:p>
    <w:p>
      <w:pPr>
        <w:pStyle w:val="FirstParagraph"/>
      </w:pPr>
      <w:r>
        <w:t xml:space="preserve">Buna karşın en kritik risk, kimyasal çekirdeğin bir bölümünün SMILES’i</w:t>
      </w:r>
      <w:r>
        <w:t xml:space="preserve"> </w:t>
      </w:r>
      <w:r>
        <w:rPr>
          <w:b/>
          <w:bCs/>
        </w:rPr>
        <w:t xml:space="preserve">tam standarda uymadan</w:t>
      </w:r>
      <w:r>
        <w:t xml:space="preserve"> </w:t>
      </w:r>
      <w:r>
        <w:t xml:space="preserve">yorumlamasıdır. SMILES’in “sözdizim (syntax)” ve “semantik (meaning)” ayrımı; ring closure çiftleri, aromatiklik gösterimleri ve atom/bond yorumlarını doğru yapmak gerektiğini vurgular.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Örneğin Spectrotester tarafında aromatiklik için kısmi “kekül → aromatik” regex dönüşümleri gibi yaklaşımlar, yalnızca sınırlı desenleri yakalar; substitüsyon çeşitliliği arttıkça aromatikliği kaçırır ve NMR bölge sınıflandırması yanlışlanır. Bu; sizin örnek çıktılarda görülen “aromatik sinyal=0, vinilik C=0” gibi semptomlarla doğrudan uyumludur.</w:t>
      </w:r>
    </w:p>
    <w:p>
      <w:pPr>
        <w:pStyle w:val="BodyText"/>
      </w:pPr>
      <w:r>
        <w:t xml:space="preserve">Sonuç: Spectrotester’de “teyit motoru” felsefesi güçlü; ancak</w:t>
      </w:r>
      <w:r>
        <w:t xml:space="preserve"> </w:t>
      </w:r>
      <w:r>
        <w:rPr>
          <w:b/>
          <w:bCs/>
        </w:rPr>
        <w:t xml:space="preserve">kimyasal graf katmanı</w:t>
      </w:r>
      <w:r>
        <w:t xml:space="preserve"> </w:t>
      </w:r>
      <w:r>
        <w:t xml:space="preserve">sağlamlaştırılmadan doğruluk stabil değildir.</w:t>
      </w:r>
    </w:p>
    <w:bookmarkEnd w:id="26"/>
    <w:bookmarkStart w:id="29" w:name="Xd91abe1f8bbe3c63b2912e63cb13daab0101c5f"/>
    <w:p>
      <w:pPr>
        <w:pStyle w:val="Heading3"/>
      </w:pPr>
      <w:r>
        <w:t xml:space="preserve">Spectrosınn/SpectroMind’in güçlü tarafları ve ticari riskleri</w:t>
      </w:r>
    </w:p>
    <w:p>
      <w:pPr>
        <w:pStyle w:val="FirstParagraph"/>
      </w:pPr>
      <w:r>
        <w:t xml:space="preserve">Spectrosınn zip’i (SpectroMind) çok daha geniş bir yelpaze içeriyor: Next.js UI, Python servisleri ve RDKit tabanlı analiz, HOSE predictor, MS predictor, FTIR motoru ve ayrıca GNN/DFT gibi “ML/QM” modülleri. Bu, Mnova/ACD benzeri geniş fonksiyon hedefi açısından iyi bir çekirdek potansiyeli gösterir; çünkü ticari araçlar genellikle birden çok motoru birleştirir: Mnova NMRPredict’in “ensemble” yaklaşımı (ML + increments + HOSE-code) bunun tipik örneğidir.</w:t>
      </w:r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Bununla birlikte SpectroMind’de kritik ürünleşme riskleri var:</w:t>
      </w:r>
    </w:p>
    <w:p>
      <w:pPr>
        <w:pStyle w:val="Compact"/>
        <w:numPr>
          <w:ilvl w:val="0"/>
          <w:numId w:val="1003"/>
        </w:numPr>
      </w:pPr>
      <w:r>
        <w:t xml:space="preserve">“Node route → python spawn” kalıbı yaygın. Bu kalıp; ortam bağımlılığı ve doğrulama zorluğu üretir (hangi python? hangi RDKit? hangi kütüphane sürümü?). Part 11 için sistem validasyonu ve audit zincirini kapatmak zorlaşır.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3"/>
        </w:numPr>
      </w:pPr>
      <w:r>
        <w:t xml:space="preserve">Repo içindeki</w:t>
      </w:r>
      <w:r>
        <w:t xml:space="preserve"> </w:t>
      </w:r>
      <w:r>
        <w:rPr>
          <w:b/>
          <w:bCs/>
        </w:rPr>
        <w:t xml:space="preserve">venv ve .git objeleri</w:t>
      </w:r>
      <w:r>
        <w:t xml:space="preserve"> </w:t>
      </w:r>
      <w:r>
        <w:t xml:space="preserve">gibi “packaging noise” (dağıtım için gereksiz büyük artefaktlar) ürünleşme aşamasında build/release ve güvenlik süreçlerini zorlaştırır.</w:t>
      </w:r>
    </w:p>
    <w:p>
      <w:pPr>
        <w:pStyle w:val="Compact"/>
        <w:numPr>
          <w:ilvl w:val="0"/>
          <w:numId w:val="1003"/>
        </w:numPr>
      </w:pPr>
      <w:r>
        <w:t xml:space="preserve">RBAC/audit/e‑signature gereksinimleri (siz “şart” dediniz) kodda “doküman seviyesinde” görünse de veri tabanı şemasında ve servis katmanında</w:t>
      </w:r>
      <w:r>
        <w:t xml:space="preserve"> </w:t>
      </w:r>
      <w:r>
        <w:rPr>
          <w:b/>
          <w:bCs/>
        </w:rPr>
        <w:t xml:space="preserve">tam uygulanmış</w:t>
      </w:r>
      <w:r>
        <w:t xml:space="preserve"> </w:t>
      </w:r>
      <w:r>
        <w:t xml:space="preserve">bir Part 11 çözümü görünmüyor; oysa Part 11, örneğin audit trail için “secure, computer-generated, time-stamped” kayıtları ve değişikliklerin önceki bilgiyi örtmemesini açıkça ister.</w:t>
      </w:r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Sonuç: Spectrosınn geniş özellik hedefi için daha iyi “platform adayı”; fakat ürünleştirmek için</w:t>
      </w:r>
      <w:r>
        <w:t xml:space="preserve"> </w:t>
      </w:r>
      <w:r>
        <w:rPr>
          <w:b/>
          <w:bCs/>
        </w:rPr>
        <w:t xml:space="preserve">servisleştirme, determinism, compliance mimarisi</w:t>
      </w:r>
      <w:r>
        <w:t xml:space="preserve"> </w:t>
      </w:r>
      <w:r>
        <w:t xml:space="preserve">yeniden tasarlanmalı.</w:t>
      </w:r>
    </w:p>
    <w:bookmarkEnd w:id="29"/>
    <w:bookmarkEnd w:id="30"/>
    <w:bookmarkStart w:id="46" w:name="Xd9e9479d0121d85d291bcb5c55c3be464756429"/>
    <w:p>
      <w:pPr>
        <w:pStyle w:val="Heading2"/>
      </w:pPr>
      <w:r>
        <w:t xml:space="preserve">Kural tabanlı spektrum üretimi için bilimsel ve teknik temel</w:t>
      </w:r>
    </w:p>
    <w:p>
      <w:pPr>
        <w:pStyle w:val="FirstParagraph"/>
      </w:pPr>
      <w:r>
        <w:t xml:space="preserve">Aşağıdaki bölüm “ML yok” kısıtıyla, NMR/MS/IR üretiminin</w:t>
      </w:r>
      <w:r>
        <w:t xml:space="preserve"> </w:t>
      </w:r>
      <w:r>
        <w:rPr>
          <w:b/>
          <w:bCs/>
        </w:rPr>
        <w:t xml:space="preserve">kural tabanlı</w:t>
      </w:r>
      <w:r>
        <w:t xml:space="preserve"> </w:t>
      </w:r>
      <w:r>
        <w:t xml:space="preserve">olarak nasıl bilimsel temele oturtulacağını (ve hangi noktalarda belirsizlik/varsayım yönetimi gerektiğini) netleştirir.</w:t>
      </w:r>
    </w:p>
    <w:bookmarkStart w:id="31" w:name="X29be52aa2a77594eacf53c3069190c7aafa27d8"/>
    <w:p>
      <w:pPr>
        <w:pStyle w:val="Heading3"/>
      </w:pPr>
      <w:r>
        <w:t xml:space="preserve">SMILES’ten güvenilir kimyasal graf üretimi</w:t>
      </w:r>
    </w:p>
    <w:p>
      <w:pPr>
        <w:pStyle w:val="FirstParagraph"/>
      </w:pPr>
      <w:r>
        <w:t xml:space="preserve">Başarılı bir spektral tahmin sisteminin ilk şartı: SMILES’in</w:t>
      </w:r>
      <w:r>
        <w:t xml:space="preserve"> </w:t>
      </w:r>
      <w:r>
        <w:rPr>
          <w:b/>
          <w:bCs/>
        </w:rPr>
        <w:t xml:space="preserve">tam ve doğru</w:t>
      </w:r>
      <w:r>
        <w:t xml:space="preserve"> </w:t>
      </w:r>
      <w:r>
        <w:t xml:space="preserve">kimyasal grafa çevrilmesi. OpenSMILES; sözdizim ve semantik kuralları (ring closure çiftleri, atom listeleri, bağ tipleri, aromatiklik gösterimleri vb.) tanımlar ve “SMILES parser/writer geliştiren geliştiriciler” için yazılmıştır.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Aromatiklik ise string üzerinde “küçük harf gördüm” gibi bir heuristikle güvenilir biçimde yönetilemez. RDKit dokümantasyonu, aromatiklik algısının “pattern eşleştirme” yerine ring atom/bond kurallarına dayanan bir yaklaşım olduğunu belirtir.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Bu nedenle birleşik platformda Chem Core için iki seçenek vardır: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Önerilen</w:t>
      </w:r>
      <w:r>
        <w:t xml:space="preserve">: Python/RDKit tabanlı tek Chem Core (backend servis).</w:t>
      </w:r>
    </w:p>
    <w:p>
      <w:pPr>
        <w:pStyle w:val="Compact"/>
        <w:numPr>
          <w:ilvl w:val="0"/>
          <w:numId w:val="1004"/>
        </w:numPr>
      </w:pPr>
      <w:r>
        <w:t xml:space="preserve">Alternatif: Browser tarafında RDKit.js/WebAssembly + aynı standardizasyon kurallarını “tek yerden” yürütme (operasyonel olarak daha zor, ama offline için değerli).</w:t>
      </w:r>
    </w:p>
    <w:p>
      <w:pPr>
        <w:pStyle w:val="FirstParagraph"/>
      </w:pPr>
      <w:r>
        <w:t xml:space="preserve">Her iki durumda da “kanonik SMILES + standardizasyon politikası” birinci sınıf veri olmalıdır: tautomer seçimi, charge normalization, salt stripping, aromatiklik algısı, stereokimya politikası.</w:t>
      </w:r>
    </w:p>
    <w:bookmarkEnd w:id="31"/>
    <w:bookmarkStart w:id="37" w:name="nmr-için-kural-tabanlı-tahmin-çekirdeği"/>
    <w:p>
      <w:pPr>
        <w:pStyle w:val="Heading3"/>
      </w:pPr>
      <w:r>
        <w:t xml:space="preserve">NMR için kural tabanlı tahmin çekirdeği</w:t>
      </w:r>
    </w:p>
    <w:p>
      <w:pPr>
        <w:pStyle w:val="FirstParagraph"/>
      </w:pPr>
      <w:r>
        <w:t xml:space="preserve">ML olmadan NMR kimyasal kayma tahmininde en yaygın omurga:</w:t>
      </w:r>
      <w:r>
        <w:t xml:space="preserve"> </w:t>
      </w:r>
      <w:r>
        <w:rPr>
          <w:b/>
          <w:bCs/>
        </w:rPr>
        <w:t xml:space="preserve">HOSE-code çevre temsili + benzerlik araması / tablo tabanlı değerleme</w:t>
      </w:r>
      <w:r>
        <w:t xml:space="preserve">. ChemAxon dokümantasyonu HOSE kodlarını, seçilen atom çevresini yarıçaplar halinde tanımlayan bir teknoloji olarak açıklar; aynı HOSE koduna sahip atomların benzer kimyasal kaymalara sahip olacağı varsayımını kurar ve bir HOSE→shift veri tabanı varsa benzerlik ile shift tahmini yapılabileceğini söyler.</w:t>
      </w:r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  <w:r>
        <w:br/>
      </w:r>
      <w:r>
        <w:t xml:space="preserve">Stereo-kimya etkileri içinse HOSE kodlarının “stereo-aware” uzatılabildiği literatürde gösterilmiştir.</w:t>
      </w:r>
      <w:r>
        <w:t xml:space="preserve"> </w:t>
      </w:r>
      <w:hyperlink r:id="rId33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Kural tabanlı NMR tahmini için minimum bileşenler: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Atom çevre özellikleri</w:t>
      </w:r>
      <w:r>
        <w:t xml:space="preserve">: hibritleşme, aromatiklik, komşu EWG/EDG, halka/konjugasyon, heteroatom uzaklığı, H-bond donör/akseptör durumları.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HOSE/QSPR hibritine kapı</w:t>
      </w:r>
      <w:r>
        <w:t xml:space="preserve">: “ML yok” kısıtıyla, QSPR türü regresyonu kullanmak istemiyorsanız en azından “kural tabanlı increment” (komşu etkisi tablosu) ile HOSE fallback sağlayın.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Çözücü/koşul parametreleri</w:t>
      </w:r>
      <w:r>
        <w:t xml:space="preserve">: ACD’nin NMR Predictor güncellemelerinde “D2O ve deuterated methanol’de değişebilir protonları ignore etme” gibi solvente bağlı davranışların ürün özelliği olarak yer alması, koşul modelinin ticari doğruluk için kritik olduğunu gösterir.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t xml:space="preserve">“Mnova/ACD gibi iş akışı” hedefi açısından ayrıca gerekenler: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2D NMR tahmin/verify</w:t>
      </w:r>
      <w:r>
        <w:t xml:space="preserve">: HSQC/HMBC/COSY gibi. HSQC/HMBC’nin neyi gösterdiği ve HMBC’nin 2–3 (bazı konjuge sistemlerde 4) bağ uzaklık korelasyon verebildiği; HSQC’nin bir-bağ korelasyonlarını verdiği iyi çekirdek kaynaklarda açıkça anlatılır.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6"/>
        </w:numPr>
      </w:pPr>
      <w:r>
        <w:t xml:space="preserve">COSY’nin “hangi proton hangi protonla kuplajlı” bilgisini verdiği ve cross-peak’lerin kuplajlı protonlar arasında oluştuğu da aynı şekilde standart bir prensiptir.</w:t>
      </w:r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t xml:space="preserve">Burada önemli bir doğrulama notu: HSQC’nin boş olması, CH/CH₂ protonlarının “OH/NH exchange” ile kaybolması gibi gerekçelerle genellenemez; HSQC doğrudan bağlı ¹H–¹³C korelasyonları hedeflediği için yapıdan çıkan protonlu karbon sayısı ile HSQC tepe sayısı arasında açık bir beklenti vardır.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</w:p>
    <w:bookmarkEnd w:id="37"/>
    <w:bookmarkStart w:id="41" w:name="ms-için-kural-tabanlı-tahmin-çekirdeği"/>
    <w:p>
      <w:pPr>
        <w:pStyle w:val="Heading3"/>
      </w:pPr>
      <w:r>
        <w:t xml:space="preserve">MS için kural tabanlı tahmin çekirdeği</w:t>
      </w:r>
    </w:p>
    <w:p>
      <w:pPr>
        <w:pStyle w:val="FirstParagraph"/>
      </w:pPr>
      <w:r>
        <w:t xml:space="preserve">MS tarafında ML olmadan güçlü bir temel kurulabilir; çünkü bazı bileşenler deterministik/kurala çok uygundur: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Adduct modeli (ESI)</w:t>
      </w:r>
      <w:r>
        <w:t xml:space="preserve">: [M+H]⁺, [M+Na]⁺, [M+K]⁺ vb. adductların kütle farkları tablo tabanlıdır. Waters, ESI’de yaygın adductları ve kütle farklarını listeler.</w:t>
      </w:r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mzML formatı</w:t>
      </w:r>
      <w:r>
        <w:t xml:space="preserve">: MS verisini açık standartta saklamak için HUPO‑PSI’nın mzML standardı, “mass spectrometer output + acquisition/processing koşullarını” birlikte taşımayı hedefler.</w:t>
      </w:r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İzotop desenleri</w:t>
      </w:r>
      <w:r>
        <w:t xml:space="preserve">: Element izotop bolluklarından binom/çokterimli konvolüsyon ile teorik izotop paternleri hesaplanabilir (özellikle Cl/Br için M+2 davranışı). Bu “kimya → matematik” doğrudan kodlanabilir bir parçadır.</w:t>
      </w:r>
    </w:p>
    <w:p>
      <w:pPr>
        <w:pStyle w:val="FirstParagraph"/>
      </w:pPr>
      <w:r>
        <w:t xml:space="preserve">Fragmantasyon tarafında adet/kapsam büyür; ama yine de belirli isimli fragmantasyonlar kural tabanlı modele iyi oturur. Örneğin McLafferty rearrangement; karbonil içeren ve γ‑hidrojeni olan sistemlerde görülen tipik bir rearrangement fragmantasyondur.</w:t>
      </w:r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  <w:r>
        <w:br/>
      </w:r>
      <w:r>
        <w:t xml:space="preserve">Bu tür fragmantasyon kuralları “olabilirlik” üretir; kesinlik üretmez. Dolayısıyla MS üreticiniz;</w:t>
      </w:r>
      <w:r>
        <w:t xml:space="preserve"> </w:t>
      </w:r>
      <w:r>
        <w:rPr>
          <w:b/>
          <w:bCs/>
        </w:rPr>
        <w:t xml:space="preserve">olası fragman havuzu + skor</w:t>
      </w:r>
      <w:r>
        <w:t xml:space="preserve"> </w:t>
      </w:r>
      <w:r>
        <w:t xml:space="preserve">üretmeli ve teyit katmanı bunu “kanıt/uyum” olarak değerlendirmelidir.</w:t>
      </w:r>
    </w:p>
    <w:bookmarkEnd w:id="41"/>
    <w:bookmarkStart w:id="45" w:name="ir-için-kural-tabanlı-tahmin-çekirdeği"/>
    <w:p>
      <w:pPr>
        <w:pStyle w:val="Heading3"/>
      </w:pPr>
      <w:r>
        <w:t xml:space="preserve">IR için kural tabanlı tahmin çekirdeği</w:t>
      </w:r>
    </w:p>
    <w:p>
      <w:pPr>
        <w:pStyle w:val="FirstParagraph"/>
      </w:pPr>
      <w:r>
        <w:t xml:space="preserve">IR tahmininde ML olmadan en güvenilir yaklaşım:</w:t>
      </w:r>
      <w:r>
        <w:t xml:space="preserve"> </w:t>
      </w:r>
      <w:r>
        <w:rPr>
          <w:b/>
          <w:bCs/>
        </w:rPr>
        <w:t xml:space="preserve">fonksiyonel grup korelasyon tabloları + bağ ortamı heuristikleri</w:t>
      </w:r>
      <w:r>
        <w:t xml:space="preserve">. IR “karakteristik absorpsiyon tabloları” açık kaynaklarda geniş biçimde listelenir.</w:t>
      </w:r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  <w:r>
        <w:br/>
      </w:r>
      <w:r>
        <w:t xml:space="preserve">Örneğin fenollerde O‑H gerilmesi 3550–3230 cm⁻¹ civarında geniş bant olarak görülür; genişlik hidrojen bağı etkisinden kaynaklanır.</w:t>
      </w:r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  <w:r>
        <w:br/>
      </w:r>
      <w:r>
        <w:t xml:space="preserve">Bu, IR motorunuzun “band var/yok” kontrolünün yanı sıra</w:t>
      </w:r>
      <w:r>
        <w:t xml:space="preserve"> </w:t>
      </w:r>
      <w:r>
        <w:rPr>
          <w:b/>
          <w:bCs/>
        </w:rPr>
        <w:t xml:space="preserve">band genişliği/şekli</w:t>
      </w:r>
      <w:r>
        <w:t xml:space="preserve"> </w:t>
      </w:r>
      <w:r>
        <w:t xml:space="preserve">için de kural koymasını gerektirir (örn. OH var ve H‑bond olasıysa geniş bant; değilse dar bant).</w:t>
      </w:r>
    </w:p>
    <w:p>
      <w:pPr>
        <w:pStyle w:val="BodyText"/>
      </w:pPr>
      <w:r>
        <w:t xml:space="preserve">“Veri formatı” açısından JCAMP‑DX, IUPAC tarafından sürdürülen spektral veri değişim standardı ailesidir.</w:t>
      </w:r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Bu; NMR/MS/IR çıktılarınızı ortak bir export katmanında birleştirmek için güçlü ve pratik bir hedeftir.</w:t>
      </w:r>
    </w:p>
    <w:bookmarkEnd w:id="45"/>
    <w:bookmarkEnd w:id="46"/>
    <w:bookmarkStart w:id="54" w:name="X6c9dbbcf076f0166da40656e3422adefd1cb0b6"/>
    <w:p>
      <w:pPr>
        <w:pStyle w:val="Heading2"/>
      </w:pPr>
      <w:r>
        <w:t xml:space="preserve">Teyit raporu, kural motoru ve doğruluk mimarisi</w:t>
      </w:r>
    </w:p>
    <w:bookmarkStart w:id="47" w:name="kural-motorunu-ikiye-ayırma"/>
    <w:p>
      <w:pPr>
        <w:pStyle w:val="Heading3"/>
      </w:pPr>
      <w:r>
        <w:t xml:space="preserve">Kural motorunu ikiye ayırma</w:t>
      </w:r>
    </w:p>
    <w:p>
      <w:pPr>
        <w:pStyle w:val="FirstParagraph"/>
      </w:pPr>
      <w:r>
        <w:t xml:space="preserve">Bu tip ürünlerde en büyük tasarım hatası, “tahmin kuralları” ile “doğrulama (teyit) kuralları”nı aynı düzlemde karıştırmaktır. Ürününüz iki ayrı rulepack ailesine sahip olmalıdır: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 Rulepack</w:t>
      </w:r>
      <w:r>
        <w:t xml:space="preserve">: SMILES → teorik pikler (peak list + kontinu spektrum).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Verify Rulepack</w:t>
      </w:r>
      <w:r>
        <w:t xml:space="preserve">: (SMILES + teorik pikler + eğer varsa ölçüm) → tutarlılık/uyum değerlendirme.</w:t>
      </w:r>
    </w:p>
    <w:p>
      <w:pPr>
        <w:pStyle w:val="FirstParagraph"/>
      </w:pPr>
      <w:r>
        <w:t xml:space="preserve">Ölçüm yoksa verify rulepack’in görevi “fiziksel/kimyasal imkânsızlıkları veto etme + belirsizlikleri raporlama” olmalıdır; “ölçüm yokken model tahmini kesin doğru kabul etme” olmamalıdır.</w:t>
      </w:r>
    </w:p>
    <w:bookmarkEnd w:id="47"/>
    <w:bookmarkStart w:id="49" w:name="teyit-skorlaması-ve-açıklanabilirlik"/>
    <w:p>
      <w:pPr>
        <w:pStyle w:val="Heading3"/>
      </w:pPr>
      <w:r>
        <w:t xml:space="preserve">Teyit skorlaması ve açıklanabilirlik</w:t>
      </w:r>
    </w:p>
    <w:p>
      <w:pPr>
        <w:pStyle w:val="FirstParagraph"/>
      </w:pPr>
      <w:r>
        <w:t xml:space="preserve">ACD/Mnova sınıfı ürünlerin ortak noktası, kullanıcıya sadece “PASS/FAIL”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ne yapılırsa düzelir</w:t>
      </w:r>
      <w:r>
        <w:t xml:space="preserve"> </w:t>
      </w:r>
      <w:r>
        <w:t xml:space="preserve">bilgisini vermesidir. Bunun için:</w:t>
      </w:r>
    </w:p>
    <w:p>
      <w:pPr>
        <w:pStyle w:val="Compact"/>
        <w:numPr>
          <w:ilvl w:val="0"/>
          <w:numId w:val="1009"/>
        </w:numPr>
      </w:pPr>
      <w:r>
        <w:t xml:space="preserve">Her kural sonucu;</w:t>
      </w:r>
      <w:r>
        <w:t xml:space="preserve"> </w:t>
      </w:r>
      <w:r>
        <w:rPr>
          <w:rStyle w:val="VerbatimChar"/>
        </w:rPr>
        <w:t xml:space="preserve">status ∈ {PASS, WARN, FAIL, FATAL}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suggested_action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rule_trace</w:t>
      </w:r>
      <w:r>
        <w:t xml:space="preserve"> </w:t>
      </w:r>
      <w:r>
        <w:t xml:space="preserve">üretmeli.</w:t>
      </w:r>
    </w:p>
    <w:p>
      <w:pPr>
        <w:pStyle w:val="Compact"/>
        <w:numPr>
          <w:ilvl w:val="0"/>
          <w:numId w:val="1009"/>
        </w:numPr>
      </w:pPr>
      <w:r>
        <w:t xml:space="preserve">Skor iki katmanlı olmalı: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Tutarlılık skoru</w:t>
      </w:r>
      <w:r>
        <w:t xml:space="preserve"> </w:t>
      </w:r>
      <w:r>
        <w:t xml:space="preserve">(imkânsızlık/çelişki yok mu?)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Tahmin doğruluk skoru</w:t>
      </w:r>
      <w:r>
        <w:t xml:space="preserve"> </w:t>
      </w:r>
      <w:r>
        <w:t xml:space="preserve">(golden dataset’e göre ppm hatası vb.)</w:t>
      </w:r>
    </w:p>
    <w:p>
      <w:pPr>
        <w:pStyle w:val="Compact"/>
        <w:numPr>
          <w:ilvl w:val="0"/>
          <w:numId w:val="1009"/>
        </w:numPr>
      </w:pPr>
      <w:r>
        <w:t xml:space="preserve">“Coverage” zorunlu metrik olmalı: atanan karbon oranı, HSQC eşleşme oranı, IR beklenen bant kapsaması, MS adduct kapsaması vb.</w:t>
      </w:r>
    </w:p>
    <w:p>
      <w:pPr>
        <w:pStyle w:val="FirstParagraph"/>
      </w:pPr>
      <w:r>
        <w:t xml:space="preserve">Mnova’nın “Predict &amp; Verify” iş akışında HSQC üzerinde tahmin edilen dikdörtgen bölgelerin deneysel cross‑peak ile merkez/kenar/dışarı durumuna göre renklenmesi gibi kullanıcıya sezgisel “uyum” görselleştirmesi, sizin teyit motorunuzun UI karşılığı için iyi benchmark’tır.</w:t>
      </w:r>
      <w:r>
        <w:t xml:space="preserve"> </w:t>
      </w:r>
      <w:hyperlink r:id="rId48">
        <w:r>
          <w:rPr>
            <w:rStyle w:val="Hyperlink"/>
          </w:rPr>
          <w:t xml:space="preserve">[18]</w:t>
        </w:r>
      </w:hyperlink>
    </w:p>
    <w:bookmarkEnd w:id="49"/>
    <w:bookmarkStart w:id="50" w:name="X019e3b7f21cc527e02091ecb05f86a9eb69001c"/>
    <w:p>
      <w:pPr>
        <w:pStyle w:val="Heading3"/>
      </w:pPr>
      <w:r>
        <w:t xml:space="preserve">Chem Core’dan türetilen “expected” değerlerin tek kaynak olması</w:t>
      </w:r>
    </w:p>
    <w:p>
      <w:pPr>
        <w:pStyle w:val="FirstParagraph"/>
      </w:pPr>
      <w:r>
        <w:t xml:space="preserve">Sizde görülen FAIL desenlerinin büyük kısmı “expected” değerlerin yanlış türetilmesinden doğar (örn. aromatik H beklerken 0 bulmak gibi). Bu yüzden: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expected_aromatic_H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expected_vinylic_C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expected_carbonyl_C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expected_protonated_C</w:t>
      </w:r>
      <w:r>
        <w:t xml:space="preserve"> </w:t>
      </w:r>
      <w:r>
        <w:t xml:space="preserve">gibi beklentiler</w:t>
      </w:r>
      <w:r>
        <w:t xml:space="preserve"> </w:t>
      </w:r>
      <w:r>
        <w:rPr>
          <w:b/>
          <w:bCs/>
        </w:rPr>
        <w:t xml:space="preserve">tek bir Chem Core</w:t>
      </w:r>
      <w:r>
        <w:t xml:space="preserve"> </w:t>
      </w:r>
      <w:r>
        <w:t xml:space="preserve">fonksiyonundan türetilmeli.</w:t>
      </w:r>
    </w:p>
    <w:p>
      <w:pPr>
        <w:pStyle w:val="Compact"/>
        <w:numPr>
          <w:ilvl w:val="0"/>
          <w:numId w:val="1010"/>
        </w:numPr>
      </w:pPr>
      <w:r>
        <w:t xml:space="preserve">Her spektrum tipinin “beklenen” seti; OpenSMILES semantiğine uygun parse + aromatiklik algısı + tautomer/pH/solvent politikası ile belirlenmeli.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bookmarkEnd w:id="50"/>
    <w:bookmarkStart w:id="53" w:name="X1dd913a0bfa0d95bdee8b742810c0c9ec65420d"/>
    <w:p>
      <w:pPr>
        <w:pStyle w:val="Heading3"/>
      </w:pPr>
      <w:r>
        <w:t xml:space="preserve">Standard veri sözleşmesi ve açık formatlar</w:t>
      </w:r>
    </w:p>
    <w:p>
      <w:pPr>
        <w:pStyle w:val="FirstParagraph"/>
      </w:pPr>
      <w:r>
        <w:t xml:space="preserve">Ticarileşme için “çıktı formatı” salt JSON değildir. Kurumsal dünyada büyümeyi hızlandıran şey, açık formatlarla konuşabilmektir: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JCAMP‑DX</w:t>
      </w:r>
      <w:r>
        <w:t xml:space="preserve">: IUPAC spektral veri değişim standardı ailesi.</w:t>
      </w:r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mzML</w:t>
      </w:r>
      <w:r>
        <w:t xml:space="preserve">: HUPO‑PSI açık MS standardı.</w:t>
      </w:r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nmrML / NMReDATA</w:t>
      </w:r>
      <w:r>
        <w:t xml:space="preserve">: NMR için açık formatlar; nmrML’nin açık XML tabanlı olduğu ve raw/metadata yakalayabildiği literatürde belirtilmiştir.</w:t>
      </w:r>
      <w:r>
        <w:t xml:space="preserve"> </w:t>
      </w:r>
      <w:hyperlink r:id="rId51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NMReDATA SDF tag yaklaşımı</w:t>
      </w:r>
      <w:r>
        <w:t xml:space="preserve">: “NMREDATA_” ile başlayan tag’lerle SDF içinde NMR extracted data taşınır.</w:t>
      </w:r>
      <w:r>
        <w:t xml:space="preserve"> </w:t>
      </w:r>
      <w:hyperlink r:id="rId52">
        <w:r>
          <w:rPr>
            <w:rStyle w:val="Hyperlink"/>
          </w:rPr>
          <w:t xml:space="preserve">[22]</w:t>
        </w:r>
      </w:hyperlink>
    </w:p>
    <w:p>
      <w:pPr>
        <w:pStyle w:val="FirstParagraph"/>
      </w:pPr>
      <w:r>
        <w:t xml:space="preserve">Bu formatlar, hem “exportable records” (Part 11’in “doğru ve tam kopya üretme” beklentisiyle uyumlu) hem de entegrasyon açısından kritik kaldıraçtır.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bookmarkEnd w:id="53"/>
    <w:bookmarkEnd w:id="54"/>
    <w:bookmarkStart w:id="64" w:name="regülasyon-ve-ticari-ürün-gereksinimleri"/>
    <w:p>
      <w:pPr>
        <w:pStyle w:val="Heading2"/>
      </w:pPr>
      <w:r>
        <w:t xml:space="preserve">Regülasyon ve ticari ürün gereksinimleri</w:t>
      </w:r>
    </w:p>
    <w:bookmarkStart w:id="59" w:name="Xe762cf601ee0674f7558c3fa19f623be8298f08"/>
    <w:p>
      <w:pPr>
        <w:pStyle w:val="Heading3"/>
      </w:pPr>
      <w:r>
        <w:t xml:space="preserve">21 CFR Part 11’in yazılıma çevrilecek zorunlu hükümleri</w:t>
      </w:r>
    </w:p>
    <w:p>
      <w:pPr>
        <w:pStyle w:val="FirstParagraph"/>
      </w:pPr>
      <w:r>
        <w:t xml:space="preserve">Part 11, elektronik kayıtlar ve elektronik imzaların “trustworthy, reliable” kabul edilmesi için kriterleri belirler.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Bir spektrum tahmin/teyit ürünü, eğer regüle süreçlerde (QC, AR‑GE, CMC, klinik) kullanılacaksa aşağıdaki maddeleri doğrudan “koda” çevirmelidir: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Sistem validasyonu</w:t>
      </w:r>
      <w:r>
        <w:t xml:space="preserve">: Doğruluk, güvenilirlik, tutarlı performans ve “invalid/altered record” ayırt edebilme.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Tam ve doğru kopya üretimi (human readable + electronic)</w:t>
      </w:r>
      <w:r>
        <w:t xml:space="preserve">: Denetim için agency incelemesine uygun kopyalar.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Kayıtların korunması ve retention süresince erişilebilirliği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Yetkisiz erişimi engelleme (authorized individuals)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trail</w:t>
      </w:r>
      <w:r>
        <w:t xml:space="preserve">: “secure, computer-generated, time-stamped” audit trail ile create/modify/delete aksiyonlarının bağımsız kaydı; değişiklikler önceki bilgiyi örtmemeli; retention süresince saklanmalı ve incelemeye açık olmalı.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İmza–kayıt bağlama (signature/record linking)</w:t>
      </w:r>
      <w:r>
        <w:t xml:space="preserve">: İmza kayıttan koparılamamalı/taşınamamalı.</w:t>
      </w:r>
      <w:r>
        <w:t xml:space="preserve"> </w:t>
      </w:r>
      <w:hyperlink r:id="rId55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Elektronik imza kontrolleri</w:t>
      </w:r>
      <w:r>
        <w:t xml:space="preserve">: Biometrics dışı imzada en az iki farklı kimlik bileşeni (id + password) gibi kontroller.</w:t>
      </w:r>
      <w:r>
        <w:t xml:space="preserve"> </w:t>
      </w:r>
      <w:hyperlink r:id="rId5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İmza görünürlüğü</w:t>
      </w:r>
      <w:r>
        <w:t xml:space="preserve">: İmzalı kayıt; signer adı, tarih/saat ve imza anlamı (review/approval vb.) içermeli.</w:t>
      </w:r>
      <w:r>
        <w:t xml:space="preserve"> </w:t>
      </w:r>
      <w:hyperlink r:id="rId57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t xml:space="preserve">FDA’nın Part 11 “scope and application” rehberi, Part 11’i risk bazlı ele almayı ve hangi sistemlerin Part 11 kapsamına girdiğini tanımlamayı hedefler; bu, ürününüz için “policy mode” (research vs QC) kavramını resmi olarak gerekçelendirmenize yardımcı olur.</w:t>
      </w:r>
      <w:r>
        <w:t xml:space="preserve"> </w:t>
      </w:r>
      <w:hyperlink r:id="rId58">
        <w:r>
          <w:rPr>
            <w:rStyle w:val="Hyperlink"/>
          </w:rPr>
          <w:t xml:space="preserve">[28]</w:t>
        </w:r>
      </w:hyperlink>
    </w:p>
    <w:bookmarkEnd w:id="59"/>
    <w:bookmarkStart w:id="62" w:name="X3a5105fb0d92fa70c32da843ac310a9ace10083"/>
    <w:p>
      <w:pPr>
        <w:pStyle w:val="Heading3"/>
      </w:pPr>
      <w:r>
        <w:t xml:space="preserve">RBAC: NIST modeli ve OWASP ilkeleriyle tasarım</w:t>
      </w:r>
    </w:p>
    <w:p>
      <w:pPr>
        <w:pStyle w:val="FirstParagraph"/>
      </w:pPr>
      <w:r>
        <w:t xml:space="preserve">RBAC, güvenlik idaresini ölçeklemek için role‑permission ilişkisini temel alan yerleşik bir modeldir. NIST’in “RBAC standard” çalışması, rol tabanlı yetkilendirme yönetiminin motivasyonunu ve model bileşenlerini özetler.</w:t>
      </w:r>
      <w:r>
        <w:t xml:space="preserve"> </w:t>
      </w:r>
      <w:hyperlink r:id="rId60">
        <w:r>
          <w:rPr>
            <w:rStyle w:val="Hyperlink"/>
          </w:rPr>
          <w:t xml:space="preserve">[29]</w:t>
        </w:r>
      </w:hyperlink>
      <w:r>
        <w:br/>
      </w:r>
      <w:r>
        <w:t xml:space="preserve">OWASP ise RBAC’yi; erişimin roller üzerinden verildiği model olarak tanımlar ve “least privilege” ile “deny by default” gibi uygulama ilkelerini vurgular.</w:t>
      </w:r>
      <w:r>
        <w:t xml:space="preserve"> </w:t>
      </w:r>
      <w:hyperlink r:id="rId61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Ürünleştirme açısından bunun anlamı:</w:t>
      </w:r>
    </w:p>
    <w:p>
      <w:pPr>
        <w:pStyle w:val="Compact"/>
        <w:numPr>
          <w:ilvl w:val="0"/>
          <w:numId w:val="1013"/>
        </w:numPr>
      </w:pPr>
      <w:r>
        <w:t xml:space="preserve">“Viewer/Scientist/QA/Admin” rolleri yetmez;</w:t>
      </w:r>
      <w:r>
        <w:t xml:space="preserve"> </w:t>
      </w:r>
      <w:r>
        <w:rPr>
          <w:b/>
          <w:bCs/>
        </w:rPr>
        <w:t xml:space="preserve">izinler resource‑level</w:t>
      </w:r>
      <w:r>
        <w:t xml:space="preserve"> </w:t>
      </w:r>
      <w:r>
        <w:t xml:space="preserve">tasarlanmalı (örn. “Run oluşturma”, “Run silme”, “Rulepack publish”, “e‑sign”, “audit export”).</w:t>
      </w:r>
    </w:p>
    <w:p>
      <w:pPr>
        <w:pStyle w:val="Compact"/>
        <w:numPr>
          <w:ilvl w:val="0"/>
          <w:numId w:val="1013"/>
        </w:numPr>
      </w:pPr>
      <w:r>
        <w:t xml:space="preserve">Yetkilendirme server‑side enforce edilmeli; UI kontrolü tek başına geçersiz.</w:t>
      </w:r>
      <w:r>
        <w:t xml:space="preserve"> </w:t>
      </w:r>
      <w:hyperlink r:id="rId61">
        <w:r>
          <w:rPr>
            <w:rStyle w:val="Hyperlink"/>
          </w:rPr>
          <w:t xml:space="preserve">[31]</w:t>
        </w:r>
      </w:hyperlink>
    </w:p>
    <w:bookmarkEnd w:id="62"/>
    <w:bookmarkStart w:id="63" w:name="audit-trailin-veri-modeli"/>
    <w:p>
      <w:pPr>
        <w:pStyle w:val="Heading3"/>
      </w:pPr>
      <w:r>
        <w:t xml:space="preserve">Audit trail’in veri modeli</w:t>
      </w:r>
    </w:p>
    <w:p>
      <w:pPr>
        <w:pStyle w:val="FirstParagraph"/>
      </w:pPr>
      <w:r>
        <w:t xml:space="preserve">Part 11’in audit trail gerekliliği “zaman damgalı, güvenli, bilgisayar üretimli ve önceki bilgiyi örtmeyen” bir kayıt sistemi talep eder.</w:t>
      </w:r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br/>
      </w:r>
      <w:r>
        <w:t xml:space="preserve">Bu nedenle audit trail, sıradan “application log” değildir. Uygulamada iki ayrı kanal önerilir: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Event Store (append-only)</w:t>
      </w:r>
      <w:r>
        <w:t xml:space="preserve">: iş kurallarıyla ilgili olaylar (record create/modify/delete; run start/finish; rulepack publish; signature).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Observability logs/metrics</w:t>
      </w:r>
      <w:r>
        <w:t xml:space="preserve">: performans/teknik log’lar (debug, tracing). Audit ile karıştırılmaz.</w:t>
      </w:r>
    </w:p>
    <w:p>
      <w:pPr>
        <w:pStyle w:val="FirstParagraph"/>
      </w:pPr>
      <w:r>
        <w:t xml:space="preserve">Audit event store için pratik tasarım: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tablosu + immutable payload hash + previous_hash (hash chain). Bu, imza/record linking gereksinimiyle de uyumlu bir veri bütünlüğü mekanizması üretir.</w:t>
      </w:r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</w:p>
    <w:bookmarkEnd w:id="63"/>
    <w:bookmarkEnd w:id="64"/>
    <w:bookmarkStart w:id="72" w:name="Xad104647e51fa40823b69f156e37fbfb3f560d2"/>
    <w:p>
      <w:pPr>
        <w:pStyle w:val="Heading2"/>
      </w:pPr>
      <w:r>
        <w:t xml:space="preserve">Birleştirme stratejisi ve uygulanabilir geliştirme planı</w:t>
      </w:r>
    </w:p>
    <w:bookmarkStart w:id="65" w:name="birleştirme-hedefi"/>
    <w:p>
      <w:pPr>
        <w:pStyle w:val="Heading3"/>
      </w:pPr>
      <w:r>
        <w:t xml:space="preserve">Birleştirme hedefi</w:t>
      </w:r>
    </w:p>
    <w:p>
      <w:pPr>
        <w:pStyle w:val="FirstParagraph"/>
      </w:pPr>
      <w:r>
        <w:t xml:space="preserve">Hedef; Spectrotester’in güçlü “teyit raporu/QC/root-cause” paradigmasını, SpectroMind’in daha zengin “RDKit tabanlı kimya + çoklu engine” altyapısına taşımak ve tek bir platformda birleştirmektir. Bu birleşimde ML/DFT gibi modüller “opsiyonel plugin” olarak kalabilir; ama sizin kısıtınız gereği “regüle modda” devre dışı olmalıdır.</w:t>
      </w:r>
    </w:p>
    <w:bookmarkEnd w:id="65"/>
    <w:bookmarkStart w:id="66" w:name="birleştirme-mimarisi"/>
    <w:p>
      <w:pPr>
        <w:pStyle w:val="Heading3"/>
      </w:pPr>
      <w:r>
        <w:t xml:space="preserve">Birleştirme mimarisi</w:t>
      </w:r>
    </w:p>
    <w:p>
      <w:pPr>
        <w:pStyle w:val="FirstParagraph"/>
      </w:pPr>
      <w:r>
        <w:t xml:space="preserve">Aşağıdaki mimari, hem determinism hem Part 11 hem de geliştirme hızını birlikte hedefler:</w:t>
      </w:r>
    </w:p>
    <w:p>
      <w:pPr>
        <w:pStyle w:val="BodyText"/>
      </w:pPr>
      <w:r>
        <w:rPr>
          <w:b/>
          <w:bCs/>
        </w:rPr>
        <w:t xml:space="preserve">Chem Core Service (Python/RDKit)</w:t>
      </w:r>
      <w:r>
        <w:br/>
      </w:r>
      <w:r>
        <w:t xml:space="preserve">- Tek otorite: parse/sanitize/canonicalize, aromatiklik algısı, formula/exact mass/DBE, atom çevre sınıflandırması. RDKit aromatiklik algısının kurallarla yapıldığı dokümante edildiği için “ML’siz, deterministik” çekirdeğe uygundur.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/chem/parse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/chem/features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/chem/export/sdf</w:t>
      </w:r>
      <w:r>
        <w:t xml:space="preserve">, vb.</w:t>
      </w:r>
    </w:p>
    <w:p>
      <w:pPr>
        <w:pStyle w:val="BodyText"/>
      </w:pPr>
      <w:r>
        <w:rPr>
          <w:b/>
          <w:bCs/>
        </w:rPr>
        <w:t xml:space="preserve">Predict Services (Rule-based)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/predict/nmr</w:t>
      </w:r>
      <w:r>
        <w:t xml:space="preserve">: HOSE/increment tabanlı ¹H/¹³C tahmini + opsiyonel 2D tahmini (P3). HOSE kodlarının shift benzerliği için kullanım prensibi dokümante.</w:t>
      </w:r>
      <w:r>
        <w:t xml:space="preserve"> </w:t>
      </w:r>
      <w:hyperlink r:id="rId32">
        <w:r>
          <w:rPr>
            <w:rStyle w:val="Hyperlink"/>
          </w:rPr>
          <w:t xml:space="preserve">[33]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/predict/ms</w:t>
      </w:r>
      <w:r>
        <w:t xml:space="preserve">: adduct + izotop + frag kural sistemi; adduct tabloları Waters gibi kaynaklarla kalibre edilebilir.</w:t>
      </w:r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/predict/ir</w:t>
      </w:r>
      <w:r>
        <w:t xml:space="preserve">: fonksiyonel grup korelasyon tablosu; OH band genişliği gibi heuristikler.</w:t>
      </w:r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Rule Engine + Rulepack Registry</w:t>
      </w:r>
      <w:r>
        <w:br/>
      </w:r>
      <w:r>
        <w:t xml:space="preserve">- Rulepack’ler versioned (semver) ve immutable olmalı.</w:t>
      </w:r>
      <w:r>
        <w:br/>
      </w:r>
      <w:r>
        <w:t xml:space="preserve">- Predict rulepack ve verify rulepack ayrılmalı.</w:t>
      </w:r>
    </w:p>
    <w:p>
      <w:pPr>
        <w:pStyle w:val="BodyText"/>
      </w:pPr>
      <w:r>
        <w:rPr>
          <w:b/>
          <w:bCs/>
        </w:rPr>
        <w:t xml:space="preserve">Verify Service (Teyit)</w:t>
      </w:r>
      <w:r>
        <w:br/>
      </w:r>
      <w:r>
        <w:t xml:space="preserve">- “Teyit raporu sözleşmesi” Spectrotester’in schema-first yaklaşımını temel almalı.</w:t>
      </w:r>
      <w:r>
        <w:br/>
      </w:r>
      <w:r>
        <w:t xml:space="preserve">- Verify; Part 11 için “accurate and complete copies” gereksinimini karşılayacak şekilde JSON + PDF + JCAMP/mzML/NMReDATA export üretebilmeli.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Compliance Service</w:t>
      </w:r>
      <w:r>
        <w:br/>
      </w:r>
      <w:r>
        <w:t xml:space="preserve">- AuthN/AuthZ (RBAC), audit trail event store, e‑signature workflow. Part 11 maddeleri: audit trail (11.10e), signature linking (11.70), e‑signature controls (11.200), signature manifestations (11.50).</w:t>
      </w:r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UI (Next.js)</w:t>
      </w:r>
      <w:r>
        <w:t xml:space="preserve"> </w:t>
      </w:r>
      <w:r>
        <w:t xml:space="preserve">- SpectroMind UI iyi bir temel. Ancak UI’nın python spawn kullanması yerine, tüm hesap işleri “servis” üzerinden gitsin. Bu, validasyon ve operasyonel tutarlılık için kritik.</w:t>
      </w:r>
    </w:p>
    <w:bookmarkEnd w:id="66"/>
    <w:bookmarkStart w:id="67" w:name="neden-spawn-python-yerine-servis-şart"/>
    <w:p>
      <w:pPr>
        <w:pStyle w:val="Heading3"/>
      </w:pPr>
      <w:r>
        <w:t xml:space="preserve">Neden “spawn python” yerine servis şart</w:t>
      </w:r>
    </w:p>
    <w:p>
      <w:pPr>
        <w:pStyle w:val="FirstParagraph"/>
      </w:pPr>
      <w:r>
        <w:t xml:space="preserve">Part 11 sadece “feature” değil, “kontrollü sistem” ister: tutarlı performans, validasyon, audit trail, erişim kontrolü.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Node’un runtime’da geçici python script yazıp çalıştırması:</w:t>
      </w:r>
    </w:p>
    <w:p>
      <w:pPr>
        <w:pStyle w:val="Compact"/>
        <w:numPr>
          <w:ilvl w:val="0"/>
          <w:numId w:val="1015"/>
        </w:numPr>
      </w:pPr>
      <w:r>
        <w:t xml:space="preserve">ortam drift’i (patch level),</w:t>
      </w:r>
    </w:p>
    <w:p>
      <w:pPr>
        <w:pStyle w:val="Compact"/>
        <w:numPr>
          <w:ilvl w:val="0"/>
          <w:numId w:val="1015"/>
        </w:numPr>
      </w:pPr>
      <w:r>
        <w:t xml:space="preserve">izlenebilirlik zayıflığı (hangi binary?),</w:t>
      </w:r>
    </w:p>
    <w:p>
      <w:pPr>
        <w:pStyle w:val="Compact"/>
        <w:numPr>
          <w:ilvl w:val="0"/>
          <w:numId w:val="1015"/>
        </w:numPr>
      </w:pPr>
      <w:r>
        <w:t xml:space="preserve">güvenlik riski (script injection yüzeyi),</w:t>
      </w:r>
    </w:p>
    <w:p>
      <w:pPr>
        <w:pStyle w:val="Compact"/>
        <w:numPr>
          <w:ilvl w:val="0"/>
          <w:numId w:val="1015"/>
        </w:numPr>
      </w:pPr>
      <w:r>
        <w:t xml:space="preserve">test/validasyon karmaşıklığı</w:t>
      </w:r>
      <w:r>
        <w:br/>
      </w:r>
      <w:r>
        <w:t xml:space="preserve">oluşturur. Tüm bunlar Part 11 validasyon paketini ağırlaştırır.</w:t>
      </w:r>
    </w:p>
    <w:p>
      <w:pPr>
        <w:pStyle w:val="FirstParagraph"/>
      </w:pPr>
      <w:r>
        <w:t xml:space="preserve">Bu yüzden birleşik platformda python tarafı</w:t>
      </w:r>
      <w:r>
        <w:t xml:space="preserve"> </w:t>
      </w:r>
      <w:r>
        <w:rPr>
          <w:b/>
          <w:bCs/>
        </w:rPr>
        <w:t xml:space="preserve">tek imzalı container imajı</w:t>
      </w:r>
      <w:r>
        <w:t xml:space="preserve"> </w:t>
      </w:r>
      <w:r>
        <w:t xml:space="preserve">olarak çalışmalı; UI/back-end iletişimi HTTP/gRPC olmalı; tüm run’lar config snapshot + artifact hash ile kayıt altına alınmalı.</w:t>
      </w:r>
    </w:p>
    <w:bookmarkEnd w:id="67"/>
    <w:bookmarkStart w:id="70" w:name="eksiksiz-geliştirme-backlogu"/>
    <w:p>
      <w:pPr>
        <w:pStyle w:val="Heading3"/>
      </w:pPr>
      <w:r>
        <w:t xml:space="preserve">Eksiksiz geliştirme backlog’u</w:t>
      </w:r>
    </w:p>
    <w:p>
      <w:pPr>
        <w:pStyle w:val="FirstParagraph"/>
      </w:pPr>
      <w:r>
        <w:t xml:space="preserve">Aşağıdaki backlog, “eksik veri bırakmama” hedefiyle; modül, algoritma ve kod bileşenlerini somutlaştırır.</w:t>
      </w:r>
    </w:p>
    <w:p>
      <w:pPr>
        <w:pStyle w:val="BodyText"/>
      </w:pPr>
      <w:r>
        <w:rPr>
          <w:b/>
          <w:bCs/>
        </w:rPr>
        <w:t xml:space="preserve">Öncelik kritik: Chem Core birleştirme</w:t>
      </w:r>
      <w:r>
        <w:br/>
      </w:r>
      <w:r>
        <w:t xml:space="preserve">- Spectrotester’in custom SMILES parsing/aromatizeSMILES katmanını emekliye ayırın; yerine RDKit tabanlı parse/standardize koyun. OpenSMILES semantik kapsamı ve RDKit aromatiklik algısı bunun temel gerekçesidir.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br/>
      </w:r>
      <w:r>
        <w:t xml:space="preserve">- Tek</w:t>
      </w:r>
      <w:r>
        <w:t xml:space="preserve"> </w:t>
      </w:r>
      <w:r>
        <w:rPr>
          <w:rStyle w:val="VerbatimChar"/>
        </w:rPr>
        <w:t xml:space="preserve">MoleculeGraph</w:t>
      </w:r>
      <w:r>
        <w:t xml:space="preserve"> </w:t>
      </w:r>
      <w:r>
        <w:t xml:space="preserve">sözleşmesi: atomlar, bağlar, aromatik atom/bond flag, formal charge, implicit/explicit H, stereo.</w:t>
      </w:r>
    </w:p>
    <w:p>
      <w:pPr>
        <w:pStyle w:val="BodyText"/>
      </w:pPr>
      <w:r>
        <w:rPr>
          <w:b/>
          <w:bCs/>
        </w:rPr>
        <w:t xml:space="preserve">Predictor rulepack standardizasyonu</w:t>
      </w:r>
      <w:r>
        <w:t xml:space="preserve"> </w:t>
      </w:r>
      <w:r>
        <w:t xml:space="preserve">- NMR: HOSE-code benzerlik ve/veya increment tabloları; solvent/field parametreleri; exchangeable proton politikası (ör. ACD’de D2O’da ignore edilebilmesi ürün özelliği).</w:t>
      </w:r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  <w:r>
        <w:br/>
      </w:r>
      <w:r>
        <w:t xml:space="preserve">- MS: adduct listesi genişletme (Waters tablosu kapsam), polarity/ionization parametreleri.</w:t>
      </w:r>
      <w:r>
        <w:t xml:space="preserve"> </w:t>
      </w:r>
      <w:hyperlink r:id="rId38">
        <w:r>
          <w:rPr>
            <w:rStyle w:val="Hyperlink"/>
          </w:rPr>
          <w:t xml:space="preserve">[38]</w:t>
        </w:r>
      </w:hyperlink>
      <w:r>
        <w:br/>
      </w:r>
      <w:r>
        <w:t xml:space="preserve">- IR: korelasyon tablosu kapsaması + OH/NH band genişliği kuralları.</w:t>
      </w:r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Spectrum synthesizer</w:t>
      </w:r>
      <w:r>
        <w:t xml:space="preserve"> </w:t>
      </w:r>
      <w:r>
        <w:t xml:space="preserve">- Peak list → kontinu spektrum için Gaussian/Lorentzian/Voigt; baseline/noise opsiyonları.</w:t>
      </w:r>
      <w:r>
        <w:br/>
      </w:r>
      <w:r>
        <w:t xml:space="preserve">- NMR iş akışlarında baseline/phase düzeltmesi ticari yazılımlarda temel özelliktir; Mnova dokümantasyonu baseline correction/phase correction iş akışlarını açıklar.</w:t>
      </w:r>
      <w:r>
        <w:t xml:space="preserve"> </w:t>
      </w:r>
      <w:hyperlink r:id="rId68">
        <w:r>
          <w:rPr>
            <w:rStyle w:val="Hyperlink"/>
          </w:rPr>
          <w:t xml:space="preserve">[39]</w:t>
        </w:r>
      </w:hyperlink>
      <w:r>
        <w:br/>
      </w:r>
      <w:r>
        <w:t xml:space="preserve">(Siz ML istemediğiniz için Mnova’nın deep-learning tabanlı düzeltme yaklaşımı burada yalnızca “benchmark feature” olarak anılmalı; implementasyonunuz kural/istatistik tabanlı olabilir.</w:t>
      </w:r>
      <w:r>
        <w:t xml:space="preserve"> </w:t>
      </w:r>
      <w:hyperlink r:id="rId69">
        <w:r>
          <w:rPr>
            <w:rStyle w:val="Hyperlink"/>
          </w:rPr>
          <w:t xml:space="preserve">[40]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Teyit motoru genişletme</w:t>
      </w:r>
      <w:r>
        <w:t xml:space="preserve"> </w:t>
      </w:r>
      <w:r>
        <w:t xml:space="preserve">- HSQC/HMBC/COSY gibi 2D kurallar için “yapıdan beklenen korelasyon grafı” üret; sonra gözlenen/üretilecek tepe listesi ile kapsama hesapla. HSQC/HMBC ve COSY’nin korelasyon doğası kaynaklarda nettir.</w:t>
      </w:r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br/>
      </w:r>
      <w:r>
        <w:t xml:space="preserve">- “PASS/WARN/FAIL” sadece sonuç olmalı; asıl ürün değeri: evidence + recommended action.</w:t>
      </w:r>
    </w:p>
    <w:p>
      <w:pPr>
        <w:pStyle w:val="BodyText"/>
      </w:pPr>
      <w:r>
        <w:rPr>
          <w:b/>
          <w:bCs/>
        </w:rPr>
        <w:t xml:space="preserve">Regülasyon paketi (P1 zorunlu)</w:t>
      </w:r>
      <w:r>
        <w:t xml:space="preserve"> </w:t>
      </w:r>
      <w:r>
        <w:t xml:space="preserve">- Part 11: audit trail 11.10(e), signature linking 11.70, e-signature controls 11.200, signature manifestations 11.50.</w:t>
      </w:r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  <w:r>
        <w:br/>
      </w:r>
      <w:r>
        <w:t xml:space="preserve">- RBAC: NIST RBAC referans modeli kavramları ile rol-hiyerarşi/constraint’leri tasarla; OWASP deny-by-default ve least privilege ilkeleriyle uygula.</w:t>
      </w:r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  <w:r>
        <w:br/>
      </w:r>
      <w:r>
        <w:t xml:space="preserve">- CSV (Computer System Validation) dokümanları: URS/FRS/DS, test protokolleri, traceability matrix.</w:t>
      </w:r>
    </w:p>
    <w:p>
      <w:pPr>
        <w:pStyle w:val="BodyText"/>
      </w:pPr>
      <w:r>
        <w:rPr>
          <w:b/>
          <w:bCs/>
        </w:rPr>
        <w:t xml:space="preserve">Açık format export (P2/P3 ama Part 11 ile de ilişkili)</w:t>
      </w:r>
      <w:r>
        <w:t xml:space="preserve"> </w:t>
      </w:r>
      <w:r>
        <w:t xml:space="preserve">- JCAMP‑DX export: IUPAC standard aile.</w:t>
      </w:r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br/>
      </w:r>
      <w:r>
        <w:t xml:space="preserve">- mzML export/import: HUPO‑PSI.</w:t>
      </w:r>
      <w:r>
        <w:t xml:space="preserve"> </w:t>
      </w:r>
      <w:hyperlink r:id="rId39">
        <w:r>
          <w:rPr>
            <w:rStyle w:val="Hyperlink"/>
          </w:rPr>
          <w:t xml:space="preserve">[13]</w:t>
        </w:r>
      </w:hyperlink>
      <w:r>
        <w:br/>
      </w:r>
      <w:r>
        <w:t xml:space="preserve">- NMReDATA export: SDF tags (NMREDATA_*).</w:t>
      </w:r>
      <w:r>
        <w:t xml:space="preserve"> </w:t>
      </w:r>
      <w:hyperlink r:id="rId52">
        <w:r>
          <w:rPr>
            <w:rStyle w:val="Hyperlink"/>
          </w:rPr>
          <w:t xml:space="preserve">[44]</w:t>
        </w:r>
      </w:hyperlink>
      <w:r>
        <w:br/>
      </w:r>
      <w:r>
        <w:t xml:space="preserve">- nmrML opsiyon: açık XML tabanlı NMR standardı.</w:t>
      </w:r>
      <w:r>
        <w:t xml:space="preserve"> </w:t>
      </w:r>
      <w:hyperlink r:id="rId51">
        <w:r>
          <w:rPr>
            <w:rStyle w:val="Hyperlink"/>
          </w:rPr>
          <w:t xml:space="preserve">[21]</w:t>
        </w:r>
      </w:hyperlink>
    </w:p>
    <w:bookmarkEnd w:id="70"/>
    <w:bookmarkStart w:id="71" w:name="teslimatlar"/>
    <w:p>
      <w:pPr>
        <w:pStyle w:val="Heading3"/>
      </w:pPr>
      <w:r>
        <w:t xml:space="preserve">Teslimatlar</w:t>
      </w:r>
    </w:p>
    <w:p>
      <w:pPr>
        <w:pStyle w:val="FirstParagraph"/>
      </w:pPr>
      <w:r>
        <w:t xml:space="preserve">Bu yanıtla birlikte iki teslimat veriyorum:</w:t>
      </w:r>
    </w:p>
    <w:p>
      <w:pPr>
        <w:pStyle w:val="Compact"/>
        <w:numPr>
          <w:ilvl w:val="0"/>
          <w:numId w:val="1016"/>
        </w:numPr>
      </w:pPr>
      <w:r>
        <w:t xml:space="preserve">Chat içi bu kapsamlı rapor (kaynakça ve regülasyon atıfları dahil).</w:t>
      </w:r>
    </w:p>
    <w:p>
      <w:pPr>
        <w:pStyle w:val="Compact"/>
        <w:numPr>
          <w:ilvl w:val="0"/>
          <w:numId w:val="1016"/>
        </w:numPr>
      </w:pPr>
      <w:r>
        <w:t xml:space="preserve">İndirilebilir DOCX:</w:t>
      </w:r>
      <w:r>
        <w:t xml:space="preserve"> </w:t>
      </w:r>
      <w:hyperlink r:id="rId24">
        <w:r>
          <w:rPr>
            <w:rStyle w:val="Hyperlink"/>
          </w:rPr>
          <w:t xml:space="preserve">SpectroPlatform_Derin_Analiz_Raporu_2026-02-21.docx</w:t>
        </w:r>
      </w:hyperlink>
    </w:p>
    <w:p>
      <w:pPr>
        <w:pStyle w:val="FirstParagraph"/>
      </w:pPr>
      <w:r>
        <w:t xml:space="preserve">DOCX içinde ayrıca seçili kaynak bağlantıları ve repo temelli birleşik mimari özeti yer alır.</w:t>
      </w:r>
    </w:p>
    <w:bookmarkEnd w:id="71"/>
    <w:bookmarkEnd w:id="72"/>
    <w:bookmarkEnd w:id="73"/>
    <w:bookmarkEnd w:id="74"/>
    <w:p>
      <w:r>
        <w:pict>
          <v:rect style="width:0;height:1.5pt" o:hralign="center" o:hrstd="t" o:hr="t"/>
        </w:pict>
      </w:r>
    </w:p>
    <w:bookmarkStart w:id="7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https://opensmiles.org/opensmiles.pdf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https://opensmiles.org/opensmiles.pdf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https://www.ecfr.gov/current/title-21/chapter-I/subchapter-A/part-11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https://www.ecfr.gov/current/title-21/chapter-I/subchapter-A/part-11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https://www.rdkit.org/docs/RDKit_Book.html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https://www.rdkit.org/docs/RDKit_Book.html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https://mestrelab.com/main-product/nmr-predict</w:t>
      </w:r>
    </w:p>
    <w:p>
      <w:pPr>
        <w:pStyle w:val="BodyText"/>
      </w:pPr>
      <w:hyperlink r:id="rId27">
        <w:r>
          <w:rPr>
            <w:rStyle w:val="Hyperlink"/>
          </w:rPr>
          <w:t xml:space="preserve">https://mestrelab.com/main-product/nmr-predict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https://www.ecfr.gov/current/title-21/chapter-I/subchapter-A/part-11/subpart-B/section-11.10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https://www.ecfr.gov/current/title-21/chapter-I/subchapter-A/part-11/subpart-B/section-11.10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[33]</w:t>
        </w:r>
      </w:hyperlink>
      <w:r>
        <w:t xml:space="preserve"> </w:t>
      </w:r>
      <w:hyperlink r:id="rId3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https://dl.chemaxon.com/docs/HTML/docs163210/NMR_model_prediction.html</w:t>
      </w:r>
    </w:p>
    <w:p>
      <w:pPr>
        <w:pStyle w:val="BodyText"/>
      </w:pPr>
      <w:hyperlink r:id="rId32">
        <w:r>
          <w:rPr>
            <w:rStyle w:val="Hyperlink"/>
          </w:rPr>
          <w:t xml:space="preserve">https://dl.chemaxon.com/docs/HTML/docs163210/NMR_model_prediction.html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https://pubs.acs.org/doi/pdf/10.1021/acsomega.9b00488?ref=article_openPDF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https://pubs.acs.org/doi/pdf/10.1021/acsomega.9b00488?ref=article_openPDF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https://www.acdlabs.com/technical-support/current-software-versions/nmr-predictors/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https://www.acdlabs.com/technical-support/current-software-versions/nmr-predictors/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https://nmr.chem.columbia.edu/content/hsqc-and-hmbc</w:t>
      </w:r>
    </w:p>
    <w:p>
      <w:pPr>
        <w:pStyle w:val="BodyText"/>
      </w:pPr>
      <w:hyperlink r:id="rId35">
        <w:r>
          <w:rPr>
            <w:rStyle w:val="Hyperlink"/>
          </w:rPr>
          <w:t xml:space="preserve">https://nmr.chem.columbia.edu/content/hsqc-and-hmbc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https://nmr.chem.columbia.edu/content/cosy</w:t>
      </w:r>
    </w:p>
    <w:p>
      <w:pPr>
        <w:pStyle w:val="BodyText"/>
      </w:pPr>
      <w:hyperlink r:id="rId36">
        <w:r>
          <w:rPr>
            <w:rStyle w:val="Hyperlink"/>
          </w:rPr>
          <w:t xml:space="preserve">https://nmr.chem.columbia.edu/content/cosy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hyperlink r:id="rId3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https://support.waters.com/KB_Chem/Other/WKB67428_What_are_common_adducts_in_ESI_Mass_Spectrometry</w:t>
      </w:r>
    </w:p>
    <w:p>
      <w:pPr>
        <w:pStyle w:val="BodyText"/>
      </w:pPr>
      <w:hyperlink r:id="rId38">
        <w:r>
          <w:rPr>
            <w:rStyle w:val="Hyperlink"/>
          </w:rPr>
          <w:t xml:space="preserve">https://support.waters.com/KB_Chem/Other/WKB67428_What_are_common_adducts_in_ESI_Mass_Spectrometry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https://www.psidev.info/mzML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https://www.psidev.info/mzML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https://www.chemistrysteps.com/mclafferty-rearrangement/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https://www.chemistrysteps.com/mclafferty-rearrangement/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https://chem.libretexts.org/Ancillary_Materials/Reference/Reference_Tables/Spectroscopic_Reference_Tables/Infrared_Spectroscopy_Absorption_Table</w:t>
      </w:r>
    </w:p>
    <w:p>
      <w:pPr>
        <w:pStyle w:val="BodyText"/>
      </w:pPr>
      <w:hyperlink r:id="rId42">
        <w:r>
          <w:rPr>
            <w:rStyle w:val="Hyperlink"/>
          </w:rPr>
          <w:t xml:space="preserve">https://chem.libretexts.org/Ancillary_Materials/Reference/Reference_Tables/Spectroscopic_Reference_Tables/Infrared_Spectroscopy_Absorption_Table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https://www.docbrown.info/page06/spectra2/phenol-ir.htm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https://www.docbrown.info/page06/spectra2/phenol-ir.htm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https://iupac.org/what-we-do/digital-standards/jcamp-dx/</w:t>
      </w:r>
    </w:p>
    <w:p>
      <w:pPr>
        <w:pStyle w:val="BodyText"/>
      </w:pPr>
      <w:hyperlink r:id="rId44">
        <w:r>
          <w:rPr>
            <w:rStyle w:val="Hyperlink"/>
          </w:rPr>
          <w:t xml:space="preserve">https://iupac.org/what-we-do/digital-standards/jcamp-dx/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https://mestrelab.com/starting-guides/starting-guide-to-mnova-nmrpredict.html</w:t>
      </w:r>
    </w:p>
    <w:p>
      <w:pPr>
        <w:pStyle w:val="BodyText"/>
      </w:pPr>
      <w:hyperlink r:id="rId48">
        <w:r>
          <w:rPr>
            <w:rStyle w:val="Hyperlink"/>
          </w:rPr>
          <w:t xml:space="preserve">https://mestrelab.com/starting-guides/starting-guide-to-mnova-nmrpredict.html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https://pubs.acs.org/doi/pdf/10.1021/acs.analchem.7b02795</w:t>
      </w:r>
    </w:p>
    <w:p>
      <w:pPr>
        <w:pStyle w:val="BodyText"/>
      </w:pPr>
      <w:hyperlink r:id="rId51">
        <w:r>
          <w:rPr>
            <w:rStyle w:val="Hyperlink"/>
          </w:rPr>
          <w:t xml:space="preserve">https://pubs.acs.org/doi/pdf/10.1021/acs.analchem.7b02795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[22]</w:t>
        </w:r>
      </w:hyperlink>
      <w:r>
        <w:t xml:space="preserve"> </w:t>
      </w:r>
      <w:hyperlink r:id="rId52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https://nmredatainitiative.github.io/Sdf_files/</w:t>
      </w:r>
    </w:p>
    <w:p>
      <w:pPr>
        <w:pStyle w:val="BodyText"/>
      </w:pPr>
      <w:hyperlink r:id="rId52">
        <w:r>
          <w:rPr>
            <w:rStyle w:val="Hyperlink"/>
          </w:rPr>
          <w:t xml:space="preserve">https://nmredatainitiative.github.io/Sdf_files/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[25]</w:t>
        </w:r>
      </w:hyperlink>
      <w:r>
        <w:t xml:space="preserve"> </w:t>
      </w: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https://www.ecfr.gov/current/title-21/chapter-I/subchapter-A/part-11/subpart-B/section-11.70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https://www.ecfr.gov/current/title-21/chapter-I/subchapter-A/part-11/subpart-B/section-11.70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https://www.ecfr.gov/current/title-21/chapter-I/subchapter-A/part-11/subpart-C/section-11.200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https://www.ecfr.gov/current/title-21/chapter-I/subchapter-A/part-11/subpart-C/section-11.200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https://www.law.cornell.edu/cfr/text/21/11.50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https://www.law.cornell.edu/cfr/text/21/11.50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https://www.fda.gov/regulatory-information/search-fda-guidance-documents/part-11-electronic-records-electronic-signatures-scope-and-application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https://www.fda.gov/regulatory-information/search-fda-guidance-documents/part-11-electronic-records-electronic-signatures-scope-and-application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[29]</w:t>
        </w:r>
      </w:hyperlink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https://csrc.nist.gov/pubs/journal/2001/08/proposed-nist-standard-for-rolebased-access-contro/final</w:t>
      </w:r>
    </w:p>
    <w:p>
      <w:pPr>
        <w:pStyle w:val="BodyText"/>
      </w:pPr>
      <w:hyperlink r:id="rId60">
        <w:r>
          <w:rPr>
            <w:rStyle w:val="Hyperlink"/>
          </w:rPr>
          <w:t xml:space="preserve">https://csrc.nist.gov/pubs/journal/2001/08/proposed-nist-standard-for-rolebased-access-contro/final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[30]</w:t>
        </w:r>
      </w:hyperlink>
      <w:r>
        <w:t xml:space="preserve"> </w:t>
      </w:r>
      <w:hyperlink r:id="rId6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https://cheatsheetseries.owasp.org/cheatsheets/Authorization_Cheat_Sheet.html</w:t>
      </w:r>
    </w:p>
    <w:p>
      <w:pPr>
        <w:pStyle w:val="BodyText"/>
      </w:pPr>
      <w:hyperlink r:id="rId61">
        <w:r>
          <w:rPr>
            <w:rStyle w:val="Hyperlink"/>
          </w:rPr>
          <w:t xml:space="preserve">https://cheatsheetseries.owasp.org/cheatsheets/Authorization_Cheat_Sheet.html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https://www.mestrelabcn.com/Manual_HTML_Mnova_15/baseline_correction_with_mnova.htm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https://www.mestrelabcn.com/Manual_HTML_Mnova_15/baseline_correction_with_mnova.htm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https://mestrelab.com/articles/top-features-in-mnova-15.html</w:t>
      </w:r>
    </w:p>
    <w:p>
      <w:pPr>
        <w:pStyle w:val="BodyText"/>
      </w:pPr>
      <w:hyperlink r:id="rId69">
        <w:r>
          <w:rPr>
            <w:rStyle w:val="Hyperlink"/>
          </w:rPr>
          <w:t xml:space="preserve">https://mestrelab.com/articles/top-features-in-mnova-15.html</w:t>
        </w:r>
      </w:hyperlink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cheatsheetseries.owasp.org/cheatsheets/Authorization_Cheat_Sheet.html" TargetMode="External" /><Relationship Type="http://schemas.openxmlformats.org/officeDocument/2006/relationships/hyperlink" Id="rId42" Target="https://chem.libretexts.org/Ancillary_Materials/Reference/Reference_Tables/Spectroscopic_Reference_Tables/Infrared_Spectroscopy_Absorption_Table" TargetMode="External" /><Relationship Type="http://schemas.openxmlformats.org/officeDocument/2006/relationships/hyperlink" Id="rId60" Target="https://csrc.nist.gov/pubs/journal/2001/08/proposed-nist-standard-for-rolebased-access-contro/final" TargetMode="External" /><Relationship Type="http://schemas.openxmlformats.org/officeDocument/2006/relationships/hyperlink" Id="rId32" Target="https://dl.chemaxon.com/docs/HTML/docs163210/NMR_model_prediction.html" TargetMode="External" /><Relationship Type="http://schemas.openxmlformats.org/officeDocument/2006/relationships/hyperlink" Id="rId44" Target="https://iupac.org/what-we-do/digital-standards/jcamp-dx/" TargetMode="External" /><Relationship Type="http://schemas.openxmlformats.org/officeDocument/2006/relationships/hyperlink" Id="rId69" Target="https://mestrelab.com/articles/top-features-in-mnova-15.html" TargetMode="External" /><Relationship Type="http://schemas.openxmlformats.org/officeDocument/2006/relationships/hyperlink" Id="rId27" Target="https://mestrelab.com/main-product/nmr-predict" TargetMode="External" /><Relationship Type="http://schemas.openxmlformats.org/officeDocument/2006/relationships/hyperlink" Id="rId48" Target="https://mestrelab.com/starting-guides/starting-guide-to-mnova-nmrpredict.html" TargetMode="External" /><Relationship Type="http://schemas.openxmlformats.org/officeDocument/2006/relationships/hyperlink" Id="rId36" Target="https://nmr.chem.columbia.edu/content/cosy" TargetMode="External" /><Relationship Type="http://schemas.openxmlformats.org/officeDocument/2006/relationships/hyperlink" Id="rId35" Target="https://nmr.chem.columbia.edu/content/hsqc-and-hmbc" TargetMode="External" /><Relationship Type="http://schemas.openxmlformats.org/officeDocument/2006/relationships/hyperlink" Id="rId52" Target="https://nmredatainitiative.github.io/Sdf_files/" TargetMode="External" /><Relationship Type="http://schemas.openxmlformats.org/officeDocument/2006/relationships/hyperlink" Id="rId21" Target="https://opensmiles.org/opensmiles.pdf" TargetMode="External" /><Relationship Type="http://schemas.openxmlformats.org/officeDocument/2006/relationships/hyperlink" Id="rId51" Target="https://pubs.acs.org/doi/pdf/10.1021/acs.analchem.7b02795" TargetMode="External" /><Relationship Type="http://schemas.openxmlformats.org/officeDocument/2006/relationships/hyperlink" Id="rId33" Target="https://pubs.acs.org/doi/pdf/10.1021/acsomega.9b00488?ref=article_openPDF" TargetMode="External" /><Relationship Type="http://schemas.openxmlformats.org/officeDocument/2006/relationships/hyperlink" Id="rId38" Target="https://support.waters.com/KB_Chem/Other/WKB67428_What_are_common_adducts_in_ESI_Mass_Spectrometry" TargetMode="External" /><Relationship Type="http://schemas.openxmlformats.org/officeDocument/2006/relationships/hyperlink" Id="rId34" Target="https://www.acdlabs.com/technical-support/current-software-versions/nmr-predictors/" TargetMode="External" /><Relationship Type="http://schemas.openxmlformats.org/officeDocument/2006/relationships/hyperlink" Id="rId40" Target="https://www.chemistrysteps.com/mclafferty-rearrangement/" TargetMode="External" /><Relationship Type="http://schemas.openxmlformats.org/officeDocument/2006/relationships/hyperlink" Id="rId43" Target="https://www.docbrown.info/page06/spectra2/phenol-ir.htm" TargetMode="External" /><Relationship Type="http://schemas.openxmlformats.org/officeDocument/2006/relationships/hyperlink" Id="rId22" Target="https://www.ecfr.gov/current/title-21/chapter-I/subchapter-A/part-11" TargetMode="External" /><Relationship Type="http://schemas.openxmlformats.org/officeDocument/2006/relationships/hyperlink" Id="rId28" Target="https://www.ecfr.gov/current/title-21/chapter-I/subchapter-A/part-11/subpart-B/section-11.10" TargetMode="External" /><Relationship Type="http://schemas.openxmlformats.org/officeDocument/2006/relationships/hyperlink" Id="rId55" Target="https://www.ecfr.gov/current/title-21/chapter-I/subchapter-A/part-11/subpart-B/section-11.70" TargetMode="External" /><Relationship Type="http://schemas.openxmlformats.org/officeDocument/2006/relationships/hyperlink" Id="rId56" Target="https://www.ecfr.gov/current/title-21/chapter-I/subchapter-A/part-11/subpart-C/section-11.200" TargetMode="External" /><Relationship Type="http://schemas.openxmlformats.org/officeDocument/2006/relationships/hyperlink" Id="rId58" Target="https://www.fda.gov/regulatory-information/search-fda-guidance-documents/part-11-electronic-records-electronic-signatures-scope-and-application" TargetMode="External" /><Relationship Type="http://schemas.openxmlformats.org/officeDocument/2006/relationships/hyperlink" Id="rId57" Target="https://www.law.cornell.edu/cfr/text/21/11.50" TargetMode="External" /><Relationship Type="http://schemas.openxmlformats.org/officeDocument/2006/relationships/hyperlink" Id="rId68" Target="https://www.mestrelabcn.com/Manual_HTML_Mnova_15/baseline_correction_with_mnova.htm" TargetMode="External" /><Relationship Type="http://schemas.openxmlformats.org/officeDocument/2006/relationships/hyperlink" Id="rId39" Target="https://www.psidev.info/mzML" TargetMode="External" /><Relationship Type="http://schemas.openxmlformats.org/officeDocument/2006/relationships/hyperlink" Id="rId23" Target="https://www.rdkit.org/docs/RDKit_Book.html" TargetMode="External" /><Relationship Type="http://schemas.openxmlformats.org/officeDocument/2006/relationships/hyperlink" Id="rId24" Target="sandbox:/mnt/data/SpectroPlatform_Derin_Analiz_Raporu_2026-02-21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cheatsheetseries.owasp.org/cheatsheets/Authorization_Cheat_Sheet.html" TargetMode="External" /><Relationship Type="http://schemas.openxmlformats.org/officeDocument/2006/relationships/hyperlink" Id="rId42" Target="https://chem.libretexts.org/Ancillary_Materials/Reference/Reference_Tables/Spectroscopic_Reference_Tables/Infrared_Spectroscopy_Absorption_Table" TargetMode="External" /><Relationship Type="http://schemas.openxmlformats.org/officeDocument/2006/relationships/hyperlink" Id="rId60" Target="https://csrc.nist.gov/pubs/journal/2001/08/proposed-nist-standard-for-rolebased-access-contro/final" TargetMode="External" /><Relationship Type="http://schemas.openxmlformats.org/officeDocument/2006/relationships/hyperlink" Id="rId32" Target="https://dl.chemaxon.com/docs/HTML/docs163210/NMR_model_prediction.html" TargetMode="External" /><Relationship Type="http://schemas.openxmlformats.org/officeDocument/2006/relationships/hyperlink" Id="rId44" Target="https://iupac.org/what-we-do/digital-standards/jcamp-dx/" TargetMode="External" /><Relationship Type="http://schemas.openxmlformats.org/officeDocument/2006/relationships/hyperlink" Id="rId69" Target="https://mestrelab.com/articles/top-features-in-mnova-15.html" TargetMode="External" /><Relationship Type="http://schemas.openxmlformats.org/officeDocument/2006/relationships/hyperlink" Id="rId27" Target="https://mestrelab.com/main-product/nmr-predict" TargetMode="External" /><Relationship Type="http://schemas.openxmlformats.org/officeDocument/2006/relationships/hyperlink" Id="rId48" Target="https://mestrelab.com/starting-guides/starting-guide-to-mnova-nmrpredict.html" TargetMode="External" /><Relationship Type="http://schemas.openxmlformats.org/officeDocument/2006/relationships/hyperlink" Id="rId36" Target="https://nmr.chem.columbia.edu/content/cosy" TargetMode="External" /><Relationship Type="http://schemas.openxmlformats.org/officeDocument/2006/relationships/hyperlink" Id="rId35" Target="https://nmr.chem.columbia.edu/content/hsqc-and-hmbc" TargetMode="External" /><Relationship Type="http://schemas.openxmlformats.org/officeDocument/2006/relationships/hyperlink" Id="rId52" Target="https://nmredatainitiative.github.io/Sdf_files/" TargetMode="External" /><Relationship Type="http://schemas.openxmlformats.org/officeDocument/2006/relationships/hyperlink" Id="rId21" Target="https://opensmiles.org/opensmiles.pdf" TargetMode="External" /><Relationship Type="http://schemas.openxmlformats.org/officeDocument/2006/relationships/hyperlink" Id="rId51" Target="https://pubs.acs.org/doi/pdf/10.1021/acs.analchem.7b02795" TargetMode="External" /><Relationship Type="http://schemas.openxmlformats.org/officeDocument/2006/relationships/hyperlink" Id="rId33" Target="https://pubs.acs.org/doi/pdf/10.1021/acsomega.9b00488?ref=article_openPDF" TargetMode="External" /><Relationship Type="http://schemas.openxmlformats.org/officeDocument/2006/relationships/hyperlink" Id="rId38" Target="https://support.waters.com/KB_Chem/Other/WKB67428_What_are_common_adducts_in_ESI_Mass_Spectrometry" TargetMode="External" /><Relationship Type="http://schemas.openxmlformats.org/officeDocument/2006/relationships/hyperlink" Id="rId34" Target="https://www.acdlabs.com/technical-support/current-software-versions/nmr-predictors/" TargetMode="External" /><Relationship Type="http://schemas.openxmlformats.org/officeDocument/2006/relationships/hyperlink" Id="rId40" Target="https://www.chemistrysteps.com/mclafferty-rearrangement/" TargetMode="External" /><Relationship Type="http://schemas.openxmlformats.org/officeDocument/2006/relationships/hyperlink" Id="rId43" Target="https://www.docbrown.info/page06/spectra2/phenol-ir.htm" TargetMode="External" /><Relationship Type="http://schemas.openxmlformats.org/officeDocument/2006/relationships/hyperlink" Id="rId22" Target="https://www.ecfr.gov/current/title-21/chapter-I/subchapter-A/part-11" TargetMode="External" /><Relationship Type="http://schemas.openxmlformats.org/officeDocument/2006/relationships/hyperlink" Id="rId28" Target="https://www.ecfr.gov/current/title-21/chapter-I/subchapter-A/part-11/subpart-B/section-11.10" TargetMode="External" /><Relationship Type="http://schemas.openxmlformats.org/officeDocument/2006/relationships/hyperlink" Id="rId55" Target="https://www.ecfr.gov/current/title-21/chapter-I/subchapter-A/part-11/subpart-B/section-11.70" TargetMode="External" /><Relationship Type="http://schemas.openxmlformats.org/officeDocument/2006/relationships/hyperlink" Id="rId56" Target="https://www.ecfr.gov/current/title-21/chapter-I/subchapter-A/part-11/subpart-C/section-11.200" TargetMode="External" /><Relationship Type="http://schemas.openxmlformats.org/officeDocument/2006/relationships/hyperlink" Id="rId58" Target="https://www.fda.gov/regulatory-information/search-fda-guidance-documents/part-11-electronic-records-electronic-signatures-scope-and-application" TargetMode="External" /><Relationship Type="http://schemas.openxmlformats.org/officeDocument/2006/relationships/hyperlink" Id="rId57" Target="https://www.law.cornell.edu/cfr/text/21/11.50" TargetMode="External" /><Relationship Type="http://schemas.openxmlformats.org/officeDocument/2006/relationships/hyperlink" Id="rId68" Target="https://www.mestrelabcn.com/Manual_HTML_Mnova_15/baseline_correction_with_mnova.htm" TargetMode="External" /><Relationship Type="http://schemas.openxmlformats.org/officeDocument/2006/relationships/hyperlink" Id="rId39" Target="https://www.psidev.info/mzML" TargetMode="External" /><Relationship Type="http://schemas.openxmlformats.org/officeDocument/2006/relationships/hyperlink" Id="rId23" Target="https://www.rdkit.org/docs/RDKit_Book.html" TargetMode="External" /><Relationship Type="http://schemas.openxmlformats.org/officeDocument/2006/relationships/hyperlink" Id="rId24" Target="sandbox:/mnt/data/SpectroPlatform_Derin_Analiz_Raporu_2026-02-21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tr</dc:language>
  <cp:keywords/>
  <dcterms:created xsi:type="dcterms:W3CDTF">2026-02-21T14:30:04Z</dcterms:created>
  <dcterms:modified xsi:type="dcterms:W3CDTF">2026-02-21T14:30:04Z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