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SpectroMind</w:t>
      </w:r>
    </w:p>
    <w:p>
      <w:pPr>
        <w:spacing w:after="120"/>
      </w:pPr>
      <w:r>
        <w:rPr>
          <w:b/>
          <w:bCs/>
          <w:sz w:val="28"/>
          <w:szCs w:val="28"/>
        </w:rPr>
        <w:t xml:space="preserve">Spektral analiz otomasyonu — teknik sistem dokümantasyonu (özet)</w:t>
      </w:r>
    </w:p>
    <w:p>
      <w:pPr>
        <w:spacing w:after="200"/>
      </w:pPr>
      <w:r>
        <w:rPr>
          <w:sz w:val="22"/>
          <w:szCs w:val="22"/>
        </w:rPr>
        <w:t xml:space="preserve">Bu belge, depo içindeki Markdown dokümantasyon paketi ile tutarlı, profesyonel bir Word çıktısı sunar. Ayrıntılı alıntılar ve satır içi kod referansları için docs/ klasöründeki ilgili .md dosyalarına bakınız.</w:t>
      </w:r>
    </w:p>
    <w:p>
      <w:pPr>
        <w:pStyle w:val="Heading1"/>
        <w:spacing w:before="280" w:after="160"/>
      </w:pPr>
      <w:r>
        <w:t xml:space="preserve">1. Yönetici özeti</w:t>
      </w:r>
    </w:p>
    <w:p>
      <w:pPr>
        <w:spacing w:after="120"/>
      </w:pPr>
      <w:r>
        <w:rPr>
          <w:sz w:val="22"/>
          <w:szCs w:val="22"/>
        </w:rPr>
        <w:t xml:space="preserve">SpectroMind; NMR (ve ilişkili modaliteler) için teorik spektrum üretimi, gözlenen FID işleme, grafik görünümü, kural tabanlı doğrulama ve yardımcı API uçlarını bir araya getiren bir Next.js uygulamasıdır. Üretim olgunluğu modül bazında değişir: 1D gözlenen FID yolu (yerel Python) ile Chart.js görselleştirmesi güçlü bir çekirdek oluşturur; 2D NMR ürün hattı ve bulut FID işleme sınırlı veya destek dışıdır.</w:t>
      </w:r>
    </w:p>
    <w:p>
      <w:pPr>
        <w:spacing w:after="80"/>
        <w:ind w:left="400"/>
      </w:pPr>
      <w:r>
        <w:rPr>
          <w:sz w:val="22"/>
          <w:szCs w:val="22"/>
        </w:rPr>
        <w:t xml:space="preserve">• Yetkili FID akışı: klasör yükleme → temp → fid_process.py (dataset ağacı).</w:t>
      </w:r>
    </w:p>
    <w:p>
      <w:pPr>
        <w:spacing w:after="80"/>
        <w:ind w:left="400"/>
      </w:pPr>
      <w:r>
        <w:rPr>
          <w:sz w:val="22"/>
          <w:szCs w:val="22"/>
        </w:rPr>
        <w:t xml:space="preserve">• Legacy: tek dosya yolu fid_processor.py — davranış uyumu garanti değildir.</w:t>
      </w:r>
    </w:p>
    <w:p>
      <w:pPr>
        <w:spacing w:after="80"/>
        <w:ind w:left="400"/>
      </w:pPr>
      <w:r>
        <w:rPr>
          <w:sz w:val="22"/>
          <w:szCs w:val="22"/>
        </w:rPr>
        <w:t xml:space="preserve">• Doğrulama motoru: Spectrotester (ruleset.json + evaluateRules); lib/verification ince köprü.</w:t>
      </w:r>
    </w:p>
    <w:p>
      <w:pPr>
        <w:spacing w:after="80"/>
        <w:ind w:left="400"/>
      </w:pPr>
      <w:r>
        <w:rPr>
          <w:sz w:val="22"/>
          <w:szCs w:val="22"/>
        </w:rPr>
        <w:t xml:space="preserve">• Markdown paketi 18 ana belge ile mimari, bilimsel işlem, API, şema, satıcı matrisi ve denetim içerir.</w:t>
      </w:r>
    </w:p>
    <w:p>
      <w:pPr>
        <w:pStyle w:val="Heading1"/>
        <w:spacing w:before="280" w:after="160"/>
      </w:pPr>
      <w:r>
        <w:t xml:space="preserve">2. Mimari katmanlar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sz w:val="20"/>
                <w:szCs w:val="20"/>
              </w:rPr>
              <w:t xml:space="preserve">Katman</w:t>
            </w:r>
          </w:p>
        </w:tc>
        <w:tc>
          <w:p>
            <w:r>
              <w:rPr>
                <w:sz w:val="20"/>
                <w:szCs w:val="20"/>
              </w:rPr>
              <w:t xml:space="preserve">Açıklama</w:t>
            </w:r>
          </w:p>
        </w:tc>
        <w:tc>
          <w:p>
            <w:r>
              <w:rPr>
                <w:sz w:val="20"/>
                <w:szCs w:val="20"/>
              </w:rPr>
              <w:t xml:space="preserve">Örnek yollar</w:t>
            </w:r>
          </w:p>
        </w:tc>
      </w:tr>
      <w:tr>
        <w:tc>
          <w:p>
            <w:r>
              <w:rPr>
                <w:sz w:val="20"/>
                <w:szCs w:val="20"/>
              </w:rPr>
              <w:t xml:space="preserve">Sunum</w:t>
            </w:r>
          </w:p>
        </w:tc>
        <w:tc>
          <w:p>
            <w:r>
              <w:rPr>
                <w:sz w:val="20"/>
                <w:szCs w:val="20"/>
              </w:rPr>
              <w:t xml:space="preserve">React / Next App Router, paneller, NMRChart</w:t>
            </w:r>
          </w:p>
        </w:tc>
        <w:tc>
          <w:p>
            <w:r>
              <w:rPr>
                <w:sz w:val="20"/>
                <w:szCs w:val="20"/>
              </w:rPr>
              <w:t xml:space="preserve">app/page.tsx, components/charts/NMRChart.tsx</w:t>
            </w:r>
          </w:p>
        </w:tc>
      </w:tr>
      <w:tr>
        <w:tc>
          <w:p>
            <w:r>
              <w:rPr>
                <w:sz w:val="20"/>
                <w:szCs w:val="20"/>
              </w:rPr>
              <w:t xml:space="preserve">API</w:t>
            </w:r>
          </w:p>
        </w:tc>
        <w:tc>
          <w:p>
            <w:r>
              <w:rPr>
                <w:sz w:val="20"/>
                <w:szCs w:val="20"/>
              </w:rPr>
              <w:t xml:space="preserve">Route handlers, FID guardrail</w:t>
            </w:r>
          </w:p>
        </w:tc>
        <w:tc>
          <w:p>
            <w:r>
              <w:rPr>
                <w:sz w:val="20"/>
                <w:szCs w:val="20"/>
              </w:rPr>
              <w:t xml:space="preserve">app/api/fid/process/route.ts (~46 route)</w:t>
            </w:r>
          </w:p>
        </w:tc>
      </w:tr>
      <w:tr>
        <w:tc>
          <w:p>
            <w:r>
              <w:rPr>
                <w:sz w:val="20"/>
                <w:szCs w:val="20"/>
              </w:rPr>
              <w:t xml:space="preserve">Gözlenen spektrum</w:t>
            </w:r>
          </w:p>
        </w:tc>
        <w:tc>
          <w:p>
            <w:r>
              <w:rPr>
                <w:sz w:val="20"/>
                <w:szCs w:val="20"/>
              </w:rPr>
              <w:t xml:space="preserve">Python FFT + TS normalizasyon</w:t>
            </w:r>
          </w:p>
        </w:tc>
        <w:tc>
          <w:p>
            <w:r>
              <w:rPr>
                <w:sz w:val="20"/>
                <w:szCs w:val="20"/>
              </w:rPr>
              <w:t xml:space="preserve">scripts/fid_process.py, lib/fid/buildFidProcessResponse.ts</w:t>
            </w:r>
          </w:p>
        </w:tc>
      </w:tr>
      <w:tr>
        <w:tc>
          <w:p>
            <w:r>
              <w:rPr>
                <w:sz w:val="20"/>
                <w:szCs w:val="20"/>
              </w:rPr>
              <w:t xml:space="preserve">Simülasyon</w:t>
            </w:r>
          </w:p>
        </w:tc>
        <w:tc>
          <w:p>
            <w:r>
              <w:rPr>
                <w:sz w:val="20"/>
                <w:szCs w:val="20"/>
              </w:rPr>
              <w:t xml:space="preserve">Lorentzian / kütüphane yolları</w:t>
            </w:r>
          </w:p>
        </w:tc>
        <w:tc>
          <w:p>
            <w:r>
              <w:rPr>
                <w:sz w:val="20"/>
                <w:szCs w:val="20"/>
              </w:rPr>
              <w:t xml:space="preserve">lib/utils/spectrumGenerator.ts, lib/nmr/*</w:t>
            </w:r>
          </w:p>
        </w:tc>
      </w:tr>
      <w:tr>
        <w:tc>
          <w:p>
            <w:r>
              <w:rPr>
                <w:sz w:val="20"/>
                <w:szCs w:val="20"/>
              </w:rPr>
              <w:t xml:space="preserve">Kurallar / QC</w:t>
            </w:r>
          </w:p>
        </w:tc>
        <w:tc>
          <w:p>
            <w:r>
              <w:rPr>
                <w:sz w:val="20"/>
                <w:szCs w:val="20"/>
              </w:rPr>
              <w:t xml:space="preserve">Spectrotester değerlendiriciler</w:t>
            </w:r>
          </w:p>
        </w:tc>
        <w:tc>
          <w:p>
            <w:r>
              <w:rPr>
                <w:sz w:val="20"/>
                <w:szCs w:val="20"/>
              </w:rPr>
              <w:t xml:space="preserve">Spectrotester/src/core/verify/evaluateRules.ts</w:t>
            </w:r>
          </w:p>
        </w:tc>
      </w:tr>
    </w:tbl>
    <w:p>
      <w:pPr>
        <w:pStyle w:val="Heading1"/>
        <w:spacing w:before="280" w:after="160"/>
      </w:pPr>
      <w:r>
        <w:t xml:space="preserve">3. Veri ve sözleşmeler</w:t>
      </w:r>
    </w:p>
    <w:p>
      <w:pPr>
        <w:pStyle w:val="Heading2"/>
        <w:spacing w:before="220" w:after="120"/>
      </w:pPr>
      <w:r>
        <w:t xml:space="preserve">3.1 Gözlenen vs simüle</w:t>
      </w:r>
    </w:p>
    <w:p>
      <w:pPr>
        <w:spacing w:after="120"/>
      </w:pPr>
      <w:r>
        <w:rPr>
          <w:sz w:val="22"/>
          <w:szCs w:val="22"/>
        </w:rPr>
        <w:t xml:space="preserve">Gözlenen spektrum `observed_spectrum` zarfı ile taşınır (`kind: observed_nmr_1d`). Simüle/teorik eğriler ayrı state ve Chart.js dataset’idir; overlay’de simülasyon penceresi içi maksimuma normalize edilebilir — bu görüntüleme heuristiğidir, kuantitatif eşleşme değildir.</w:t>
      </w:r>
    </w:p>
    <w:p>
      <w:pPr>
        <w:pStyle w:val="Heading2"/>
        <w:spacing w:before="220" w:after="120"/>
      </w:pPr>
      <w:r>
        <w:t xml:space="preserve">3.2 PPM ve eksen</w:t>
      </w:r>
    </w:p>
    <w:p>
      <w:pPr>
        <w:spacing w:after="120"/>
      </w:pPr>
      <w:r>
        <w:rPr>
          <w:sz w:val="22"/>
          <w:szCs w:val="22"/>
        </w:rPr>
        <w:t xml:space="preserve">¹H için varsayılan görünüm genellikle 14 → 0 ppm, Chart.js linear + reverse. Simülasyon grid ve gözlenen dizi hizası için bkz. docs/OBSERVED_SIMULATION_PPM_CONTRACT.md.</w:t>
      </w:r>
    </w:p>
    <w:p>
      <w:pPr>
        <w:pStyle w:val="Heading1"/>
        <w:spacing w:before="280" w:after="160"/>
      </w:pPr>
      <w:r>
        <w:t xml:space="preserve">4. FID yükleme ve işleme (özet)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sz w:val="20"/>
                <w:szCs w:val="20"/>
              </w:rPr>
              <w:t xml:space="preserve">Adım</w:t>
            </w:r>
          </w:p>
        </w:tc>
        <w:tc>
          <w:p>
            <w:r>
              <w:rPr>
                <w:sz w:val="20"/>
                <w:szCs w:val="20"/>
              </w:rPr>
              <w:t xml:space="preserve">Bileşen</w:t>
            </w:r>
          </w:p>
        </w:tc>
      </w:tr>
      <w:tr>
        <w:tc>
          <w:p>
            <w:r>
              <w:rPr>
                <w:sz w:val="20"/>
                <w:szCs w:val="20"/>
              </w:rPr>
              <w:t xml:space="preserve">Upload</w:t>
            </w:r>
          </w:p>
        </w:tc>
        <w:tc>
          <w:p>
            <w:r>
              <w:rPr>
                <w:sz w:val="20"/>
                <w:szCs w:val="20"/>
              </w:rPr>
              <w:t xml:space="preserve">POST /api/fid/upload → temp/&lt;datasetId&gt;/</w:t>
            </w:r>
          </w:p>
        </w:tc>
      </w:tr>
      <w:tr>
        <w:tc>
          <w:p>
            <w:r>
              <w:rPr>
                <w:sz w:val="20"/>
                <w:szCs w:val="20"/>
              </w:rPr>
              <w:t xml:space="preserve">Process</w:t>
            </w:r>
          </w:p>
        </w:tc>
        <w:tc>
          <w:p>
            <w:r>
              <w:rPr>
                <w:sz w:val="20"/>
                <w:szCs w:val="20"/>
              </w:rPr>
              <w:t xml:space="preserve">POST /api/fid/process → fid_process.py (venv)</w:t>
            </w:r>
          </w:p>
        </w:tc>
      </w:tr>
      <w:tr>
        <w:tc>
          <w:p>
            <w:r>
              <w:rPr>
                <w:sz w:val="20"/>
                <w:szCs w:val="20"/>
              </w:rPr>
              <w:t xml:space="preserve">Normalize</w:t>
            </w:r>
          </w:p>
        </w:tc>
        <w:tc>
          <w:p>
            <w:r>
              <w:rPr>
                <w:sz w:val="20"/>
                <w:szCs w:val="20"/>
              </w:rPr>
              <w:t xml:space="preserve">buildFidProcessResponse → observed_spectrum + legacy data</w:t>
            </w:r>
          </w:p>
        </w:tc>
      </w:tr>
      <w:tr>
        <w:tc>
          <w:p>
            <w:r>
              <w:rPr>
                <w:sz w:val="20"/>
                <w:szCs w:val="20"/>
              </w:rPr>
              <w:t xml:space="preserve">UI</w:t>
            </w:r>
          </w:p>
        </w:tc>
        <w:tc>
          <w:p>
            <w:r>
              <w:rPr>
                <w:sz w:val="20"/>
                <w:szCs w:val="20"/>
              </w:rPr>
              <w:t xml:space="preserve">useFIDUpload / store → NMRChart observedOverlay</w:t>
            </w:r>
          </w:p>
        </w:tc>
      </w:tr>
    </w:tbl>
    <w:p>
      <w:pPr>
        <w:spacing w:after="120"/>
      </w:pPr>
      <w:r>
        <w:rPr>
          <w:sz w:val="22"/>
          <w:szCs w:val="22"/>
        </w:rPr>
        <w:t xml:space="preserve">Vercel ve benzeri sunucusuz ortamlarda FID işleme bilinçli olarak engellenebilir (503); tam işlem için yerel disk ve Python ortamı gereklidir.</w:t>
      </w:r>
    </w:p>
    <w:p>
      <w:pPr>
        <w:pStyle w:val="Heading1"/>
        <w:spacing w:before="280" w:after="160"/>
      </w:pPr>
      <w:r>
        <w:t xml:space="preserve">5. Satıcı desteği (özet)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sz w:val="20"/>
                <w:szCs w:val="20"/>
              </w:rPr>
              <w:t xml:space="preserve">Vendor</w:t>
            </w:r>
          </w:p>
        </w:tc>
        <w:tc>
          <w:p>
            <w:r>
              <w:rPr>
                <w:sz w:val="20"/>
                <w:szCs w:val="20"/>
              </w:rPr>
              <w:t xml:space="preserve">1D</w:t>
            </w:r>
          </w:p>
        </w:tc>
        <w:tc>
          <w:p>
            <w:r>
              <w:rPr>
                <w:sz w:val="20"/>
                <w:szCs w:val="20"/>
              </w:rPr>
              <w:t xml:space="preserve">2D / not</w:t>
            </w:r>
          </w:p>
        </w:tc>
      </w:tr>
      <w:tr>
        <w:tc>
          <w:p>
            <w:r>
              <w:rPr>
                <w:sz w:val="20"/>
                <w:szCs w:val="20"/>
              </w:rPr>
              <w:t xml:space="preserve">Bruker</w:t>
            </w:r>
          </w:p>
        </w:tc>
        <w:tc>
          <w:p>
            <w:r>
              <w:rPr>
                <w:sz w:val="20"/>
                <w:szCs w:val="20"/>
              </w:rPr>
              <w:t xml:space="preserve">Ana destek</w:t>
            </w:r>
          </w:p>
        </w:tc>
        <w:tc>
          <w:p>
            <w:r>
              <w:rPr>
                <w:sz w:val="20"/>
                <w:szCs w:val="20"/>
              </w:rPr>
              <w:t xml:space="preserve">2D ürün visualizasyonu sınırlı</w:t>
            </w:r>
          </w:p>
        </w:tc>
      </w:tr>
      <w:tr>
        <w:tc>
          <w:p>
            <w:r>
              <w:rPr>
                <w:sz w:val="20"/>
                <w:szCs w:val="20"/>
              </w:rPr>
              <w:t xml:space="preserve">Varian/Agilent</w:t>
            </w:r>
          </w:p>
        </w:tc>
        <w:tc>
          <w:p>
            <w:r>
              <w:rPr>
                <w:sz w:val="20"/>
                <w:szCs w:val="20"/>
              </w:rPr>
              <w:t xml:space="preserve">Kısmi</w:t>
            </w:r>
          </w:p>
        </w:tc>
        <w:tc>
          <w:p>
            <w:r>
              <w:rPr>
                <w:sz w:val="20"/>
                <w:szCs w:val="20"/>
              </w:rPr>
              <w:t xml:space="preserve">Metadata / parser örnek bağımlı</w:t>
            </w:r>
          </w:p>
        </w:tc>
      </w:tr>
      <w:tr>
        <w:tc>
          <w:p>
            <w:r>
              <w:rPr>
                <w:sz w:val="20"/>
                <w:szCs w:val="20"/>
              </w:rPr>
              <w:t xml:space="preserve">JEOL</w:t>
            </w:r>
          </w:p>
        </w:tc>
        <w:tc>
          <w:p>
            <w:r>
              <w:rPr>
                <w:sz w:val="20"/>
                <w:szCs w:val="20"/>
              </w:rPr>
              <w:t xml:space="preserve">Kısmi</w:t>
            </w:r>
          </w:p>
        </w:tc>
        <w:tc>
          <w:p>
            <w:r>
              <w:rPr>
                <w:sz w:val="20"/>
                <w:szCs w:val="20"/>
              </w:rPr>
              <w:t xml:space="preserve">jdf vs klasör yolu farkları</w:t>
            </w:r>
          </w:p>
        </w:tc>
      </w:tr>
    </w:tbl>
    <w:p>
      <w:pPr>
        <w:spacing w:after="120"/>
      </w:pPr>
      <w:r>
        <w:rPr>
          <w:sz w:val="22"/>
          <w:szCs w:val="22"/>
        </w:rPr>
        <w:t xml:space="preserve">Ayrıntı: docs/VENDOR_SUPPORT_MATRIX.md.</w:t>
      </w:r>
    </w:p>
    <w:p>
      <w:pPr>
        <w:pStyle w:val="Heading1"/>
        <w:spacing w:before="280" w:after="160"/>
      </w:pPr>
      <w:r>
        <w:t xml:space="preserve">6. Uygulama olgunluğu (özet sınıflandırma)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sz w:val="20"/>
                <w:szCs w:val="20"/>
              </w:rPr>
              <w:t xml:space="preserve">Alan</w:t>
            </w:r>
          </w:p>
        </w:tc>
        <w:tc>
          <w:p>
            <w:r>
              <w:rPr>
                <w:sz w:val="20"/>
                <w:szCs w:val="20"/>
              </w:rPr>
              <w:t xml:space="preserve">Durum</w:t>
            </w:r>
          </w:p>
        </w:tc>
      </w:tr>
      <w:tr>
        <w:tc>
          <w:p>
            <w:r>
              <w:rPr>
                <w:sz w:val="20"/>
                <w:szCs w:val="20"/>
              </w:rPr>
              <w:t xml:space="preserve">Next.js kabuk + 1D NMR chart</w:t>
            </w:r>
          </w:p>
        </w:tc>
        <w:tc>
          <w:p>
            <w:r>
              <w:rPr>
                <w:sz w:val="20"/>
                <w:szCs w:val="20"/>
              </w:rPr>
              <w:t xml:space="preserve">IMPLEMENTED</w:t>
            </w:r>
          </w:p>
        </w:tc>
      </w:tr>
      <w:tr>
        <w:tc>
          <w:p>
            <w:r>
              <w:rPr>
                <w:sz w:val="20"/>
                <w:szCs w:val="20"/>
              </w:rPr>
              <w:t xml:space="preserve">FID klasör pipeline (yerel)</w:t>
            </w:r>
          </w:p>
        </w:tc>
        <w:tc>
          <w:p>
            <w:r>
              <w:rPr>
                <w:sz w:val="20"/>
                <w:szCs w:val="20"/>
              </w:rPr>
              <w:t xml:space="preserve">IMPLEMENTED</w:t>
            </w:r>
          </w:p>
        </w:tc>
      </w:tr>
      <w:tr>
        <w:tc>
          <w:p>
            <w:r>
              <w:rPr>
                <w:sz w:val="20"/>
                <w:szCs w:val="20"/>
              </w:rPr>
              <w:t xml:space="preserve">Tek dosya fid_processor</w:t>
            </w:r>
          </w:p>
        </w:tc>
        <w:tc>
          <w:p>
            <w:r>
              <w:rPr>
                <w:sz w:val="20"/>
                <w:szCs w:val="20"/>
              </w:rPr>
              <w:t xml:space="preserve">LEGACY</w:t>
            </w:r>
          </w:p>
        </w:tc>
      </w:tr>
      <w:tr>
        <w:tc>
          <w:p>
            <w:r>
              <w:rPr>
                <w:sz w:val="20"/>
                <w:szCs w:val="20"/>
              </w:rPr>
              <w:t xml:space="preserve">Bulut FID</w:t>
            </w:r>
          </w:p>
        </w:tc>
        <w:tc>
          <w:p>
            <w:r>
              <w:rPr>
                <w:sz w:val="20"/>
                <w:szCs w:val="20"/>
              </w:rPr>
              <w:t xml:space="preserve">UNSUPPORTED</w:t>
            </w:r>
          </w:p>
        </w:tc>
      </w:tr>
      <w:tr>
        <w:tc>
          <w:p>
            <w:r>
              <w:rPr>
                <w:sz w:val="20"/>
                <w:szCs w:val="20"/>
              </w:rPr>
              <w:t xml:space="preserve">2D NMR ürün hattı</w:t>
            </w:r>
          </w:p>
        </w:tc>
        <w:tc>
          <w:p>
            <w:r>
              <w:rPr>
                <w:sz w:val="20"/>
                <w:szCs w:val="20"/>
              </w:rPr>
              <w:t xml:space="preserve">UNSUPPORTED / PLANNED</w:t>
            </w:r>
          </w:p>
        </w:tc>
      </w:tr>
      <w:tr>
        <w:tc>
          <w:p>
            <w:r>
              <w:rPr>
                <w:sz w:val="20"/>
                <w:szCs w:val="20"/>
              </w:rPr>
              <w:t xml:space="preserve">Spectrotester kuralları</w:t>
            </w:r>
          </w:p>
        </w:tc>
        <w:tc>
          <w:p>
            <w:r>
              <w:rPr>
                <w:sz w:val="20"/>
                <w:szCs w:val="20"/>
              </w:rPr>
              <w:t xml:space="preserve">IMPLEMENTED</w:t>
            </w:r>
          </w:p>
        </w:tc>
      </w:tr>
      <w:tr>
        <w:tc>
          <w:p>
            <w:r>
              <w:rPr>
                <w:sz w:val="20"/>
                <w:szCs w:val="20"/>
              </w:rPr>
              <w:t xml:space="preserve">Harici referans (TMS) otomatik</w:t>
            </w:r>
          </w:p>
        </w:tc>
        <w:tc>
          <w:p>
            <w:r>
              <w:rPr>
                <w:sz w:val="20"/>
                <w:szCs w:val="20"/>
              </w:rPr>
              <w:t xml:space="preserve">PARTIAL</w:t>
            </w:r>
          </w:p>
        </w:tc>
      </w:tr>
    </w:tbl>
    <w:p>
      <w:pPr>
        <w:spacing w:after="120"/>
      </w:pPr>
      <w:r>
        <w:rPr>
          <w:sz w:val="22"/>
          <w:szCs w:val="22"/>
        </w:rPr>
        <w:t xml:space="preserve">Tam matris: docs/FINAL_IMPLEMENTATION_AUDIT.md.</w:t>
      </w:r>
    </w:p>
    <w:p>
      <w:pPr>
        <w:pStyle w:val="Heading1"/>
        <w:spacing w:before="280" w:after="160"/>
      </w:pPr>
      <w:r>
        <w:t xml:space="preserve">7. Teknik borç ve riskler</w:t>
      </w:r>
    </w:p>
    <w:p>
      <w:pPr>
        <w:spacing w:after="80"/>
        <w:ind w:left="400"/>
      </w:pPr>
      <w:r>
        <w:rPr>
          <w:sz w:val="22"/>
          <w:szCs w:val="22"/>
        </w:rPr>
        <w:t xml:space="preserve">• İki Python FID script’i — drift riski.</w:t>
      </w:r>
    </w:p>
    <w:p>
      <w:pPr>
        <w:spacing w:after="80"/>
        <w:ind w:left="400"/>
      </w:pPr>
      <w:r>
        <w:rPr>
          <w:sz w:val="22"/>
          <w:szCs w:val="22"/>
        </w:rPr>
        <w:t xml:space="preserve">• data vs observed_spectrum — çift payload.</w:t>
      </w:r>
    </w:p>
    <w:p>
      <w:pPr>
        <w:spacing w:after="80"/>
        <w:ind w:left="400"/>
      </w:pPr>
      <w:r>
        <w:rPr>
          <w:sz w:val="22"/>
          <w:szCs w:val="22"/>
        </w:rPr>
        <w:t xml:space="preserve">• Overlay normalizasyonu — yanlış bilimsel yorum.</w:t>
      </w:r>
    </w:p>
    <w:p>
      <w:pPr>
        <w:spacing w:after="80"/>
        <w:ind w:left="400"/>
      </w:pPr>
      <w:r>
        <w:rPr>
          <w:sz w:val="22"/>
          <w:szCs w:val="22"/>
        </w:rPr>
        <w:t xml:space="preserve">• Büyük Sidebar / 46 API route — regresyon yüzeyi.</w:t>
      </w:r>
    </w:p>
    <w:p>
      <w:pPr>
        <w:spacing w:after="120"/>
      </w:pPr>
      <w:r>
        <w:rPr>
          <w:sz w:val="22"/>
          <w:szCs w:val="22"/>
        </w:rPr>
        <w:t xml:space="preserve">Liste: docs/LIMITATIONS_AND_TECHNICAL_DEBT.md.</w:t>
      </w:r>
    </w:p>
    <w:p>
      <w:pPr>
        <w:pStyle w:val="Heading1"/>
        <w:spacing w:before="280" w:after="160"/>
      </w:pPr>
      <w:r>
        <w:t xml:space="preserve">8. Markdown dokümantasyon indeksi</w:t>
      </w:r>
    </w:p>
    <w:p>
      <w:pPr>
        <w:spacing w:after="120"/>
      </w:pPr>
      <w:r>
        <w:rPr>
          <w:sz w:val="22"/>
          <w:szCs w:val="22"/>
        </w:rPr>
        <w:t xml:space="preserve">Aşağıdaki dosyalar depoda tutulur; bu DOCX bunların yönlendirici özetidir.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sz w:val="20"/>
                <w:szCs w:val="20"/>
              </w:rPr>
              <w:t xml:space="preserve">Belge</w:t>
            </w:r>
          </w:p>
        </w:tc>
        <w:tc>
          <w:p>
            <w:r>
              <w:rPr>
                <w:sz w:val="20"/>
                <w:szCs w:val="20"/>
              </w:rPr>
              <w:t xml:space="preserve">Konu</w:t>
            </w:r>
          </w:p>
        </w:tc>
      </w:tr>
      <w:tr>
        <w:tc>
          <w:p>
            <w:r>
              <w:rPr>
                <w:sz w:val="20"/>
                <w:szCs w:val="20"/>
              </w:rPr>
              <w:t xml:space="preserve">SYSTEM_OVERVIEW.md</w:t>
            </w:r>
          </w:p>
        </w:tc>
        <w:tc>
          <w:p>
            <w:r>
              <w:rPr>
                <w:sz w:val="20"/>
                <w:szCs w:val="20"/>
              </w:rPr>
              <w:t xml:space="preserve">Ürün ve olgunluk</w:t>
            </w:r>
          </w:p>
        </w:tc>
      </w:tr>
      <w:tr>
        <w:tc>
          <w:p>
            <w:r>
              <w:rPr>
                <w:sz w:val="20"/>
                <w:szCs w:val="20"/>
              </w:rPr>
              <w:t xml:space="preserve">ARCHITECTURE_OVERVIEW.md</w:t>
            </w:r>
          </w:p>
        </w:tc>
        <w:tc>
          <w:p>
            <w:r>
              <w:rPr>
                <w:sz w:val="20"/>
                <w:szCs w:val="20"/>
              </w:rPr>
              <w:t xml:space="preserve">FE/BE/Python katmanları</w:t>
            </w:r>
          </w:p>
        </w:tc>
      </w:tr>
      <w:tr>
        <w:tc>
          <w:p>
            <w:r>
              <w:rPr>
                <w:sz w:val="20"/>
                <w:szCs w:val="20"/>
              </w:rPr>
              <w:t xml:space="preserve">CODEBASE_MAP.md</w:t>
            </w:r>
          </w:p>
        </w:tc>
        <w:tc>
          <w:p>
            <w:r>
              <w:rPr>
                <w:sz w:val="20"/>
                <w:szCs w:val="20"/>
              </w:rPr>
              <w:t xml:space="preserve">Modül haritası</w:t>
            </w:r>
          </w:p>
        </w:tc>
      </w:tr>
      <w:tr>
        <w:tc>
          <w:p>
            <w:r>
              <w:rPr>
                <w:sz w:val="20"/>
                <w:szCs w:val="20"/>
              </w:rPr>
              <w:t xml:space="preserve">SCIENTIFIC_PROCESSING_OVERVIEW.md</w:t>
            </w:r>
          </w:p>
        </w:tc>
        <w:tc>
          <w:p>
            <w:r>
              <w:rPr>
                <w:sz w:val="20"/>
                <w:szCs w:val="20"/>
              </w:rPr>
              <w:t xml:space="preserve">Bilimsel akışlar</w:t>
            </w:r>
          </w:p>
        </w:tc>
      </w:tr>
      <w:tr>
        <w:tc>
          <w:p>
            <w:r>
              <w:rPr>
                <w:sz w:val="20"/>
                <w:szCs w:val="20"/>
              </w:rPr>
              <w:t xml:space="preserve">FID_UPLOAD_AND_PROCESSING_ARCHITECTURE.md</w:t>
            </w:r>
          </w:p>
        </w:tc>
        <w:tc>
          <w:p>
            <w:r>
              <w:rPr>
                <w:sz w:val="20"/>
                <w:szCs w:val="20"/>
              </w:rPr>
              <w:t xml:space="preserve">FID mimarisi</w:t>
            </w:r>
          </w:p>
        </w:tc>
      </w:tr>
      <w:tr>
        <w:tc>
          <w:p>
            <w:r>
              <w:rPr>
                <w:sz w:val="20"/>
                <w:szCs w:val="20"/>
              </w:rPr>
              <w:t xml:space="preserve">OBSERVED_SPECTRUM_PIPELINE.md</w:t>
            </w:r>
          </w:p>
        </w:tc>
        <w:tc>
          <w:p>
            <w:r>
              <w:rPr>
                <w:sz w:val="20"/>
                <w:szCs w:val="20"/>
              </w:rPr>
              <w:t xml:space="preserve">Gözlenen artifact</w:t>
            </w:r>
          </w:p>
        </w:tc>
      </w:tr>
      <w:tr>
        <w:tc>
          <w:p>
            <w:r>
              <w:rPr>
                <w:sz w:val="20"/>
                <w:szCs w:val="20"/>
              </w:rPr>
              <w:t xml:space="preserve">OBSERVED_SIMULATION_PPM_CONTRACT.md</w:t>
            </w:r>
          </w:p>
        </w:tc>
        <w:tc>
          <w:p>
            <w:r>
              <w:rPr>
                <w:sz w:val="20"/>
                <w:szCs w:val="20"/>
              </w:rPr>
              <w:t xml:space="preserve">PPM sözleşmesi</w:t>
            </w:r>
          </w:p>
        </w:tc>
      </w:tr>
      <w:tr>
        <w:tc>
          <w:p>
            <w:r>
              <w:rPr>
                <w:sz w:val="20"/>
                <w:szCs w:val="20"/>
              </w:rPr>
              <w:t xml:space="preserve">NMR_VISUALIZATION_AND_SCALING_SPEC.md</w:t>
            </w:r>
          </w:p>
        </w:tc>
        <w:tc>
          <w:p>
            <w:r>
              <w:rPr>
                <w:sz w:val="20"/>
                <w:szCs w:val="20"/>
              </w:rPr>
              <w:t xml:space="preserve">Ölçek ve preset</w:t>
            </w:r>
          </w:p>
        </w:tc>
      </w:tr>
      <w:tr>
        <w:tc>
          <w:p>
            <w:r>
              <w:rPr>
                <w:sz w:val="20"/>
                <w:szCs w:val="20"/>
              </w:rPr>
              <w:t xml:space="preserve">PHASE_BASELINE_REFERENCE_QC.md</w:t>
            </w:r>
          </w:p>
        </w:tc>
        <w:tc>
          <w:p>
            <w:r>
              <w:rPr>
                <w:sz w:val="20"/>
                <w:szCs w:val="20"/>
              </w:rPr>
              <w:t xml:space="preserve">İşlem adımları</w:t>
            </w:r>
          </w:p>
        </w:tc>
      </w:tr>
      <w:tr>
        <w:tc>
          <w:p>
            <w:r>
              <w:rPr>
                <w:sz w:val="20"/>
                <w:szCs w:val="20"/>
              </w:rPr>
              <w:t xml:space="preserve">PEAK_PICKING_AND_SIMULATION_SPEC.md</w:t>
            </w:r>
          </w:p>
        </w:tc>
        <w:tc>
          <w:p>
            <w:r>
              <w:rPr>
                <w:sz w:val="20"/>
                <w:szCs w:val="20"/>
              </w:rPr>
              <w:t xml:space="preserve">Pik ve Lorentzian</w:t>
            </w:r>
          </w:p>
        </w:tc>
      </w:tr>
      <w:tr>
        <w:tc>
          <w:p>
            <w:r>
              <w:rPr>
                <w:sz w:val="20"/>
                <w:szCs w:val="20"/>
              </w:rPr>
              <w:t xml:space="preserve">API_REFERENCE.md</w:t>
            </w:r>
          </w:p>
        </w:tc>
        <w:tc>
          <w:p>
            <w:r>
              <w:rPr>
                <w:sz w:val="20"/>
                <w:szCs w:val="20"/>
              </w:rPr>
              <w:t xml:space="preserve">API uçları</w:t>
            </w:r>
          </w:p>
        </w:tc>
      </w:tr>
      <w:tr>
        <w:tc>
          <w:p>
            <w:r>
              <w:rPr>
                <w:sz w:val="20"/>
                <w:szCs w:val="20"/>
              </w:rPr>
              <w:t xml:space="preserve">SCHEMA_REFERENCE.md</w:t>
            </w:r>
          </w:p>
        </w:tc>
        <w:tc>
          <w:p>
            <w:r>
              <w:rPr>
                <w:sz w:val="20"/>
                <w:szCs w:val="20"/>
              </w:rPr>
              <w:t xml:space="preserve">Tipler ve zarflar</w:t>
            </w:r>
          </w:p>
        </w:tc>
      </w:tr>
      <w:tr>
        <w:tc>
          <w:p>
            <w:r>
              <w:rPr>
                <w:sz w:val="20"/>
                <w:szCs w:val="20"/>
              </w:rPr>
              <w:t xml:space="preserve">RULE_ENGINE_AND_QC.md</w:t>
            </w:r>
          </w:p>
        </w:tc>
        <w:tc>
          <w:p>
            <w:r>
              <w:rPr>
                <w:sz w:val="20"/>
                <w:szCs w:val="20"/>
              </w:rPr>
              <w:t xml:space="preserve">Kural motoru</w:t>
            </w:r>
          </w:p>
        </w:tc>
      </w:tr>
      <w:tr>
        <w:tc>
          <w:p>
            <w:r>
              <w:rPr>
                <w:sz w:val="20"/>
                <w:szCs w:val="20"/>
              </w:rPr>
              <w:t xml:space="preserve">VENDOR_SUPPORT_MATRIX.md</w:t>
            </w:r>
          </w:p>
        </w:tc>
        <w:tc>
          <w:p>
            <w:r>
              <w:rPr>
                <w:sz w:val="20"/>
                <w:szCs w:val="20"/>
              </w:rPr>
              <w:t xml:space="preserve">Format matrisi</w:t>
            </w:r>
          </w:p>
        </w:tc>
      </w:tr>
      <w:tr>
        <w:tc>
          <w:p>
            <w:r>
              <w:rPr>
                <w:sz w:val="20"/>
                <w:szCs w:val="20"/>
              </w:rPr>
              <w:t xml:space="preserve">DEBUGGING_GUIDE.md</w:t>
            </w:r>
          </w:p>
        </w:tc>
        <w:tc>
          <w:p>
            <w:r>
              <w:rPr>
                <w:sz w:val="20"/>
                <w:szCs w:val="20"/>
              </w:rPr>
              <w:t xml:space="preserve">Teşhis</w:t>
            </w:r>
          </w:p>
        </w:tc>
      </w:tr>
      <w:tr>
        <w:tc>
          <w:p>
            <w:r>
              <w:rPr>
                <w:sz w:val="20"/>
                <w:szCs w:val="20"/>
              </w:rPr>
              <w:t xml:space="preserve">DEVELOPER_ONBOARDING.md</w:t>
            </w:r>
          </w:p>
        </w:tc>
        <w:tc>
          <w:p>
            <w:r>
              <w:rPr>
                <w:sz w:val="20"/>
                <w:szCs w:val="20"/>
              </w:rPr>
              <w:t xml:space="preserve">Geliştirici girişi</w:t>
            </w:r>
          </w:p>
        </w:tc>
      </w:tr>
      <w:tr>
        <w:tc>
          <w:p>
            <w:r>
              <w:rPr>
                <w:sz w:val="20"/>
                <w:szCs w:val="20"/>
              </w:rPr>
              <w:t xml:space="preserve">LIMITATIONS_AND_TECHNICAL_DEBT.md</w:t>
            </w:r>
          </w:p>
        </w:tc>
        <w:tc>
          <w:p>
            <w:r>
              <w:rPr>
                <w:sz w:val="20"/>
                <w:szCs w:val="20"/>
              </w:rPr>
              <w:t xml:space="preserve">Borç</w:t>
            </w:r>
          </w:p>
        </w:tc>
      </w:tr>
      <w:tr>
        <w:tc>
          <w:p>
            <w:r>
              <w:rPr>
                <w:sz w:val="20"/>
                <w:szCs w:val="20"/>
              </w:rPr>
              <w:t xml:space="preserve">FINAL_IMPLEMENTATION_AUDIT.md</w:t>
            </w:r>
          </w:p>
        </w:tc>
        <w:tc>
          <w:p>
            <w:r>
              <w:rPr>
                <w:sz w:val="20"/>
                <w:szCs w:val="20"/>
              </w:rPr>
              <w:t xml:space="preserve">Sınıflandırma</w:t>
            </w:r>
          </w:p>
        </w:tc>
      </w:tr>
    </w:tbl>
    <w:p>
      <w:pPr>
        <w:pStyle w:val="Heading1"/>
        <w:spacing w:before="280" w:after="160"/>
      </w:pPr>
      <w:r>
        <w:t xml:space="preserve">9. Geliştirici giriş noktaları</w:t>
      </w:r>
    </w:p>
    <w:p>
      <w:pPr>
        <w:spacing w:after="80"/>
        <w:ind w:left="400"/>
      </w:pPr>
      <w:r>
        <w:rPr>
          <w:sz w:val="22"/>
          <w:szCs w:val="22"/>
        </w:rPr>
        <w:t xml:space="preserve">• docs/DEVELOPER_ONBOARDING.md + docs/LOCAL_DEV.md</w:t>
      </w:r>
    </w:p>
    <w:p>
      <w:pPr>
        <w:spacing w:after="80"/>
        <w:ind w:left="400"/>
      </w:pPr>
      <w:r>
        <w:rPr>
          <w:sz w:val="22"/>
          <w:szCs w:val="22"/>
        </w:rPr>
        <w:t xml:space="preserve">• app/api/fid/process/route.ts</w:t>
      </w:r>
    </w:p>
    <w:p>
      <w:pPr>
        <w:spacing w:after="80"/>
        <w:ind w:left="400"/>
      </w:pPr>
      <w:r>
        <w:rPr>
          <w:sz w:val="22"/>
          <w:szCs w:val="22"/>
        </w:rPr>
        <w:t xml:space="preserve">• components/charts/NMRChart.tsx</w:t>
      </w:r>
    </w:p>
    <w:p>
      <w:pPr>
        <w:spacing w:after="80"/>
        <w:ind w:left="400"/>
      </w:pPr>
      <w:r>
        <w:rPr>
          <w:sz w:val="22"/>
          <w:szCs w:val="22"/>
        </w:rPr>
        <w:t xml:space="preserve">• lib/fid/buildFidProcessResponse.ts</w:t>
      </w:r>
    </w:p>
    <w:p>
      <w:pPr>
        <w:pStyle w:val="Heading1"/>
        <w:spacing w:before="280" w:after="160"/>
      </w:pPr>
      <w:r>
        <w:t xml:space="preserve">10. Sonraki iyileştirmeler</w:t>
      </w:r>
    </w:p>
    <w:p>
      <w:pPr>
        <w:spacing w:after="80"/>
        <w:ind w:left="400"/>
      </w:pPr>
      <w:r>
        <w:rPr>
          <w:sz w:val="22"/>
          <w:szCs w:val="22"/>
        </w:rPr>
        <w:t xml:space="preserve">• OpenAPI/OpenRPC ile otomatik route şeması.</w:t>
      </w:r>
    </w:p>
    <w:p>
      <w:pPr>
        <w:spacing w:after="80"/>
        <w:ind w:left="400"/>
      </w:pPr>
      <w:r>
        <w:rPr>
          <w:sz w:val="22"/>
          <w:szCs w:val="22"/>
        </w:rPr>
        <w:t xml:space="preserve">• DOCX içine seçili Markdown bölümlerini programatik gömme (marked → docx paragrafları).</w:t>
      </w:r>
    </w:p>
    <w:p>
      <w:pPr>
        <w:spacing w:after="80"/>
        <w:ind w:left="400"/>
      </w:pPr>
      <w:r>
        <w:rPr>
          <w:sz w:val="22"/>
          <w:szCs w:val="22"/>
        </w:rPr>
        <w:t xml:space="preserve">• Tek Python FID girişine konsolidasyon sonrası belge güncellemesi.</w:t>
      </w:r>
    </w:p>
    <w:p>
      <w:pPr>
        <w:spacing w:after="400"/>
      </w:pPr>
      <w:r>
        <w:rPr>
          <w:i/>
          <w:iCs/>
          <w:sz w:val="22"/>
          <w:szCs w:val="22"/>
        </w:rPr>
        <w:t xml:space="preserve">— Son. Ayrıntılı bilimsel iddialar yalnızca kaynak koda ve ilgili Markdown dosyalarına dayanılarak doğrulanmalıdır.</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pPr>
    <w:r>
      <w:rPr>
        <w:sz w:val="18"/>
        <w:szCs w:val="18"/>
      </w:rPr>
      <w:t xml:space="preserve">SpectroMind — Sistem dokümantasyonu (özet DOCX). Markdown paketi: docs/*.md — Oluşturma: 2026-04-03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SpectroMind Sistem Dokümantasyonu</dc:title>
  <dc:creator>SpectroMind</dc:creator>
  <dc:description>İç ve dış teknik dokümantasyon özeti — kod tabanı ile hizalı</dc:description>
  <cp:lastModifiedBy>Un-named</cp:lastModifiedBy>
  <cp:revision>1</cp:revision>
  <dcterms:created xsi:type="dcterms:W3CDTF">2026-04-03T03:59:34.178Z</dcterms:created>
  <dcterms:modified xsi:type="dcterms:W3CDTF">2026-04-03T03:59:34.178Z</dcterms:modified>
</cp:coreProperties>
</file>

<file path=docProps/custom.xml><?xml version="1.0" encoding="utf-8"?>
<Properties xmlns="http://schemas.openxmlformats.org/officeDocument/2006/custom-properties" xmlns:vt="http://schemas.openxmlformats.org/officeDocument/2006/docPropsVTypes"/>
</file>