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4" w:name="content"/>
    <w:bookmarkStart w:id="103" w:name="X3f2abdcd47d1d1708fe7d142efec57d26d840f1"/>
    <w:p>
      <w:pPr>
        <w:pStyle w:val="Heading1"/>
      </w:pPr>
      <w:r>
        <w:t xml:space="preserve">Kural Tabanlı Spektrum Tahmin ve Teyit Platformu</w:t>
      </w:r>
    </w:p>
    <w:p>
      <w:pPr>
        <w:pStyle w:val="FirstParagraph"/>
      </w:pPr>
      <w:hyperlink r:id="rId21">
        <w:r>
          <w:rPr>
            <w:rStyle w:val="Hyperlink"/>
          </w:rPr>
          <w:t xml:space="preserve">DOCX raporunu indir</w:t>
        </w:r>
      </w:hyperlink>
    </w:p>
    <w:bookmarkStart w:id="27" w:name="yönetici-özeti"/>
    <w:p>
      <w:pPr>
        <w:pStyle w:val="Heading2"/>
      </w:pPr>
      <w:r>
        <w:t xml:space="preserve">Yönetici özeti</w:t>
      </w:r>
    </w:p>
    <w:p>
      <w:pPr>
        <w:pStyle w:val="FirstParagraph"/>
      </w:pPr>
      <w:r>
        <w:t xml:space="preserve">Hedefiniz;</w:t>
      </w:r>
      <w:r>
        <w:t xml:space="preserve"> </w:t>
      </w:r>
      <w:r>
        <w:rPr>
          <w:b/>
          <w:bCs/>
        </w:rPr>
        <w:t xml:space="preserve">SMILES</w:t>
      </w:r>
      <w:r>
        <w:t xml:space="preserve"> </w:t>
      </w:r>
      <w:r>
        <w:t xml:space="preserve">girdisinden</w:t>
      </w:r>
      <w:r>
        <w:t xml:space="preserve"> </w:t>
      </w:r>
      <w:r>
        <w:rPr>
          <w:b/>
          <w:bCs/>
        </w:rPr>
        <w:t xml:space="preserve">deterministik (ML yok)</w:t>
      </w:r>
      <w:r>
        <w:t xml:space="preserve"> </w:t>
      </w:r>
      <w:r>
        <w:t xml:space="preserve">bir akışla</w:t>
      </w:r>
      <w:r>
        <w:t xml:space="preserve"> </w:t>
      </w:r>
      <w:r>
        <w:rPr>
          <w:b/>
          <w:bCs/>
        </w:rPr>
        <w:t xml:space="preserve">NMR (¹H/¹³C 1D; 2D opsiyonel), MS (adduct + izotop + fragman), IR/FTIR (bant konumu/şiddeti)</w:t>
      </w:r>
      <w:r>
        <w:t xml:space="preserve"> </w:t>
      </w:r>
      <w:r>
        <w:t xml:space="preserve">üreten ve bunların molekülle</w:t>
      </w:r>
      <w:r>
        <w:t xml:space="preserve"> </w:t>
      </w:r>
      <w:r>
        <w:rPr>
          <w:b/>
          <w:bCs/>
        </w:rPr>
        <w:t xml:space="preserve">fiziksel/kimyasal tutarlılığını</w:t>
      </w:r>
      <w:r>
        <w:t xml:space="preserve"> </w:t>
      </w:r>
      <w:r>
        <w:t xml:space="preserve">ölçen; ayrıca</w:t>
      </w:r>
      <w:r>
        <w:t xml:space="preserve"> </w:t>
      </w:r>
      <w:r>
        <w:rPr>
          <w:b/>
          <w:bCs/>
        </w:rPr>
        <w:t xml:space="preserve">21 CFR Part 11</w:t>
      </w:r>
      <w:r>
        <w:t xml:space="preserve"> </w:t>
      </w:r>
      <w:r>
        <w:t xml:space="preserve">kapsamında “trustworthy, reliable” kabul edilebilecek</w:t>
      </w:r>
      <w:r>
        <w:t xml:space="preserve"> </w:t>
      </w:r>
      <w:r>
        <w:rPr>
          <w:b/>
          <w:bCs/>
        </w:rPr>
        <w:t xml:space="preserve">audit trail + RBAC + e‑signature + değişmez artefakt</w:t>
      </w:r>
      <w:r>
        <w:t xml:space="preserve"> </w:t>
      </w:r>
      <w:r>
        <w:t xml:space="preserve">temelli bir</w:t>
      </w:r>
      <w:r>
        <w:t xml:space="preserve"> </w:t>
      </w:r>
      <w:r>
        <w:rPr>
          <w:b/>
          <w:bCs/>
        </w:rPr>
        <w:t xml:space="preserve">teyit raporu</w:t>
      </w:r>
      <w:r>
        <w:t xml:space="preserve"> </w:t>
      </w:r>
      <w:r>
        <w:t xml:space="preserve">üreten üretim seviyesi bir platform. Part 11; elektronik kayıtların güvenilir sayılması için sistem validasyonu, kayıtların doğru/tam kopyalanması, yetkili erişim, zaman damgalı güvenli audit trail ve imza‑kayıt bağlama gibi gereklilikleri açıkça tarif eder.</w:t>
      </w:r>
      <w:r>
        <w:t xml:space="preserve"> </w:t>
      </w:r>
      <w:hyperlink r:id="rId22">
        <w:r>
          <w:rPr>
            <w:rStyle w:val="Hyperlink"/>
          </w:rPr>
          <w:t xml:space="preserve">[1]</w:t>
        </w:r>
      </w:hyperlink>
    </w:p>
    <w:p>
      <w:pPr>
        <w:pStyle w:val="BodyText"/>
      </w:pPr>
      <w:r>
        <w:t xml:space="preserve">Mevcut iki kod tabanı (zip’lerden okunan hal):</w:t>
      </w:r>
      <w:r>
        <w:t xml:space="preserve"> </w:t>
      </w:r>
      <w:r>
        <w:t xml:space="preserve">-</w:t>
      </w:r>
      <w:r>
        <w:t xml:space="preserve"> </w:t>
      </w:r>
      <w:r>
        <w:rPr>
          <w:b/>
          <w:bCs/>
        </w:rPr>
        <w:t xml:space="preserve">Spectrotester v33</w:t>
      </w:r>
      <w:r>
        <w:t xml:space="preserve">: “tek dosya” prototip mimarisi ile</w:t>
      </w:r>
      <w:r>
        <w:t xml:space="preserve"> </w:t>
      </w:r>
      <w:r>
        <w:rPr>
          <w:b/>
          <w:bCs/>
        </w:rPr>
        <w:t xml:space="preserve">tahmin + teyit</w:t>
      </w:r>
      <w:r>
        <w:t xml:space="preserve"> </w:t>
      </w:r>
      <w:r>
        <w:t xml:space="preserve">akışını aynı yerde topluyor (özellikle QC/teyit raporlaması güçlü). Ancak kimya çekirdeği ve bazı üretim katmanları</w:t>
      </w:r>
      <w:r>
        <w:t xml:space="preserve"> </w:t>
      </w:r>
      <w:r>
        <w:rPr>
          <w:b/>
          <w:bCs/>
        </w:rPr>
        <w:t xml:space="preserve">heuristic/random</w:t>
      </w:r>
      <w:r>
        <w:t xml:space="preserve"> </w:t>
      </w:r>
      <w:r>
        <w:t xml:space="preserve">kararlara yaslanıyor; ayrıca kuralların önemli kısmı “kod içine gömülü” (JSON rulepack’e tam taşınmamış). Repo kanıtı:</w:t>
      </w:r>
      <w:r>
        <w:t xml:space="preserve"> </w:t>
      </w:r>
      <w:r>
        <w:rPr>
          <w:rStyle w:val="VerbatimChar"/>
        </w:rPr>
        <w:t xml:space="preserve">/mnt/data/spectrotester/Spectrotester/Spectromasterv0.2tester.html</w:t>
      </w:r>
      <w:r>
        <w:t xml:space="preserve"> </w:t>
      </w:r>
      <w:r>
        <w:t xml:space="preserve">içinde</w:t>
      </w:r>
      <w:r>
        <w:t xml:space="preserve"> </w:t>
      </w:r>
      <w:r>
        <w:rPr>
          <w:rStyle w:val="VerbatimChar"/>
        </w:rPr>
        <w:t xml:space="preserve">generate1H/generate13C/generate2D/generateMS/generateIR</w:t>
      </w:r>
      <w:r>
        <w:t xml:space="preserve">,</w:t>
      </w:r>
      <w:r>
        <w:t xml:space="preserve"> </w:t>
      </w:r>
      <w:r>
        <w:rPr>
          <w:rStyle w:val="VerbatimChar"/>
        </w:rPr>
        <w:t xml:space="preserve">verify1H/verify13C/verifyMS/verifyIR</w:t>
      </w:r>
      <w:r>
        <w:t xml:space="preserve"> </w:t>
      </w:r>
      <w:r>
        <w:t xml:space="preserve">ve eşik tanımları (</w:t>
      </w:r>
      <w:r>
        <w:rPr>
          <w:rStyle w:val="VerbatimChar"/>
        </w:rPr>
        <w:t xml:space="preserve">TH</w:t>
      </w:r>
      <w:r>
        <w:t xml:space="preserve">,</w:t>
      </w:r>
      <w:r>
        <w:t xml:space="preserve"> </w:t>
      </w:r>
      <w:r>
        <w:rPr>
          <w:rStyle w:val="VerbatimChar"/>
        </w:rPr>
        <w:t xml:space="preserve">T</w:t>
      </w:r>
      <w:r>
        <w:t xml:space="preserve">) mevcut.</w:t>
      </w:r>
      <w:r>
        <w:br/>
      </w:r>
      <w:r>
        <w:t xml:space="preserve">-</w:t>
      </w:r>
      <w:r>
        <w:t xml:space="preserve"> </w:t>
      </w:r>
      <w:r>
        <w:rPr>
          <w:b/>
          <w:bCs/>
        </w:rPr>
        <w:t xml:space="preserve">Spectrosınn / SpectroMind</w:t>
      </w:r>
      <w:r>
        <w:t xml:space="preserve">: Next.js “platform” + çoklu servis yapısı var;</w:t>
      </w:r>
      <w:r>
        <w:t xml:space="preserve"> </w:t>
      </w:r>
      <w:r>
        <w:rPr>
          <w:b/>
          <w:bCs/>
        </w:rPr>
        <w:t xml:space="preserve">RDKit</w:t>
      </w:r>
      <w:r>
        <w:t xml:space="preserve"> </w:t>
      </w:r>
      <w:r>
        <w:t xml:space="preserve">tabanlı analiz/hose predictor gibi daha sağlam kimya bileşenleri bulunuyor. Ancak kritik yerlerde hâlâ</w:t>
      </w:r>
      <w:r>
        <w:t xml:space="preserve"> </w:t>
      </w:r>
      <w:r>
        <w:rPr>
          <w:b/>
          <w:bCs/>
        </w:rPr>
        <w:t xml:space="preserve">child_process ile python spawn</w:t>
      </w:r>
      <w:r>
        <w:t xml:space="preserve"> </w:t>
      </w:r>
      <w:r>
        <w:t xml:space="preserve">yaklaşımı var (determinism, güvenlik, performans, Part11 validasyonu için risk). Ayrıca 2D NMR tarafında</w:t>
      </w:r>
      <w:r>
        <w:t xml:space="preserve"> </w:t>
      </w:r>
      <w:r>
        <w:rPr>
          <w:b/>
          <w:bCs/>
        </w:rPr>
        <w:t xml:space="preserve">HSQC/COSY jeneratörü</w:t>
      </w:r>
      <w:r>
        <w:t xml:space="preserve"> </w:t>
      </w:r>
      <w:r>
        <w:t xml:space="preserve">fiilen eksik; HMBC/NOESY tarafı daha çok “analyzer” seviyesinde. Repo kanıtı:</w:t>
      </w:r>
      <w:r>
        <w:t xml:space="preserve"> </w:t>
      </w:r>
      <w:r>
        <w:rPr>
          <w:rStyle w:val="VerbatimChar"/>
        </w:rPr>
        <w:t xml:space="preserve">/mnt/data/spectrosinn/.../app/api/v2/predict/route.ts</w:t>
      </w:r>
      <w:r>
        <w:t xml:space="preserve"> </w:t>
      </w:r>
      <w:r>
        <w:t xml:space="preserve">içinde GNN/DFT gibi ML/QM modülleri import ediliyor; “rule-only” mod yok (Import satırları ~3–5).</w:t>
      </w:r>
    </w:p>
    <w:p>
      <w:pPr>
        <w:pStyle w:val="BodyText"/>
      </w:pPr>
      <w:r>
        <w:t xml:space="preserve">Üretim seviyesi çözüm için kritik strateji:</w:t>
      </w:r>
      <w:r>
        <w:br/>
      </w:r>
      <w:r>
        <w:rPr>
          <w:b/>
          <w:bCs/>
        </w:rPr>
        <w:t xml:space="preserve">Tek kanonik Chem Core + Tek Rule Engine + Tek Teyit Raporu Sözleşmesi</w:t>
      </w:r>
      <w:r>
        <w:t xml:space="preserve">. SMILES semantiği OpenSMILES ile net tanımlıdır; parser/standardizasyon “string regex” ile değil kimyasal graf kurallarıyla yapılmalıdır.</w:t>
      </w:r>
      <w:r>
        <w:t xml:space="preserve"> </w:t>
      </w:r>
      <w:hyperlink r:id="rId23">
        <w:r>
          <w:rPr>
            <w:rStyle w:val="Hyperlink"/>
          </w:rPr>
          <w:t xml:space="preserve">[2]</w:t>
        </w:r>
      </w:hyperlink>
      <w:r>
        <w:t xml:space="preserve"> </w:t>
      </w:r>
      <w:r>
        <w:t xml:space="preserve">RDKit’in aromatiklik algısı “pattern” değil</w:t>
      </w:r>
      <w:r>
        <w:t xml:space="preserve"> </w:t>
      </w:r>
      <w:r>
        <w:rPr>
          <w:b/>
          <w:bCs/>
        </w:rPr>
        <w:t xml:space="preserve">kural seti</w:t>
      </w:r>
      <w:r>
        <w:t xml:space="preserve"> </w:t>
      </w:r>
      <w:r>
        <w:t xml:space="preserve">ile yapılır; bu, deterministik çekirdek için güçlü bir temel sağlar.</w:t>
      </w:r>
      <w:r>
        <w:t xml:space="preserve"> </w:t>
      </w:r>
      <w:hyperlink r:id="rId24">
        <w:r>
          <w:rPr>
            <w:rStyle w:val="Hyperlink"/>
          </w:rPr>
          <w:t xml:space="preserve">[3]</w:t>
        </w:r>
      </w:hyperlink>
      <w:r>
        <w:t xml:space="preserve"> </w:t>
      </w:r>
      <w:r>
        <w:t xml:space="preserve">RDKit MolStandardize modülü; canonical tautomer (koşullara göre en stabil tautomer olmayabileceğini belirterek) gibi standardizasyon fonksiyonları sunar.</w:t>
      </w:r>
      <w:r>
        <w:t xml:space="preserve"> </w:t>
      </w:r>
      <w:hyperlink r:id="rId25">
        <w:r>
          <w:rPr>
            <w:rStyle w:val="Hyperlink"/>
          </w:rPr>
          <w:t xml:space="preserve">[4]</w:t>
        </w:r>
      </w:hyperlink>
    </w:p>
    <w:p>
      <w:pPr>
        <w:pStyle w:val="BodyText"/>
      </w:pPr>
      <w:r>
        <w:t xml:space="preserve">Ayrıca “Mnova / ACD” sınıfına yaklaşmak; yalnız tahmin değil,</w:t>
      </w:r>
      <w:r>
        <w:t xml:space="preserve"> </w:t>
      </w:r>
      <w:r>
        <w:rPr>
          <w:b/>
          <w:bCs/>
        </w:rPr>
        <w:t xml:space="preserve">overlay/verify iş akışı</w:t>
      </w:r>
      <w:r>
        <w:t xml:space="preserve">, 2D korelasyonların bayraklanması, raporlama ve format desteği (JCAMP‑DX, nmrML, NMReDATA, mzML vb.) gerektirir.</w:t>
      </w:r>
      <w:r>
        <w:t xml:space="preserve"> </w:t>
      </w:r>
      <w:hyperlink r:id="rId26">
        <w:r>
          <w:rPr>
            <w:rStyle w:val="Hyperlink"/>
          </w:rPr>
          <w:t xml:space="preserve">[5]</w:t>
        </w:r>
      </w:hyperlink>
    </w:p>
    <w:bookmarkEnd w:id="27"/>
    <w:bookmarkStart w:id="37" w:name="X08c1c191fcf5b1636745d2e634546c451e2ce42"/>
    <w:p>
      <w:pPr>
        <w:pStyle w:val="Heading2"/>
      </w:pPr>
      <w:r>
        <w:t xml:space="preserve">Spectrotester v33 ve Spectrosınn kod tabanları için ayrıntılı gap analizi</w:t>
      </w:r>
    </w:p>
    <w:p>
      <w:pPr>
        <w:pStyle w:val="FirstParagraph"/>
      </w:pPr>
      <w:r>
        <w:t xml:space="preserve">Aşağıdaki analiz, iki zip’in içeriğinde görülen “gerçek kod” ve dokümantasyonla uyumlu</w:t>
      </w:r>
      <w:r>
        <w:t xml:space="preserve"> </w:t>
      </w:r>
      <w:r>
        <w:rPr>
          <w:b/>
          <w:bCs/>
        </w:rPr>
        <w:t xml:space="preserve">eksik kural/modül/algoritma boşlukları</w:t>
      </w:r>
      <w:r>
        <w:t xml:space="preserve">nı teknik bazında listeler. (Bu bölümde “repo gözlemi” referansları, dosya yolu + yaklaşık satır numaralarıyla verilir.)</w:t>
      </w:r>
    </w:p>
    <w:bookmarkStart w:id="32" w:name="teknikbazlı-kapsam-matrisi"/>
    <w:p>
      <w:pPr>
        <w:pStyle w:val="Heading3"/>
      </w:pPr>
      <w:r>
        <w:t xml:space="preserve">Teknik‑bazlı kapsam matrisi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Teknik</w:t>
            </w:r>
          </w:p>
        </w:tc>
        <w:tc>
          <w:tcPr/>
          <w:p>
            <w:pPr>
              <w:pStyle w:val="Compact"/>
            </w:pPr>
            <w:r>
              <w:t xml:space="preserve">Spectrotester v33 (mevcut)</w:t>
            </w:r>
          </w:p>
        </w:tc>
        <w:tc>
          <w:tcPr/>
          <w:p>
            <w:pPr>
              <w:pStyle w:val="Compact"/>
            </w:pPr>
            <w:r>
              <w:t xml:space="preserve">Spectrosınn/SpectroMind (mevcut)</w:t>
            </w:r>
          </w:p>
        </w:tc>
        <w:tc>
          <w:tcPr/>
          <w:p>
            <w:pPr>
              <w:pStyle w:val="Compact"/>
            </w:pPr>
            <w:r>
              <w:t xml:space="preserve">Üretim için açık “gap”</w:t>
            </w:r>
          </w:p>
        </w:tc>
      </w:tr>
      <w:tr>
        <w:tc>
          <w:tcPr/>
          <w:p>
            <w:pPr>
              <w:pStyle w:val="Compact"/>
            </w:pPr>
            <w:r>
              <w:t xml:space="preserve">¹H 1D</w:t>
            </w:r>
          </w:p>
        </w:tc>
        <w:tc>
          <w:tcPr/>
          <w:p>
            <w:pPr>
              <w:pStyle w:val="Compact"/>
            </w:pPr>
            <w:r>
              <w:t xml:space="preserve">Var:</w:t>
            </w:r>
            <w:r>
              <w:t xml:space="preserve"> </w:t>
            </w:r>
            <w:r>
              <w:rPr>
                <w:rStyle w:val="VerbatimChar"/>
              </w:rPr>
              <w:t xml:space="preserve">generate1H</w:t>
            </w:r>
            <w:r>
              <w:t xml:space="preserve"> </w:t>
            </w:r>
            <w:r>
              <w:t xml:space="preserve">(~L3754),</w:t>
            </w:r>
            <w:r>
              <w:t xml:space="preserve"> </w:t>
            </w:r>
            <w:r>
              <w:rPr>
                <w:rStyle w:val="VerbatimChar"/>
              </w:rPr>
              <w:t xml:space="preserve">verify1H</w:t>
            </w:r>
            <w:r>
              <w:t xml:space="preserve"> </w:t>
            </w:r>
            <w:r>
              <w:t xml:space="preserve">(~L151??)</w:t>
            </w:r>
          </w:p>
        </w:tc>
        <w:tc>
          <w:tcPr/>
          <w:p>
            <w:pPr>
              <w:pStyle w:val="Compact"/>
            </w:pPr>
            <w:r>
              <w:t xml:space="preserve">Var (rule/HOSE):</w:t>
            </w:r>
            <w:r>
              <w:t xml:space="preserve"> </w:t>
            </w:r>
            <w:r>
              <w:rPr>
                <w:rStyle w:val="VerbatimChar"/>
              </w:rPr>
              <w:t xml:space="preserve">services/nmr-engine/modules/hose_predictor.py</w:t>
            </w:r>
            <w:r>
              <w:t xml:space="preserve"> </w:t>
            </w:r>
            <w:r>
              <w:t xml:space="preserve">(</w:t>
            </w:r>
            <w:r>
              <w:rPr>
                <w:rStyle w:val="VerbatimChar"/>
              </w:rPr>
              <w:t xml:space="preserve">predict_h1</w:t>
            </w:r>
            <w:r>
              <w:t xml:space="preserve">, ~L13)</w:t>
            </w:r>
          </w:p>
        </w:tc>
        <w:tc>
          <w:tcPr/>
          <w:p>
            <w:pPr>
              <w:pStyle w:val="Compact"/>
            </w:pPr>
            <w:r>
              <w:t xml:space="preserve">İki tarafta da deterministik “atom‑environment → shift” modeli kısmi; random/heuristic kaldırılıp tek modele inilmeli.</w:t>
            </w:r>
          </w:p>
        </w:tc>
      </w:tr>
      <w:tr>
        <w:tc>
          <w:tcPr/>
          <w:p>
            <w:pPr>
              <w:pStyle w:val="Compact"/>
            </w:pPr>
            <w:r>
              <w:t xml:space="preserve">¹³C 1D</w:t>
            </w:r>
          </w:p>
        </w:tc>
        <w:tc>
          <w:tcPr/>
          <w:p>
            <w:pPr>
              <w:pStyle w:val="Compact"/>
            </w:pPr>
            <w:r>
              <w:t xml:space="preserve">Var:</w:t>
            </w:r>
            <w:r>
              <w:t xml:space="preserve"> </w:t>
            </w:r>
            <w:r>
              <w:rPr>
                <w:rStyle w:val="VerbatimChar"/>
              </w:rPr>
              <w:t xml:space="preserve">generate13C</w:t>
            </w:r>
            <w:r>
              <w:t xml:space="preserve"> </w:t>
            </w:r>
            <w:r>
              <w:t xml:space="preserve">(~L5459),</w:t>
            </w:r>
            <w:r>
              <w:t xml:space="preserve"> </w:t>
            </w:r>
            <w:r>
              <w:rPr>
                <w:rStyle w:val="VerbatimChar"/>
              </w:rPr>
              <w:t xml:space="preserve">verify13C</w:t>
            </w:r>
            <w:r>
              <w:t xml:space="preserve"> </w:t>
            </w:r>
            <w:r>
              <w:t xml:space="preserve">(~L14k)</w:t>
            </w:r>
          </w:p>
        </w:tc>
        <w:tc>
          <w:tcPr/>
          <w:p>
            <w:pPr>
              <w:pStyle w:val="Compact"/>
            </w:pPr>
            <w:r>
              <w:t xml:space="preserve">Var: HOSE predictor (</w:t>
            </w:r>
            <w:r>
              <w:rPr>
                <w:rStyle w:val="VerbatimChar"/>
              </w:rPr>
              <w:t xml:space="preserve">predict_c13</w:t>
            </w:r>
            <w:r>
              <w:t xml:space="preserve">) + skeleton/c13 modülleri</w:t>
            </w:r>
          </w:p>
        </w:tc>
        <w:tc>
          <w:tcPr/>
          <w:p>
            <w:pPr>
              <w:pStyle w:val="Compact"/>
            </w:pPr>
            <w:r>
              <w:t xml:space="preserve">Quaternary/carbonyl görünürlük &amp; deney koşulu modeli (delay/NOE/DEPT/APT) eksik.</w:t>
            </w:r>
          </w:p>
        </w:tc>
      </w:tr>
      <w:tr>
        <w:tc>
          <w:tcPr/>
          <w:p>
            <w:pPr>
              <w:pStyle w:val="Compact"/>
            </w:pPr>
            <w:r>
              <w:t xml:space="preserve">HSQC</w:t>
            </w:r>
          </w:p>
        </w:tc>
        <w:tc>
          <w:tcPr/>
          <w:p>
            <w:pPr>
              <w:pStyle w:val="Compact"/>
            </w:pPr>
            <w:r>
              <w:t xml:space="preserve">Var:</w:t>
            </w:r>
            <w:r>
              <w:t xml:space="preserve"> </w:t>
            </w:r>
            <w:r>
              <w:rPr>
                <w:rStyle w:val="VerbatimChar"/>
              </w:rPr>
              <w:t xml:space="preserve">generate2D</w:t>
            </w:r>
            <w:r>
              <w:t xml:space="preserve"> </w:t>
            </w:r>
            <w:r>
              <w:t xml:space="preserve">config’de HSQC var (~L7896) + HSQC QC kontrolleri var</w:t>
            </w:r>
          </w:p>
        </w:tc>
        <w:tc>
          <w:tcPr/>
          <w:p>
            <w:pPr>
              <w:pStyle w:val="Compact"/>
            </w:pPr>
            <w:r>
              <w:rPr>
                <w:b/>
                <w:bCs/>
              </w:rPr>
              <w:t xml:space="preserve">Eksik</w:t>
            </w:r>
            <w:r>
              <w:t xml:space="preserve">: sadece tip tanımı var (</w:t>
            </w:r>
            <w:r>
              <w:rPr>
                <w:rStyle w:val="VerbatimChar"/>
              </w:rPr>
              <w:t xml:space="preserve">lib/types/spectrum.ts</w:t>
            </w:r>
            <w:r>
              <w:t xml:space="preserve"> </w:t>
            </w:r>
            <w:r>
              <w:t xml:space="preserve">HSQCCorrelation ~L59)</w:t>
            </w:r>
          </w:p>
        </w:tc>
        <w:tc>
          <w:tcPr/>
          <w:p>
            <w:pPr>
              <w:pStyle w:val="Compact"/>
            </w:pPr>
            <w:r>
              <w:t xml:space="preserve">HSQC jeneratörü + HSQC‑DEPT edit + yoğunluk/overlap/SNR modeli yok.</w:t>
            </w:r>
          </w:p>
        </w:tc>
      </w:tr>
      <w:tr>
        <w:tc>
          <w:tcPr/>
          <w:p>
            <w:pPr>
              <w:pStyle w:val="Compact"/>
            </w:pPr>
            <w:r>
              <w:t xml:space="preserve">COSY</w:t>
            </w:r>
          </w:p>
        </w:tc>
        <w:tc>
          <w:tcPr/>
          <w:p>
            <w:pPr>
              <w:pStyle w:val="Compact"/>
            </w:pPr>
            <w:r>
              <w:t xml:space="preserve">Var:</w:t>
            </w:r>
            <w:r>
              <w:t xml:space="preserve"> </w:t>
            </w:r>
            <w:r>
              <w:rPr>
                <w:rStyle w:val="VerbatimChar"/>
              </w:rPr>
              <w:t xml:space="preserve">generate2D</w:t>
            </w:r>
            <w:r>
              <w:t xml:space="preserve"> </w:t>
            </w:r>
            <w:r>
              <w:t xml:space="preserve">config’de COSY var (~L7898)</w:t>
            </w:r>
          </w:p>
        </w:tc>
        <w:tc>
          <w:tcPr/>
          <w:p>
            <w:pPr>
              <w:pStyle w:val="Compact"/>
            </w:pPr>
            <w:r>
              <w:rPr>
                <w:b/>
                <w:bCs/>
              </w:rPr>
              <w:t xml:space="preserve">Eksik</w:t>
            </w:r>
            <w:r>
              <w:t xml:space="preserve">: gerçek engine yok</w:t>
            </w:r>
          </w:p>
        </w:tc>
        <w:tc>
          <w:tcPr/>
          <w:p>
            <w:pPr>
              <w:pStyle w:val="Compact"/>
            </w:pPr>
            <w:r>
              <w:t xml:space="preserve">COSY jeneratörü + kuplaj grafı + cross‑peak yoğunluğu modeli yok.</w:t>
            </w:r>
          </w:p>
        </w:tc>
      </w:tr>
      <w:tr>
        <w:tc>
          <w:tcPr/>
          <w:p>
            <w:pPr>
              <w:pStyle w:val="Compact"/>
            </w:pPr>
            <w:r>
              <w:t xml:space="preserve">HMBC</w:t>
            </w:r>
          </w:p>
        </w:tc>
        <w:tc>
          <w:tcPr/>
          <w:p>
            <w:pPr>
              <w:pStyle w:val="Compact"/>
            </w:pPr>
            <w:r>
              <w:t xml:space="preserve">Var:</w:t>
            </w:r>
            <w:r>
              <w:t xml:space="preserve"> </w:t>
            </w:r>
            <w:r>
              <w:rPr>
                <w:rStyle w:val="VerbatimChar"/>
              </w:rPr>
              <w:t xml:space="preserve">generate2D</w:t>
            </w:r>
            <w:r>
              <w:t xml:space="preserve"> </w:t>
            </w:r>
            <w:r>
              <w:t xml:space="preserve">config’de HMBC var (~L7900) + HMBC QC kuralları var</w:t>
            </w:r>
          </w:p>
        </w:tc>
        <w:tc>
          <w:tcPr/>
          <w:p>
            <w:pPr>
              <w:pStyle w:val="Compact"/>
            </w:pPr>
            <w:r>
              <w:t xml:space="preserve">Kısmi:</w:t>
            </w:r>
            <w:r>
              <w:t xml:space="preserve"> </w:t>
            </w:r>
            <w:r>
              <w:rPr>
                <w:rStyle w:val="VerbatimChar"/>
              </w:rPr>
              <w:t xml:space="preserve">lib/engines/correlations/hmbc.py</w:t>
            </w:r>
            <w:r>
              <w:t xml:space="preserve"> </w:t>
            </w:r>
            <w:r>
              <w:t xml:space="preserve">daha çok “analyzer”</w:t>
            </w:r>
          </w:p>
        </w:tc>
        <w:tc>
          <w:tcPr/>
          <w:p>
            <w:pPr>
              <w:pStyle w:val="Compact"/>
            </w:pPr>
            <w:r>
              <w:t xml:space="preserve">HMBC jeneratörü (2J/3J/4J olasılık) + J‑filtresi/one‑bond suppression modeli yok.</w:t>
            </w:r>
            <w:r>
              <w:t xml:space="preserve"> </w:t>
            </w:r>
            <w:hyperlink r:id="rId28">
              <w:r>
                <w:rPr>
                  <w:rStyle w:val="Hyperlink"/>
                </w:rPr>
                <w:t xml:space="preserve">[6]</w:t>
              </w:r>
            </w:hyperlink>
          </w:p>
        </w:tc>
      </w:tr>
      <w:tr>
        <w:tc>
          <w:tcPr/>
          <w:p>
            <w:pPr>
              <w:pStyle w:val="Compact"/>
            </w:pPr>
            <w:r>
              <w:t xml:space="preserve">NOESY</w:t>
            </w:r>
          </w:p>
        </w:tc>
        <w:tc>
          <w:tcPr/>
          <w:p>
            <w:pPr>
              <w:pStyle w:val="Compact"/>
            </w:pPr>
            <w:r>
              <w:t xml:space="preserve">Var:</w:t>
            </w:r>
            <w:r>
              <w:t xml:space="preserve"> </w:t>
            </w:r>
            <w:r>
              <w:rPr>
                <w:rStyle w:val="VerbatimChar"/>
              </w:rPr>
              <w:t xml:space="preserve">generate2D</w:t>
            </w:r>
            <w:r>
              <w:t xml:space="preserve"> </w:t>
            </w:r>
            <w:r>
              <w:t xml:space="preserve">config’de NOESY var (~L7902) fakat çoğu senaryoda boş/gated</w:t>
            </w:r>
          </w:p>
        </w:tc>
        <w:tc>
          <w:tcPr/>
          <w:p>
            <w:pPr>
              <w:pStyle w:val="Compact"/>
            </w:pPr>
            <w:r>
              <w:t xml:space="preserve">Kısmi:</w:t>
            </w:r>
            <w:r>
              <w:t xml:space="preserve"> </w:t>
            </w:r>
            <w:r>
              <w:rPr>
                <w:rStyle w:val="VerbatimChar"/>
              </w:rPr>
              <w:t xml:space="preserve">lib/engines/correlations/noesy.py</w:t>
            </w:r>
            <w:r>
              <w:t xml:space="preserve"> </w:t>
            </w:r>
            <w:r>
              <w:t xml:space="preserve">analyzer</w:t>
            </w:r>
          </w:p>
        </w:tc>
        <w:tc>
          <w:tcPr/>
          <w:p>
            <w:pPr>
              <w:pStyle w:val="Compact"/>
            </w:pPr>
            <w:r>
              <w:t xml:space="preserve">NOE için 3D distance/konformer + mixing‑time/rota‑ortalama modeli yok; “small molecule” için belirsizlik yönetimi eksik.</w:t>
            </w:r>
            <w:r>
              <w:t xml:space="preserve"> </w:t>
            </w:r>
            <w:hyperlink r:id="rId29">
              <w:r>
                <w:rPr>
                  <w:rStyle w:val="Hyperlink"/>
                </w:rPr>
                <w:t xml:space="preserve">[7]</w:t>
              </w:r>
            </w:hyperlink>
          </w:p>
        </w:tc>
      </w:tr>
      <w:tr>
        <w:tc>
          <w:tcPr/>
          <w:p>
            <w:pPr>
              <w:pStyle w:val="Compact"/>
            </w:pPr>
            <w:r>
              <w:t xml:space="preserve">MS</w:t>
            </w:r>
          </w:p>
        </w:tc>
        <w:tc>
          <w:tcPr/>
          <w:p>
            <w:pPr>
              <w:pStyle w:val="Compact"/>
            </w:pPr>
            <w:r>
              <w:t xml:space="preserve">Var ama çok sınırlı:</w:t>
            </w:r>
            <w:r>
              <w:t xml:space="preserve"> </w:t>
            </w:r>
            <w:r>
              <w:rPr>
                <w:rStyle w:val="VerbatimChar"/>
              </w:rPr>
              <w:t xml:space="preserve">generateMS</w:t>
            </w:r>
            <w:r>
              <w:t xml:space="preserve"> </w:t>
            </w:r>
            <w:r>
              <w:t xml:space="preserve">(~L7683); doğrulama var:</w:t>
            </w:r>
            <w:r>
              <w:t xml:space="preserve"> </w:t>
            </w:r>
            <w:r>
              <w:rPr>
                <w:rStyle w:val="VerbatimChar"/>
              </w:rPr>
              <w:t xml:space="preserve">verifyMS</w:t>
            </w:r>
            <w:r>
              <w:t xml:space="preserve"> </w:t>
            </w:r>
            <w:r>
              <w:t xml:space="preserve">(~L14893); isotope özellikle Cl ağırlıklı</w:t>
            </w:r>
          </w:p>
        </w:tc>
        <w:tc>
          <w:tcPr/>
          <w:p>
            <w:pPr>
              <w:pStyle w:val="Compact"/>
            </w:pPr>
            <w:r>
              <w:t xml:space="preserve">Var:</w:t>
            </w:r>
            <w:r>
              <w:t xml:space="preserve"> </w:t>
            </w:r>
            <w:r>
              <w:rPr>
                <w:rStyle w:val="VerbatimChar"/>
              </w:rPr>
              <w:t xml:space="preserve">services/ms-service/ms_predictor.py</w:t>
            </w:r>
            <w:r>
              <w:t xml:space="preserve"> </w:t>
            </w:r>
            <w:r>
              <w:t xml:space="preserve">(BDE + diagnostic ions iddiası), ayrıca TS wrapper spawn</w:t>
            </w:r>
          </w:p>
        </w:tc>
        <w:tc>
          <w:tcPr/>
          <w:p>
            <w:pPr>
              <w:pStyle w:val="Compact"/>
            </w:pPr>
            <w:r>
              <w:t xml:space="preserve">Tek MS motoru seçimi; adduct tablosu genişletme (Waters), izotop konvolüsyon (Cl/Br/S), fragman kural seti, EI/ESI ayrımı, mzML export eksik.</w:t>
            </w:r>
            <w:r>
              <w:t xml:space="preserve"> </w:t>
            </w:r>
            <w:hyperlink r:id="rId30">
              <w:r>
                <w:rPr>
                  <w:rStyle w:val="Hyperlink"/>
                </w:rPr>
                <w:t xml:space="preserve">[8]</w:t>
              </w:r>
            </w:hyperlink>
          </w:p>
        </w:tc>
      </w:tr>
      <w:tr>
        <w:tc>
          <w:tcPr/>
          <w:p>
            <w:pPr>
              <w:pStyle w:val="Compact"/>
            </w:pPr>
            <w:r>
              <w:t xml:space="preserve">FTIR/IR</w:t>
            </w:r>
          </w:p>
        </w:tc>
        <w:tc>
          <w:tcPr/>
          <w:p>
            <w:pPr>
              <w:pStyle w:val="Compact"/>
            </w:pPr>
            <w:r>
              <w:t xml:space="preserve">Var ama minimal:</w:t>
            </w:r>
            <w:r>
              <w:t xml:space="preserve"> </w:t>
            </w:r>
            <w:r>
              <w:rPr>
                <w:rStyle w:val="VerbatimChar"/>
              </w:rPr>
              <w:t xml:space="preserve">generateIR</w:t>
            </w:r>
            <w:r>
              <w:t xml:space="preserve"> </w:t>
            </w:r>
            <w:r>
              <w:t xml:space="preserve">(~L7820); IR priors sınırlı</w:t>
            </w:r>
          </w:p>
        </w:tc>
        <w:tc>
          <w:tcPr/>
          <w:p>
            <w:pPr>
              <w:pStyle w:val="Compact"/>
            </w:pPr>
            <w:r>
              <w:t xml:space="preserve">Var:</w:t>
            </w:r>
            <w:r>
              <w:t xml:space="preserve"> </w:t>
            </w:r>
            <w:r>
              <w:rPr>
                <w:rStyle w:val="VerbatimChar"/>
              </w:rPr>
              <w:t xml:space="preserve">lib/spectromind/ir_engine/*</w:t>
            </w:r>
            <w:r>
              <w:t xml:space="preserve"> </w:t>
            </w:r>
            <w:r>
              <w:t xml:space="preserve">“GF-matrix” iddiası ile; ayrıca</w:t>
            </w:r>
            <w:r>
              <w:t xml:space="preserve"> </w:t>
            </w:r>
            <w:r>
              <w:rPr>
                <w:rStyle w:val="VerbatimChar"/>
              </w:rPr>
              <w:t xml:space="preserve">/api/ftir-theoretical</w:t>
            </w:r>
          </w:p>
        </w:tc>
        <w:tc>
          <w:tcPr/>
          <w:p>
            <w:pPr>
              <w:pStyle w:val="Compact"/>
            </w:pPr>
            <w:r>
              <w:t xml:space="preserve">IR motoru ya “korelasyon tablosu”na indirgenip sağlamlaştırılmalı ya da gerçek normal‑mode çözümüne gidecekse kapsam çok büyür; şimdiki TS motor “bilimsel iddia / implementasyon” uyumsuzluğu riski taşıyor.</w:t>
            </w:r>
            <w:r>
              <w:t xml:space="preserve"> </w:t>
            </w:r>
            <w:hyperlink r:id="rId31">
              <w:r>
                <w:rPr>
                  <w:rStyle w:val="Hyperlink"/>
                </w:rPr>
                <w:t xml:space="preserve">[9]</w:t>
              </w:r>
            </w:hyperlink>
          </w:p>
        </w:tc>
      </w:tr>
    </w:tbl>
    <w:bookmarkEnd w:id="32"/>
    <w:bookmarkStart w:id="34" w:name="spectrotester-v33te-spesifik-boşluklar"/>
    <w:p>
      <w:pPr>
        <w:pStyle w:val="Heading3"/>
      </w:pPr>
      <w:r>
        <w:t xml:space="preserve">Spectrotester v33’te spesifik boşluklar</w:t>
      </w:r>
    </w:p>
    <w:p>
      <w:pPr>
        <w:pStyle w:val="FirstParagraph"/>
      </w:pPr>
      <w:r>
        <w:rPr>
          <w:b/>
          <w:bCs/>
        </w:rPr>
        <w:t xml:space="preserve">Kuralların DSL’ye aktarılmaması (rulepack’in eksikliği)</w:t>
      </w:r>
      <w:r>
        <w:br/>
      </w:r>
      <w:r>
        <w:rPr>
          <w:rStyle w:val="VerbatimChar"/>
        </w:rPr>
        <w:t xml:space="preserve">lib/spectra/library/ruleset.json</w:t>
      </w:r>
      <w:r>
        <w:t xml:space="preserve"> </w:t>
      </w:r>
      <w:r>
        <w:t xml:space="preserve">içinde yalnızca</w:t>
      </w:r>
      <w:r>
        <w:t xml:space="preserve"> </w:t>
      </w:r>
      <w:r>
        <w:rPr>
          <w:b/>
          <w:bCs/>
        </w:rPr>
        <w:t xml:space="preserve">12</w:t>
      </w:r>
      <w:r>
        <w:t xml:space="preserve"> </w:t>
      </w:r>
      <w:r>
        <w:t xml:space="preserve">kural var (FORMULA, birkaç ¹H motif, ¹³C sınıf, COSY min ratio, HMBC karbonil gating vb.). HSQC/MS/IR/NOESY gibi önemli kontrollerin çoğu JS içine gömülü. Bu; kural yaşam döngüsü (versiyonlama, migrasyon, test edilebilirlik) ve açıklanabilirlik açısından “üretim” için zayıflık oluşturur. (Repo:</w:t>
      </w:r>
      <w:r>
        <w:t xml:space="preserve"> </w:t>
      </w:r>
      <w:r>
        <w:rPr>
          <w:rStyle w:val="VerbatimChar"/>
        </w:rPr>
        <w:t xml:space="preserve">/mnt/data/spectrotester/Spectrotester/lib/spectra/library/ruleset.json</w:t>
      </w:r>
      <w:r>
        <w:t xml:space="preserve">)</w:t>
      </w:r>
    </w:p>
    <w:p>
      <w:pPr>
        <w:pStyle w:val="BodyText"/>
      </w:pPr>
      <w:r>
        <w:rPr>
          <w:b/>
          <w:bCs/>
        </w:rPr>
        <w:t xml:space="preserve">Çekirdek kimya katmanında deterministik yapı temsili eksik</w:t>
      </w:r>
      <w:r>
        <w:br/>
      </w:r>
      <w:r>
        <w:t xml:space="preserve">OpenSMILES spesifikasyonu; SMILES’in sözdizim ve semantik olarak nasıl gerçek molekül anlamına geldiğini netleştirir; üretim doğruluğu için parser/standardizer’ın doğru olması şarttır.</w:t>
      </w:r>
      <w:r>
        <w:t xml:space="preserve"> </w:t>
      </w:r>
      <w:hyperlink r:id="rId23">
        <w:r>
          <w:rPr>
            <w:rStyle w:val="Hyperlink"/>
          </w:rPr>
          <w:t xml:space="preserve">[2]</w:t>
        </w:r>
      </w:hyperlink>
      <w:r>
        <w:t xml:space="preserve"> </w:t>
      </w:r>
      <w:r>
        <w:t xml:space="preserve">Spectrotester’da “kernel” yaklaşımı ve bazı regex/motif testleri mevcut; fakat üretimde RDKit‑benzeri bir atom grafına geçmeden HSQC/COSY/HMBC gibi 2D kurallarda “gerçek bağ mesafesi/bağ tipi” doğruluğu kırılgan kalır.</w:t>
      </w:r>
    </w:p>
    <w:p>
      <w:pPr>
        <w:pStyle w:val="BodyText"/>
      </w:pPr>
      <w:r>
        <w:rPr>
          <w:b/>
          <w:bCs/>
        </w:rPr>
        <w:t xml:space="preserve">Eşiklerin (threshold) bilimsel kalibrasyonu eksik / aşırı sıkı</w:t>
      </w:r>
      <w:r>
        <w:br/>
      </w:r>
      <w:r>
        <w:t xml:space="preserve">Spectrotester</w:t>
      </w:r>
      <w:r>
        <w:t xml:space="preserve"> </w:t>
      </w:r>
      <w:r>
        <w:rPr>
          <w:rStyle w:val="VerbatimChar"/>
        </w:rPr>
        <w:t xml:space="preserve">T</w:t>
      </w:r>
      <w:r>
        <w:t xml:space="preserve"> </w:t>
      </w:r>
      <w:r>
        <w:t xml:space="preserve">ve</w:t>
      </w:r>
      <w:r>
        <w:t xml:space="preserve"> </w:t>
      </w:r>
      <w:r>
        <w:rPr>
          <w:rStyle w:val="VerbatimChar"/>
        </w:rPr>
        <w:t xml:space="preserve">TH</w:t>
      </w:r>
      <w:r>
        <w:t xml:space="preserve"> </w:t>
      </w:r>
      <w:r>
        <w:t xml:space="preserve">eşikleri (ör. ppm toleransları, HSQC assignment min) kod içinde sabit. Örneğin HSQC atama oranı varsayılan eşiği 0.75 (küçük molekül için 0.30’a düşürme istisnası var). (Repo:</w:t>
      </w:r>
      <w:r>
        <w:t xml:space="preserve"> </w:t>
      </w:r>
      <w:r>
        <w:rPr>
          <w:rStyle w:val="VerbatimChar"/>
        </w:rPr>
        <w:t xml:space="preserve">Spectromasterv0.2tester.html</w:t>
      </w:r>
      <w:r>
        <w:t xml:space="preserve"> </w:t>
      </w:r>
      <w:r>
        <w:t xml:space="preserve">~L11134–11172 ve HSQC check ~L12608+) Bu eşikler, gerçek dünyada SNR/overlap/processing parametrelerine göre değişir; ürün seviyesinde</w:t>
      </w:r>
      <w:r>
        <w:t xml:space="preserve"> </w:t>
      </w:r>
      <w:r>
        <w:rPr>
          <w:b/>
          <w:bCs/>
        </w:rPr>
        <w:t xml:space="preserve">parametrik + veri setiyle kalibre</w:t>
      </w:r>
      <w:r>
        <w:t xml:space="preserve"> </w:t>
      </w:r>
      <w:r>
        <w:t xml:space="preserve">olmalıdır.</w:t>
      </w:r>
    </w:p>
    <w:p>
      <w:pPr>
        <w:pStyle w:val="BodyText"/>
      </w:pPr>
      <w:r>
        <w:rPr>
          <w:b/>
          <w:bCs/>
        </w:rPr>
        <w:t xml:space="preserve">IR üretimi aşırı minimal</w:t>
      </w:r>
      <w:r>
        <w:br/>
      </w:r>
      <w:r>
        <w:rPr>
          <w:rStyle w:val="VerbatimChar"/>
        </w:rPr>
        <w:t xml:space="preserve">generateIR</w:t>
      </w:r>
      <w:r>
        <w:t xml:space="preserve"> </w:t>
      </w:r>
      <w:r>
        <w:t xml:space="preserve">neredeyse “2930 alifatik CH” + “3400 OH/NH” + birkaç context carbonyl + v33 aromatik 1450–1600 bandı ekliyor (Repo:</w:t>
      </w:r>
      <w:r>
        <w:t xml:space="preserve"> </w:t>
      </w:r>
      <w:r>
        <w:rPr>
          <w:rStyle w:val="VerbatimChar"/>
        </w:rPr>
        <w:t xml:space="preserve">Spectromasterv0.2tester.html</w:t>
      </w:r>
      <w:r>
        <w:t xml:space="preserve"> </w:t>
      </w:r>
      <w:r>
        <w:t xml:space="preserve">~L7820). Bu; IR korelasyon tablolarının kapsadığı fonksiyonel grup çeşitliliğinin çok altında. IR absorpsiyon tabloları yüzlerce bant bölgesini listeler.</w:t>
      </w:r>
      <w:r>
        <w:t xml:space="preserve"> </w:t>
      </w:r>
      <w:hyperlink r:id="rId31">
        <w:r>
          <w:rPr>
            <w:rStyle w:val="Hyperlink"/>
          </w:rPr>
          <w:t xml:space="preserve">[10]</w:t>
        </w:r>
      </w:hyperlink>
    </w:p>
    <w:p>
      <w:pPr>
        <w:pStyle w:val="BodyText"/>
      </w:pPr>
      <w:r>
        <w:rPr>
          <w:b/>
          <w:bCs/>
        </w:rPr>
        <w:t xml:space="preserve">MS üretimi sınırlı izotop/fragman kapsaması</w:t>
      </w:r>
      <w:r>
        <w:br/>
      </w:r>
      <w:r>
        <w:rPr>
          <w:rStyle w:val="VerbatimChar"/>
        </w:rPr>
        <w:t xml:space="preserve">generateMS</w:t>
      </w:r>
      <w:r>
        <w:t xml:space="preserve"> </w:t>
      </w:r>
      <w:r>
        <w:t xml:space="preserve">bazı adduct/fragmanları ve Cl binom dağılımını içeriyor; fakat ESI adduct çeşitliliği (NH4, solvates, acetate/formate vb.) ve negatif mod kapsamı, Waters gibi referans tablolara göre genişletilmeli.</w:t>
      </w:r>
      <w:r>
        <w:t xml:space="preserve"> </w:t>
      </w:r>
      <w:hyperlink r:id="rId30">
        <w:r>
          <w:rPr>
            <w:rStyle w:val="Hyperlink"/>
          </w:rPr>
          <w:t xml:space="preserve">[11]</w:t>
        </w:r>
      </w:hyperlink>
      <w:r>
        <w:t xml:space="preserve"> </w:t>
      </w:r>
      <w:r>
        <w:t xml:space="preserve">Ayrıca fragmantasyon kurallarında McLafferty gibi “diagnostic” rearrangement’ler ürün kalitesi için önemlidir; McLafferty’nin 1959 Anal. Chem makalesi (DOI) temel referanstır.</w:t>
      </w:r>
      <w:r>
        <w:t xml:space="preserve"> </w:t>
      </w:r>
      <w:hyperlink r:id="rId33">
        <w:r>
          <w:rPr>
            <w:rStyle w:val="Hyperlink"/>
          </w:rPr>
          <w:t xml:space="preserve">[12]</w:t>
        </w:r>
      </w:hyperlink>
    </w:p>
    <w:bookmarkEnd w:id="34"/>
    <w:bookmarkStart w:id="36" w:name="X1b3a3ca5cedfd30605a23f1644b533fd56e4f7d"/>
    <w:p>
      <w:pPr>
        <w:pStyle w:val="Heading3"/>
      </w:pPr>
      <w:r>
        <w:t xml:space="preserve">Spectrosınn/SpectroMind’de spesifik boşluklar</w:t>
      </w:r>
    </w:p>
    <w:p>
      <w:pPr>
        <w:pStyle w:val="FirstParagraph"/>
      </w:pPr>
      <w:r>
        <w:rPr>
          <w:b/>
          <w:bCs/>
        </w:rPr>
        <w:t xml:space="preserve">“Spawn python” mimarisi (determinism + güvenlik + Part11 risk)</w:t>
      </w:r>
      <w:r>
        <w:br/>
      </w:r>
      <w:r>
        <w:t xml:space="preserve">Örneğin MSService v2.0; child_process + temp dosya + python script çalıştırıyor (</w:t>
      </w:r>
      <w:r>
        <w:rPr>
          <w:rStyle w:val="VerbatimChar"/>
        </w:rPr>
        <w:t xml:space="preserve">lib/services/v2/MSService.ts</w:t>
      </w:r>
      <w:r>
        <w:t xml:space="preserve"> </w:t>
      </w:r>
      <w:r>
        <w:t xml:space="preserve">~L9+). RDKit parse‑smiles route da child_process ile python çalıştırıyor (</w:t>
      </w:r>
      <w:r>
        <w:rPr>
          <w:rStyle w:val="VerbatimChar"/>
        </w:rPr>
        <w:t xml:space="preserve">app/api/rdkit/parse-smiles/route.ts</w:t>
      </w:r>
      <w:r>
        <w:t xml:space="preserve"> </w:t>
      </w:r>
      <w:r>
        <w:t xml:space="preserve">~L2+). Bu yaklaşım:</w:t>
      </w:r>
      <w:r>
        <w:t xml:space="preserve"> </w:t>
      </w:r>
      <w:r>
        <w:t xml:space="preserve">- ortam drift (python/rdkit sürümleri),</w:t>
      </w:r>
      <w:r>
        <w:br/>
      </w:r>
      <w:r>
        <w:t xml:space="preserve">- deterministik çıktı (seed/rounding),</w:t>
      </w:r>
      <w:r>
        <w:br/>
      </w:r>
      <w:r>
        <w:t xml:space="preserve">- operasyonel izlenebilirlik (hangi binary?),</w:t>
      </w:r>
      <w:r>
        <w:br/>
      </w:r>
      <w:r>
        <w:t xml:space="preserve">- saldırı yüzeyi (script injection)</w:t>
      </w:r>
      <w:r>
        <w:br/>
      </w:r>
      <w:r>
        <w:t xml:space="preserve">nedenleriyle üretim ve özellikle Part11 validasyonu için zayıftır. Part 11 sistem validasyonu ve “trustworthy, reliable” kayıt üretimi bekler.</w:t>
      </w:r>
      <w:r>
        <w:t xml:space="preserve"> </w:t>
      </w:r>
      <w:hyperlink r:id="rId22">
        <w:r>
          <w:rPr>
            <w:rStyle w:val="Hyperlink"/>
          </w:rPr>
          <w:t xml:space="preserve">[13]</w:t>
        </w:r>
      </w:hyperlink>
      <w:r>
        <w:br/>
      </w:r>
      <w:r>
        <w:rPr>
          <w:b/>
          <w:bCs/>
        </w:rPr>
        <w:t xml:space="preserve">Çözüm</w:t>
      </w:r>
      <w:r>
        <w:t xml:space="preserve">: Kalıcı (persistent) FastAPI servisleri (zaten</w:t>
      </w:r>
      <w:r>
        <w:t xml:space="preserve"> </w:t>
      </w:r>
      <w:r>
        <w:rPr>
          <w:rStyle w:val="VerbatimChar"/>
        </w:rPr>
        <w:t xml:space="preserve">services/nmr-engine/main.py</w:t>
      </w:r>
      <w:r>
        <w:t xml:space="preserve"> </w:t>
      </w:r>
      <w:r>
        <w:t xml:space="preserve">FastAPI ile var ~L2) “tek otorite” olmalı; Next.js route’lar yalnız HTTP/gRPC çağrısı yapmalı.</w:t>
      </w:r>
    </w:p>
    <w:p>
      <w:pPr>
        <w:pStyle w:val="BodyText"/>
      </w:pPr>
      <w:r>
        <w:rPr>
          <w:b/>
          <w:bCs/>
        </w:rPr>
        <w:t xml:space="preserve">2D NMR jeneratör eksikliği (HSQC/COSY)</w:t>
      </w:r>
      <w:r>
        <w:br/>
      </w:r>
      <w:r>
        <w:t xml:space="preserve">Repo içinde</w:t>
      </w:r>
      <w:r>
        <w:t xml:space="preserve"> </w:t>
      </w:r>
      <w:r>
        <w:rPr>
          <w:rStyle w:val="VerbatimChar"/>
        </w:rPr>
        <w:t xml:space="preserve">lib/engines/correlations/</w:t>
      </w:r>
      <w:r>
        <w:t xml:space="preserve"> </w:t>
      </w:r>
      <w:r>
        <w:t xml:space="preserve">yalnız</w:t>
      </w:r>
      <w:r>
        <w:t xml:space="preserve"> </w:t>
      </w:r>
      <w:r>
        <w:rPr>
          <w:rStyle w:val="VerbatimChar"/>
        </w:rPr>
        <w:t xml:space="preserve">hmbc.py</w:t>
      </w:r>
      <w:r>
        <w:t xml:space="preserve"> </w:t>
      </w:r>
      <w:r>
        <w:t xml:space="preserve">ve</w:t>
      </w:r>
      <w:r>
        <w:t xml:space="preserve"> </w:t>
      </w:r>
      <w:r>
        <w:rPr>
          <w:rStyle w:val="VerbatimChar"/>
        </w:rPr>
        <w:t xml:space="preserve">noesy.py</w:t>
      </w:r>
      <w:r>
        <w:t xml:space="preserve"> </w:t>
      </w:r>
      <w:r>
        <w:t xml:space="preserve">içeriyor (COSY/HSQC yok). Ayrıca HSQC sadece types seviyesinde var (</w:t>
      </w:r>
      <w:r>
        <w:rPr>
          <w:rStyle w:val="VerbatimChar"/>
        </w:rPr>
        <w:t xml:space="preserve">lib/types/spectrum.ts</w:t>
      </w:r>
      <w:r>
        <w:t xml:space="preserve">). Bu nedenle Mnova/ACD’deki “Predict &amp; Verify HSQC/HMQC” sınıfı workflow’a yaklaşmak mümkün değil. Mnova dokümanı; HSQC/HMQC üzerinde görsel doğrulama iş akışını açıkça tarif eder.</w:t>
      </w:r>
      <w:r>
        <w:t xml:space="preserve"> </w:t>
      </w:r>
      <w:hyperlink r:id="rId26">
        <w:r>
          <w:rPr>
            <w:rStyle w:val="Hyperlink"/>
          </w:rPr>
          <w:t xml:space="preserve">[14]</w:t>
        </w:r>
      </w:hyperlink>
    </w:p>
    <w:p>
      <w:pPr>
        <w:pStyle w:val="BodyText"/>
      </w:pPr>
      <w:r>
        <w:rPr>
          <w:b/>
          <w:bCs/>
        </w:rPr>
        <w:t xml:space="preserve">IR motoru “GF‑matrix” iddiası ile gerçekçi rule‑based hedef arasında uyumsuz</w:t>
      </w:r>
      <w:r>
        <w:br/>
      </w:r>
      <w:r>
        <w:t xml:space="preserve">IR için hedefiniz “band positions/intensities”; rule‑based olarak en gerçekçi yol, fonksiyonel grup korelasyon tabloları + konjugasyon/ring size düzeltmeleridir. Mid‑IR tipik aralık 4000–400 cm⁻¹’dir.</w:t>
      </w:r>
      <w:r>
        <w:t xml:space="preserve"> </w:t>
      </w:r>
      <w:hyperlink r:id="rId35">
        <w:r>
          <w:rPr>
            <w:rStyle w:val="Hyperlink"/>
          </w:rPr>
          <w:t xml:space="preserve">[15]</w:t>
        </w:r>
      </w:hyperlink>
      <w:r>
        <w:t xml:space="preserve"> </w:t>
      </w:r>
      <w:r>
        <w:t xml:space="preserve">Mevcut TS motoru “Wilson GF-matrix” yaklaşımını iddia ediyor; ama production‑grade doğruluk için bu, çok daha büyük bir kapsam (internal coordinate set, force constant library, valid normal‑mode solver). Bu nedenle ya iddia daraltılmalı (korelasyon tablosu motoru), ya da tam spektroskopik hesap motoru yoluna girilmeli (bu da “ML yok”tan bağımsız olarak R&amp;D ağırdır).</w:t>
      </w:r>
    </w:p>
    <w:p>
      <w:pPr>
        <w:pStyle w:val="BodyText"/>
      </w:pPr>
      <w:r>
        <w:rPr>
          <w:b/>
          <w:bCs/>
        </w:rPr>
        <w:t xml:space="preserve">Part 11 / RBAC / audit trail gerçek implementasyon yok</w:t>
      </w:r>
      <w:r>
        <w:br/>
      </w:r>
      <w:r>
        <w:t xml:space="preserve">Kod ve dokümanlarda Part11/RBAC/audit “ürün gereksinimi” olarak geçse de, zip içeriğinde Part‑11’e uygun append‑only audit store, e‑signature workflow, izin matrisi gibi bileşenler sistematik görünmüyor. Part 11’de audit trail için “secure, computer-generated, time-stamped” kayıt beklenir ve imza‑kayıt bağlama zorunludur.</w:t>
      </w:r>
      <w:r>
        <w:t xml:space="preserve"> </w:t>
      </w:r>
      <w:hyperlink r:id="rId22">
        <w:r>
          <w:rPr>
            <w:rStyle w:val="Hyperlink"/>
          </w:rPr>
          <w:t xml:space="preserve">[16]</w:t>
        </w:r>
      </w:hyperlink>
    </w:p>
    <w:bookmarkEnd w:id="36"/>
    <w:bookmarkEnd w:id="37"/>
    <w:bookmarkStart w:id="59" w:name="X0f3540692b1eb04cc69aa1646587b1d619da6c9"/>
    <w:p>
      <w:pPr>
        <w:pStyle w:val="Heading2"/>
      </w:pPr>
      <w:r>
        <w:t xml:space="preserve">Teknik bazında deterministik kurallar, fizik/deney kuralları, eşikler ve DSL örnekleri</w:t>
      </w:r>
    </w:p>
    <w:p>
      <w:pPr>
        <w:pStyle w:val="FirstParagraph"/>
      </w:pPr>
      <w:r>
        <w:t xml:space="preserve">Bu bölüm “ML yok” kısıtı altında, her teknik için üretim‑seviyesi gerekli kural kategorilerini ve</w:t>
      </w:r>
      <w:r>
        <w:t xml:space="preserve"> </w:t>
      </w:r>
      <w:r>
        <w:rPr>
          <w:b/>
          <w:bCs/>
        </w:rPr>
        <w:t xml:space="preserve">sayısal eşikleri</w:t>
      </w:r>
      <w:r>
        <w:t xml:space="preserve"> </w:t>
      </w:r>
      <w:r>
        <w:t xml:space="preserve">önerir. Eşikler iki katmanda ele alınır:</w:t>
      </w:r>
      <w:r>
        <w:br/>
      </w:r>
      <w:r>
        <w:t xml:space="preserve">-</w:t>
      </w:r>
      <w:r>
        <w:t xml:space="preserve"> </w:t>
      </w:r>
      <w:r>
        <w:rPr>
          <w:b/>
          <w:bCs/>
        </w:rPr>
        <w:t xml:space="preserve">Plausibility (fiziksel/kimyasal mümkünlük)</w:t>
      </w:r>
      <w:r>
        <w:t xml:space="preserve">: Structure‑only doğrulama; daha geniş tolerans.</w:t>
      </w:r>
      <w:r>
        <w:br/>
      </w:r>
      <w:r>
        <w:t xml:space="preserve">-</w:t>
      </w:r>
      <w:r>
        <w:t xml:space="preserve"> </w:t>
      </w:r>
      <w:r>
        <w:rPr>
          <w:b/>
          <w:bCs/>
        </w:rPr>
        <w:t xml:space="preserve">Agreement (ölçüm varsa uyum)</w:t>
      </w:r>
      <w:r>
        <w:t xml:space="preserve">: Measured vs predicted kıyas; daha sıkı tolerans (ve koşul bağımlı).</w:t>
      </w:r>
    </w:p>
    <w:bookmarkStart w:id="41" w:name="h-1d-nmr"/>
    <w:p>
      <w:pPr>
        <w:pStyle w:val="Heading3"/>
      </w:pPr>
      <w:r>
        <w:t xml:space="preserve">¹H 1D NMR</w:t>
      </w:r>
    </w:p>
    <w:p>
      <w:pPr>
        <w:pStyle w:val="FirstParagraph"/>
      </w:pPr>
      <w:r>
        <w:rPr>
          <w:b/>
          <w:bCs/>
        </w:rPr>
        <w:t xml:space="preserve">Deterministik kimyasal kurallar</w:t>
      </w:r>
      <w:r>
        <w:t xml:space="preserve"> </w:t>
      </w:r>
      <w:r>
        <w:t xml:space="preserve">- Atom‑çevresi temelli kimyasal kayma tahmini (HOSE/Increment): Mnova NMRPredict; HOSE + increments + (opsiyonel) ML ensemble yaklaşımını açıkça belirtir; sizde ML kapalı olduğundan HOSE+increment hattı gereklidir.</w:t>
      </w:r>
      <w:r>
        <w:t xml:space="preserve"> </w:t>
      </w:r>
      <w:hyperlink r:id="rId38">
        <w:r>
          <w:rPr>
            <w:rStyle w:val="Hyperlink"/>
          </w:rPr>
          <w:t xml:space="preserve">[17]</w:t>
        </w:r>
      </w:hyperlink>
      <w:r>
        <w:br/>
      </w:r>
      <w:r>
        <w:t xml:space="preserve">- Fonksiyonel grup etkileri: aromatik ring current, karbonil deshielding, heteroatom α/β etkisi, konjugasyon.</w:t>
      </w:r>
      <w:r>
        <w:br/>
      </w:r>
      <w:r>
        <w:t xml:space="preserve">- Simetri/eşdeğerlik: eşdeğer protonlar tek sinyal üretmelidir (ya da integral/multiplicity modeliyle).</w:t>
      </w:r>
    </w:p>
    <w:p>
      <w:pPr>
        <w:pStyle w:val="BodyText"/>
      </w:pPr>
      <w:r>
        <w:rPr>
          <w:b/>
          <w:bCs/>
        </w:rPr>
        <w:t xml:space="preserve">Fizik/deney kuralları</w:t>
      </w:r>
      <w:r>
        <w:t xml:space="preserve"> </w:t>
      </w:r>
      <w:r>
        <w:t xml:space="preserve">- Referans: ppm ölçeği (TMS 0.00) ve solvent rezidüleri (CDCl₃ 7.26 vb.) “impurity catalog” ile outlier ayıklanmalı.</w:t>
      </w:r>
      <w:r>
        <w:br/>
      </w:r>
      <w:r>
        <w:t xml:space="preserve">- Değişebilir protonlar (OH/NH/COOH): hızla exchange → broad / bazen görünmez; integral check “non‑exchangeable H” üzerinde yapılmalı.</w:t>
      </w:r>
      <w:r>
        <w:br/>
      </w:r>
      <w:r>
        <w:t xml:space="preserve">- Çizgi genişliği: field/SNR/processing’e bağlı; simülasyonda line width parametreleştirilmeli.</w:t>
      </w:r>
    </w:p>
    <w:p>
      <w:pPr>
        <w:pStyle w:val="BodyText"/>
      </w:pPr>
      <w:r>
        <w:rPr>
          <w:b/>
          <w:bCs/>
        </w:rPr>
        <w:t xml:space="preserve">Edge‑case’ler</w:t>
      </w:r>
      <w:r>
        <w:t xml:space="preserve"> </w:t>
      </w:r>
      <w:r>
        <w:t xml:space="preserve">- Diastereotopik protonlar (CH₂ protons) → ayrı sinyal; basit eşdeğerlik sınıfları yeterli değil.</w:t>
      </w:r>
      <w:r>
        <w:br/>
      </w:r>
      <w:r>
        <w:t xml:space="preserve">- Second‑order (AB, ABX) bölgeleri: özellikle aromatik ve alkenik yakın frekanslarda. nmrdb gibi tarayıcı tabanlı simülatörler bile AB/ABX gibi second‑order etkileri belirtir; bu seviyeye yaklaşmak için “spin system” yaklaşımı gerekir.</w:t>
      </w:r>
      <w:r>
        <w:t xml:space="preserve"> </w:t>
      </w:r>
      <w:hyperlink r:id="rId39">
        <w:r>
          <w:rPr>
            <w:rStyle w:val="Hyperlink"/>
          </w:rPr>
          <w:t xml:space="preserve">[18]</w:t>
        </w:r>
      </w:hyperlink>
      <w:r>
        <w:br/>
      </w:r>
      <w:r>
        <w:t xml:space="preserve">- Tuz/iyonik protomer: pH ve counterion kimyasal kaymayı etkiler (standardizasyon politikasına bağlanmalı).</w:t>
      </w:r>
    </w:p>
    <w:p>
      <w:pPr>
        <w:pStyle w:val="BodyText"/>
      </w:pPr>
      <w:r>
        <w:rPr>
          <w:b/>
          <w:bCs/>
        </w:rPr>
        <w:t xml:space="preserve">Önerilen sayısal eşikler</w:t>
      </w:r>
      <w:r>
        <w:t xml:space="preserve"> </w:t>
      </w:r>
      <w:r>
        <w:t xml:space="preserve">- Plausibility ppm pencereleri (bölgesel): alifatik 0.3–3.0; heteroatom‑bağlı 2.5–5.0; vinilik 4.5–7.0; aromatik 6.0–9.0; aldehit 9–10.5; asit/phenol 9–14 (broad). (Bu pencereler Spectrotester seed priors’la uyumlu ama genişletilmiş/gevşetilmiş olmalı.)</w:t>
      </w:r>
      <w:r>
        <w:br/>
      </w:r>
      <w:r>
        <w:t xml:space="preserve">- Agreement toleransı (measured vs predicted): ¹H için başlangıç:</w:t>
      </w:r>
      <w:r>
        <w:t xml:space="preserve"> </w:t>
      </w:r>
      <w:r>
        <w:rPr>
          <w:b/>
          <w:bCs/>
        </w:rPr>
        <w:t xml:space="preserve">±0.15–0.30 ppm</w:t>
      </w:r>
      <w:r>
        <w:t xml:space="preserve"> </w:t>
      </w:r>
      <w:r>
        <w:t xml:space="preserve">(ürün kalibrasyonuna göre sıkılaştırılır). NMR tahmin metotlarının tarihsel hata tabloları; yöntemlere göre error aralığının değiştiğini gösterir (tolerans kalibrasyonu dataset ile yapılmalı).</w:t>
      </w:r>
      <w:r>
        <w:t xml:space="preserve"> </w:t>
      </w:r>
      <w:hyperlink r:id="rId40">
        <w:r>
          <w:rPr>
            <w:rStyle w:val="Hyperlink"/>
          </w:rPr>
          <w:t xml:space="preserve">[19]</w:t>
        </w:r>
      </w:hyperlink>
    </w:p>
    <w:p>
      <w:pPr>
        <w:pStyle w:val="BodyText"/>
      </w:pPr>
      <w:r>
        <w:rPr>
          <w:b/>
          <w:bCs/>
        </w:rPr>
        <w:t xml:space="preserve">Örnek DSL kuralı (tahmin)</w:t>
      </w:r>
    </w:p>
    <w:p>
      <w:pPr>
        <w:pStyle w:val="SourceCode"/>
      </w:pPr>
      <w:r>
        <w:rPr>
          <w:rStyle w:val="VerbatimChar"/>
        </w:rPr>
        <w:t xml:space="preserve">{</w:t>
      </w:r>
      <w:r>
        <w:br/>
      </w:r>
      <w:r>
        <w:rPr>
          <w:rStyle w:val="VerbatimChar"/>
        </w:rPr>
        <w:t xml:space="preserve">  "id": "NMR1H_AROMATIC_H_SHIFT",</w:t>
      </w:r>
      <w:r>
        <w:br/>
      </w:r>
      <w:r>
        <w:rPr>
          <w:rStyle w:val="VerbatimChar"/>
        </w:rPr>
        <w:t xml:space="preserve">  "technique": "NMR_1H",</w:t>
      </w:r>
      <w:r>
        <w:br/>
      </w:r>
      <w:r>
        <w:rPr>
          <w:rStyle w:val="VerbatimChar"/>
        </w:rPr>
        <w:t xml:space="preserve">  "when": {</w:t>
      </w:r>
      <w:r>
        <w:br/>
      </w:r>
      <w:r>
        <w:rPr>
          <w:rStyle w:val="VerbatimChar"/>
        </w:rPr>
        <w:t xml:space="preserve">    "atom_query": "H_on_aromatic_carbon",</w:t>
      </w:r>
      <w:r>
        <w:br/>
      </w:r>
      <w:r>
        <w:rPr>
          <w:rStyle w:val="VerbatimChar"/>
        </w:rPr>
        <w:t xml:space="preserve">    "constraints": { "solvent": ["CDCl3","DMSO-d6","CD3OD"] }</w:t>
      </w:r>
      <w:r>
        <w:br/>
      </w:r>
      <w:r>
        <w:rPr>
          <w:rStyle w:val="VerbatimChar"/>
        </w:rPr>
        <w:t xml:space="preserve">  },</w:t>
      </w:r>
      <w:r>
        <w:br/>
      </w:r>
      <w:r>
        <w:rPr>
          <w:rStyle w:val="VerbatimChar"/>
        </w:rPr>
        <w:t xml:space="preserve">  "then": {</w:t>
      </w:r>
      <w:r>
        <w:br/>
      </w:r>
      <w:r>
        <w:rPr>
          <w:rStyle w:val="VerbatimChar"/>
        </w:rPr>
        <w:t xml:space="preserve">    "emit_peak": {</w:t>
      </w:r>
      <w:r>
        <w:br/>
      </w:r>
      <w:r>
        <w:rPr>
          <w:rStyle w:val="VerbatimChar"/>
        </w:rPr>
        <w:t xml:space="preserve">      "position_ppm": {"mean": 7.10, "sigma": 0.35, "clip": [6.0, 9.0]},</w:t>
      </w:r>
      <w:r>
        <w:br/>
      </w:r>
      <w:r>
        <w:rPr>
          <w:rStyle w:val="VerbatimChar"/>
        </w:rPr>
        <w:t xml:space="preserve">      "integral": {"by_equivalence_class": true},</w:t>
      </w:r>
      <w:r>
        <w:br/>
      </w:r>
      <w:r>
        <w:rPr>
          <w:rStyle w:val="VerbatimChar"/>
        </w:rPr>
        <w:t xml:space="preserve">      "multiplicity": {"derive_from": "J_NETWORK"},</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"evidence": ["aromatic_ring_current", "substituent_EWG_EDG_score"],</w:t>
      </w:r>
      <w:r>
        <w:br/>
      </w:r>
      <w:r>
        <w:rPr>
          <w:rStyle w:val="VerbatimChar"/>
        </w:rPr>
        <w:t xml:space="preserve">  "severity": "N/A"</w:t>
      </w:r>
      <w:r>
        <w:br/>
      </w:r>
      <w:r>
        <w:rPr>
          <w:rStyle w:val="VerbatimChar"/>
        </w:rPr>
        <w:t xml:space="preserve">}</w:t>
      </w:r>
    </w:p>
    <w:bookmarkEnd w:id="41"/>
    <w:bookmarkStart w:id="42" w:name="c-1d-nmr"/>
    <w:p>
      <w:pPr>
        <w:pStyle w:val="Heading3"/>
      </w:pPr>
      <w:r>
        <w:t xml:space="preserve">¹³C 1D NMR</w:t>
      </w:r>
    </w:p>
    <w:p>
      <w:pPr>
        <w:pStyle w:val="FirstParagraph"/>
      </w:pPr>
      <w:r>
        <w:rPr>
          <w:b/>
          <w:bCs/>
        </w:rPr>
        <w:t xml:space="preserve">Deterministik kimyasal kurallar</w:t>
      </w:r>
      <w:r>
        <w:t xml:space="preserve"> </w:t>
      </w:r>
      <w:r>
        <w:t xml:space="preserve">- Atom çevresi (sp³/sp², heteroatom bağlılık, aromatiklik, karbonil sınıfı). RDKit aromatiklik algısı kural tabanlıdır; sp²/aromatik sınıflandırma bununla stabilize olur.</w:t>
      </w:r>
      <w:r>
        <w:t xml:space="preserve"> </w:t>
      </w:r>
      <w:hyperlink r:id="rId24">
        <w:r>
          <w:rPr>
            <w:rStyle w:val="Hyperlink"/>
          </w:rPr>
          <w:t xml:space="preserve">[3]</w:t>
        </w:r>
      </w:hyperlink>
      <w:r>
        <w:br/>
      </w:r>
      <w:r>
        <w:t xml:space="preserve">- Karbonil sınıfları: ester/amide (160–185), aldehit/keton (190–220) gibi priors.</w:t>
      </w:r>
      <w:r>
        <w:br/>
      </w:r>
      <w:r>
        <w:t xml:space="preserve">- Simetri: eşdeğer karbonlar tek sinyale düşürülmeli (eşdeğerlik sınıfları).</w:t>
      </w:r>
    </w:p>
    <w:p>
      <w:pPr>
        <w:pStyle w:val="BodyText"/>
      </w:pPr>
      <w:r>
        <w:rPr>
          <w:b/>
          <w:bCs/>
        </w:rPr>
        <w:t xml:space="preserve">Fizik/deney kuralları</w:t>
      </w:r>
      <w:r>
        <w:t xml:space="preserve"> </w:t>
      </w:r>
      <w:r>
        <w:t xml:space="preserve">- Quaternary karbonlar (özellikle aromatik quaternary, karbonil) SNR/delay/NOE nedeniyle zayıf olabilir; “eksik sinyal” her zaman yapı hatası değildir.</w:t>
      </w:r>
      <w:r>
        <w:br/>
      </w:r>
      <w:r>
        <w:t xml:space="preserve">- DEPT/APT simülasyonu opsiyonel ama ürünleşme için çok değerlidir (ACD/Mnova benzeri iş akışlarında).</w:t>
      </w:r>
    </w:p>
    <w:p>
      <w:pPr>
        <w:pStyle w:val="BodyText"/>
      </w:pPr>
      <w:r>
        <w:rPr>
          <w:b/>
          <w:bCs/>
        </w:rPr>
        <w:t xml:space="preserve">Edge‑case’ler</w:t>
      </w:r>
      <w:r>
        <w:t xml:space="preserve"> </w:t>
      </w:r>
      <w:r>
        <w:t xml:space="preserve">- Aromatik yoğun overlap: 13C’de 120–140 ppm aralığında sinyal bin’leri sık.</w:t>
      </w:r>
      <w:r>
        <w:br/>
      </w:r>
      <w:r>
        <w:t xml:space="preserve">- Büyük, yüksek simetrili moleküller: “C sayısı” ile “pik sayısı” birebir beklenmemeli.</w:t>
      </w:r>
    </w:p>
    <w:p>
      <w:pPr>
        <w:pStyle w:val="BodyText"/>
      </w:pPr>
      <w:r>
        <w:rPr>
          <w:b/>
          <w:bCs/>
        </w:rPr>
        <w:t xml:space="preserve">Önerilen eşikler</w:t>
      </w:r>
      <w:r>
        <w:t xml:space="preserve"> </w:t>
      </w:r>
      <w:r>
        <w:t xml:space="preserve">- Plausibility: carbonyl expected&gt;0 iken 13C&gt;160 hiç yoksa WARN/FAIL (context’e bağlı).</w:t>
      </w:r>
      <w:r>
        <w:br/>
      </w:r>
      <w:r>
        <w:t xml:space="preserve">- Agreement: ¹³C toleransı başlangıç</w:t>
      </w:r>
      <w:r>
        <w:t xml:space="preserve"> </w:t>
      </w:r>
      <w:r>
        <w:rPr>
          <w:b/>
          <w:bCs/>
        </w:rPr>
        <w:t xml:space="preserve">±1.5–3.0 ppm</w:t>
      </w:r>
      <w:r>
        <w:t xml:space="preserve"> </w:t>
      </w:r>
      <w:r>
        <w:t xml:space="preserve">(dataset kalibrasyonu ile).</w:t>
      </w:r>
      <w:r>
        <w:t xml:space="preserve"> </w:t>
      </w:r>
      <w:hyperlink r:id="rId40">
        <w:r>
          <w:rPr>
            <w:rStyle w:val="Hyperlink"/>
          </w:rPr>
          <w:t xml:space="preserve">[19]</w:t>
        </w:r>
      </w:hyperlink>
    </w:p>
    <w:p>
      <w:pPr>
        <w:pStyle w:val="BodyText"/>
      </w:pPr>
      <w:r>
        <w:rPr>
          <w:b/>
          <w:bCs/>
        </w:rPr>
        <w:t xml:space="preserve">Örnek DSL kuralı (teyit)</w:t>
      </w:r>
    </w:p>
    <w:p>
      <w:pPr>
        <w:pStyle w:val="SourceCode"/>
      </w:pPr>
      <w:r>
        <w:rPr>
          <w:rStyle w:val="VerbatimChar"/>
        </w:rPr>
        <w:t xml:space="preserve">{</w:t>
      </w:r>
      <w:r>
        <w:br/>
      </w:r>
      <w:r>
        <w:rPr>
          <w:rStyle w:val="VerbatimChar"/>
        </w:rPr>
        <w:t xml:space="preserve">  "id": "C13_CARBONYL_PRESENT_IF_FUNCTIONAL_GROUP",</w:t>
      </w:r>
      <w:r>
        <w:br/>
      </w:r>
      <w:r>
        <w:rPr>
          <w:rStyle w:val="VerbatimChar"/>
        </w:rPr>
        <w:t xml:space="preserve">  "technique": "NMR_13C_VERIFY",</w:t>
      </w:r>
      <w:r>
        <w:br/>
      </w:r>
      <w:r>
        <w:rPr>
          <w:rStyle w:val="VerbatimChar"/>
        </w:rPr>
        <w:t xml:space="preserve">  "when": { "fg": ["ketone","aldehyde","ester","amide"] },</w:t>
      </w:r>
      <w:r>
        <w:br/>
      </w:r>
      <w:r>
        <w:rPr>
          <w:rStyle w:val="VerbatimChar"/>
        </w:rPr>
        <w:t xml:space="preserve">  "then": {</w:t>
      </w:r>
      <w:r>
        <w:br/>
      </w:r>
      <w:r>
        <w:rPr>
          <w:rStyle w:val="VerbatimChar"/>
        </w:rPr>
        <w:t xml:space="preserve">    "assert": {</w:t>
      </w:r>
      <w:r>
        <w:br/>
      </w:r>
      <w:r>
        <w:rPr>
          <w:rStyle w:val="VerbatimChar"/>
        </w:rPr>
        <w:t xml:space="preserve">      "condition": "count_peaks_in_range(160, 220) &gt;= expected_carbonyl_count_min()",</w:t>
      </w:r>
      <w:r>
        <w:br/>
      </w:r>
      <w:r>
        <w:rPr>
          <w:rStyle w:val="VerbatimChar"/>
        </w:rPr>
        <w:t xml:space="preserve">      "on_fail": { "severity": "ERROR", "code": "QC_CARBONYL_MISSING" }</w:t>
      </w:r>
      <w:r>
        <w:br/>
      </w:r>
      <w:r>
        <w:rPr>
          <w:rStyle w:val="VerbatimChar"/>
        </w:rPr>
        <w:t xml:space="preserve">    }</w:t>
      </w:r>
      <w:r>
        <w:br/>
      </w:r>
      <w:r>
        <w:rPr>
          <w:rStyle w:val="VerbatimChar"/>
        </w:rPr>
        <w:t xml:space="preserve">  },</w:t>
      </w:r>
      <w:r>
        <w:br/>
      </w:r>
      <w:r>
        <w:rPr>
          <w:rStyle w:val="VerbatimChar"/>
        </w:rPr>
        <w:t xml:space="preserve">  "numeric_defaults": { "range_ppm": [160, 220], "tolerance_ppm": 0.5 }</w:t>
      </w:r>
      <w:r>
        <w:br/>
      </w:r>
      <w:r>
        <w:rPr>
          <w:rStyle w:val="VerbatimChar"/>
        </w:rPr>
        <w:t xml:space="preserve">}</w:t>
      </w:r>
    </w:p>
    <w:bookmarkEnd w:id="42"/>
    <w:bookmarkStart w:id="45" w:name="hsqc"/>
    <w:p>
      <w:pPr>
        <w:pStyle w:val="Heading3"/>
      </w:pPr>
      <w:r>
        <w:t xml:space="preserve">HSQC</w:t>
      </w:r>
    </w:p>
    <w:p>
      <w:pPr>
        <w:pStyle w:val="FirstParagraph"/>
      </w:pPr>
      <w:r>
        <w:rPr>
          <w:b/>
          <w:bCs/>
        </w:rPr>
        <w:t xml:space="preserve">Temel prensip (deterministik fizik)</w:t>
      </w:r>
      <w:r>
        <w:t xml:space="preserve"> </w:t>
      </w:r>
      <w:r>
        <w:t xml:space="preserve">HSQC; Bodenhausen ve Ruben tarafından tanımlanan heteronükleer korelasyon deney ailesinin temel örneklerindendir ve bir‑bağ (¹JCH) korelasyonlarını hedefler; HSQC’de quaternary karbonların çıkar çıkmaz görünmemesi fiziksel beklentidir.</w:t>
      </w:r>
      <w:r>
        <w:t xml:space="preserve"> </w:t>
      </w:r>
      <w:hyperlink r:id="rId43">
        <w:r>
          <w:rPr>
            <w:rStyle w:val="Hyperlink"/>
          </w:rPr>
          <w:t xml:space="preserve">[20]</w:t>
        </w:r>
      </w:hyperlink>
    </w:p>
    <w:p>
      <w:pPr>
        <w:pStyle w:val="BodyText"/>
      </w:pPr>
      <w:r>
        <w:rPr>
          <w:b/>
          <w:bCs/>
        </w:rPr>
        <w:t xml:space="preserve">Gerekli kurallar</w:t>
      </w:r>
      <w:r>
        <w:t xml:space="preserve"> </w:t>
      </w:r>
      <w:r>
        <w:t xml:space="preserve">-</w:t>
      </w:r>
      <w:r>
        <w:t xml:space="preserve"> </w:t>
      </w:r>
      <w:r>
        <w:rPr>
          <w:b/>
          <w:bCs/>
        </w:rPr>
        <w:t xml:space="preserve">One‑bond kısıtı</w:t>
      </w:r>
      <w:r>
        <w:t xml:space="preserve">: HSQC yalnız “H‑attached carbon” korelasyonu üretir.</w:t>
      </w:r>
      <w:r>
        <w:br/>
      </w:r>
      <w:r>
        <w:t xml:space="preserve">- HSQC‑DEPT editing opsiyonu (ACD: HSQC‑DEPT ve long‑range HMBC ürün özelliği olarak anılır).</w:t>
      </w:r>
      <w:r>
        <w:t xml:space="preserve"> </w:t>
      </w:r>
      <w:hyperlink r:id="rId44">
        <w:r>
          <w:rPr>
            <w:rStyle w:val="Hyperlink"/>
          </w:rPr>
          <w:t xml:space="preserve">[21]</w:t>
        </w:r>
      </w:hyperlink>
      <w:r>
        <w:br/>
      </w:r>
      <w:r>
        <w:t xml:space="preserve">- Aliasing/phase/processing parametreleri: measured veriyle verify edilecekse opsiyonel.</w:t>
      </w:r>
    </w:p>
    <w:p>
      <w:pPr>
        <w:pStyle w:val="BodyText"/>
      </w:pPr>
      <w:r>
        <w:rPr>
          <w:b/>
          <w:bCs/>
        </w:rPr>
        <w:t xml:space="preserve">Edge‑case</w:t>
      </w:r>
      <w:r>
        <w:t xml:space="preserve"> </w:t>
      </w:r>
      <w:r>
        <w:t xml:space="preserve">- OH/NH gibi labile protonlar genellikle HSQC’de hedef değildir (çoğu workflow’da ignore).</w:t>
      </w:r>
      <w:r>
        <w:br/>
      </w:r>
      <w:r>
        <w:t xml:space="preserve">- Overlap: tek noktada çoklu correlation; yoğunluk modelleme gerekir.</w:t>
      </w:r>
    </w:p>
    <w:p>
      <w:pPr>
        <w:pStyle w:val="BodyText"/>
      </w:pPr>
      <w:r>
        <w:rPr>
          <w:b/>
          <w:bCs/>
        </w:rPr>
        <w:t xml:space="preserve">Eşikler</w:t>
      </w:r>
      <w:r>
        <w:t xml:space="preserve"> </w:t>
      </w:r>
      <w:r>
        <w:t xml:space="preserve">- Coverage:</w:t>
      </w:r>
      <w:r>
        <w:t xml:space="preserve"> </w:t>
      </w:r>
      <w:r>
        <w:rPr>
          <w:rStyle w:val="VerbatimChar"/>
        </w:rPr>
        <w:t xml:space="preserve">HSQC_coverage = matched_pairs / expected_protonated_carbons</w:t>
      </w:r>
      <w:r>
        <w:br/>
      </w:r>
      <w:r>
        <w:t xml:space="preserve">- PASS: ≥0.80</w:t>
      </w:r>
      <w:r>
        <w:br/>
      </w:r>
      <w:r>
        <w:t xml:space="preserve">- WARN: 0.50–0.80</w:t>
      </w:r>
      <w:r>
        <w:br/>
      </w:r>
      <w:r>
        <w:t xml:space="preserve">- FAIL: &lt;0.50</w:t>
      </w:r>
      <w:r>
        <w:br/>
      </w:r>
      <w:r>
        <w:t xml:space="preserve">- Matching toleransı (measured veride): H ±0.03–0.05 ppm; C ±0.5–1.0 ppm (field/processing’e göre).</w:t>
      </w:r>
    </w:p>
    <w:p>
      <w:pPr>
        <w:pStyle w:val="BodyText"/>
      </w:pPr>
      <w:r>
        <w:rPr>
          <w:b/>
          <w:bCs/>
        </w:rPr>
        <w:t xml:space="preserve">Örnek DSL (jenerasyon)</w:t>
      </w:r>
    </w:p>
    <w:p>
      <w:pPr>
        <w:pStyle w:val="SourceCode"/>
      </w:pPr>
      <w:r>
        <w:rPr>
          <w:rStyle w:val="VerbatimChar"/>
        </w:rPr>
        <w:t xml:space="preserve">{</w:t>
      </w:r>
      <w:r>
        <w:br/>
      </w:r>
      <w:r>
        <w:rPr>
          <w:rStyle w:val="VerbatimChar"/>
        </w:rPr>
        <w:t xml:space="preserve">  "id": "HSQC_GENERATE_1JCH",</w:t>
      </w:r>
      <w:r>
        <w:br/>
      </w:r>
      <w:r>
        <w:rPr>
          <w:rStyle w:val="VerbatimChar"/>
        </w:rPr>
        <w:t xml:space="preserve">  "technique": "HSQC",</w:t>
      </w:r>
      <w:r>
        <w:br/>
      </w:r>
      <w:r>
        <w:rPr>
          <w:rStyle w:val="VerbatimChar"/>
        </w:rPr>
        <w:t xml:space="preserve">  "when": { "has_attached_proton": true },</w:t>
      </w:r>
      <w:r>
        <w:br/>
      </w:r>
      <w:r>
        <w:rPr>
          <w:rStyle w:val="VerbatimChar"/>
        </w:rPr>
        <w:t xml:space="preserve">  "then": {</w:t>
      </w:r>
      <w:r>
        <w:br/>
      </w:r>
      <w:r>
        <w:rPr>
          <w:rStyle w:val="VerbatimChar"/>
        </w:rPr>
        <w:t xml:space="preserve">    "emit_correlation": {</w:t>
      </w:r>
      <w:r>
        <w:br/>
      </w:r>
      <w:r>
        <w:rPr>
          <w:rStyle w:val="VerbatimChar"/>
        </w:rPr>
        <w:t xml:space="preserve">      "h_ppm": "predicted_1H(atom.H)",</w:t>
      </w:r>
      <w:r>
        <w:br/>
      </w:r>
      <w:r>
        <w:rPr>
          <w:rStyle w:val="VerbatimChar"/>
        </w:rPr>
        <w:t xml:space="preserve">      "c_ppm": "predicted_13C(atom.C)",</w:t>
      </w:r>
      <w:r>
        <w:br/>
      </w:r>
      <w:r>
        <w:rPr>
          <w:rStyle w:val="VerbatimChar"/>
        </w:rPr>
        <w:t xml:space="preserve">      "intensity": "f(1JCH, atom_type, relaxation_proxy)",</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w:t>
      </w:r>
    </w:p>
    <w:bookmarkEnd w:id="45"/>
    <w:bookmarkStart w:id="47" w:name="hmbc"/>
    <w:p>
      <w:pPr>
        <w:pStyle w:val="Heading3"/>
      </w:pPr>
      <w:r>
        <w:t xml:space="preserve">HMBC</w:t>
      </w:r>
    </w:p>
    <w:p>
      <w:pPr>
        <w:pStyle w:val="FirstParagraph"/>
      </w:pPr>
      <w:r>
        <w:rPr>
          <w:b/>
          <w:bCs/>
        </w:rPr>
        <w:t xml:space="preserve">Temel prensip</w:t>
      </w:r>
      <w:r>
        <w:t xml:space="preserve"> </w:t>
      </w:r>
      <w:r>
        <w:t xml:space="preserve">IUPAC; HMBC’yi 2–3 bağ (konjuge sistemlerde bazen 4 bağ) uzaklıktaki ¹H–¹³C korelasyonlarını veren 2D NMR olarak tanımlar ve bir‑bağ korelasyonlar bastırılır.</w:t>
      </w:r>
      <w:r>
        <w:t xml:space="preserve"> </w:t>
      </w:r>
      <w:hyperlink r:id="rId28">
        <w:r>
          <w:rPr>
            <w:rStyle w:val="Hyperlink"/>
          </w:rPr>
          <w:t xml:space="preserve">[22]</w:t>
        </w:r>
      </w:hyperlink>
      <w:r>
        <w:t xml:space="preserve"> </w:t>
      </w:r>
      <w:r>
        <w:t xml:space="preserve">HMBC’nin 1986’da Bax ve Summers ile geliştirildiğine dair literatür özetleri de bulunur.</w:t>
      </w:r>
      <w:r>
        <w:t xml:space="preserve"> </w:t>
      </w:r>
      <w:hyperlink r:id="rId46">
        <w:r>
          <w:rPr>
            <w:rStyle w:val="Hyperlink"/>
          </w:rPr>
          <w:t xml:space="preserve">[23]</w:t>
        </w:r>
      </w:hyperlink>
    </w:p>
    <w:p>
      <w:pPr>
        <w:pStyle w:val="BodyText"/>
      </w:pPr>
      <w:r>
        <w:rPr>
          <w:b/>
          <w:bCs/>
        </w:rPr>
        <w:t xml:space="preserve">Deterministik kurallar</w:t>
      </w:r>
      <w:r>
        <w:t xml:space="preserve"> </w:t>
      </w:r>
      <w:r>
        <w:t xml:space="preserve">- 2J/3J (opsiyonel 4J conjugated) topolojik mesafe hesapla: RDKit graph shortest path ile C–H arası bond distance.</w:t>
      </w:r>
      <w:r>
        <w:br/>
      </w:r>
      <w:r>
        <w:t xml:space="preserve">- One‑bond suppression: 1JCH korelasyonları HMBC listesine girmez.</w:t>
      </w:r>
      <w:r>
        <w:br/>
      </w:r>
      <w:r>
        <w:t xml:space="preserve">- Karbonil gating: karbonil varsa HMBC’de “alpha‑H path” beklenebilir (ama koşula bağlı).</w:t>
      </w:r>
    </w:p>
    <w:p>
      <w:pPr>
        <w:pStyle w:val="BodyText"/>
      </w:pPr>
      <w:r>
        <w:rPr>
          <w:b/>
          <w:bCs/>
        </w:rPr>
        <w:t xml:space="preserve">Edge‑case</w:t>
      </w:r>
      <w:r>
        <w:t xml:space="preserve"> </w:t>
      </w:r>
      <w:r>
        <w:t xml:space="preserve">- Proton olmayan karbonlar: HMBC’de hedef olabilir (quaternary carbonyl).</w:t>
      </w:r>
      <w:r>
        <w:br/>
      </w:r>
      <w:r>
        <w:t xml:space="preserve">- Konjugasyon: 4J olasılığını artırır (opsiyonel).</w:t>
      </w:r>
    </w:p>
    <w:p>
      <w:pPr>
        <w:pStyle w:val="BodyText"/>
      </w:pPr>
      <w:r>
        <w:rPr>
          <w:b/>
          <w:bCs/>
        </w:rPr>
        <w:t xml:space="preserve">Eşikler</w:t>
      </w:r>
      <w:r>
        <w:t xml:space="preserve"> </w:t>
      </w:r>
      <w:r>
        <w:t xml:space="preserve">- Coverage:</w:t>
      </w:r>
      <w:r>
        <w:t xml:space="preserve"> </w:t>
      </w:r>
      <w:r>
        <w:rPr>
          <w:rStyle w:val="VerbatimChar"/>
        </w:rPr>
        <w:t xml:space="preserve">HMBC_cov = observed_long_range / expected_long_range_paths</w:t>
      </w:r>
      <w:r>
        <w:br/>
      </w:r>
      <w:r>
        <w:t xml:space="preserve">- “Expected_long_range_paths” çok büyüyebilir; bu yüzden “top‑K strongest” yaklaşımı gerekir (ör. her H için en fazla N karbon).</w:t>
      </w:r>
    </w:p>
    <w:p>
      <w:pPr>
        <w:pStyle w:val="BodyText"/>
      </w:pPr>
      <w:r>
        <w:rPr>
          <w:b/>
          <w:bCs/>
        </w:rPr>
        <w:t xml:space="preserve">Örnek pseudocode (expected HMBC)</w:t>
      </w:r>
    </w:p>
    <w:p>
      <w:pPr>
        <w:pStyle w:val="SourceCode"/>
      </w:pPr>
      <w:r>
        <w:rPr>
          <w:rStyle w:val="VerbatimChar"/>
        </w:rPr>
        <w:t xml:space="preserve">for each H in molecule.protons:</w:t>
      </w:r>
      <w:r>
        <w:br/>
      </w:r>
      <w:r>
        <w:rPr>
          <w:rStyle w:val="VerbatimChar"/>
        </w:rPr>
        <w:t xml:space="preserve">  candidates = []</w:t>
      </w:r>
      <w:r>
        <w:br/>
      </w:r>
      <w:r>
        <w:rPr>
          <w:rStyle w:val="VerbatimChar"/>
        </w:rPr>
        <w:t xml:space="preserve">  for each C in molecule.carbons:</w:t>
      </w:r>
      <w:r>
        <w:br/>
      </w:r>
      <w:r>
        <w:rPr>
          <w:rStyle w:val="VerbatimChar"/>
        </w:rPr>
        <w:t xml:space="preserve">     d = shortest_path_bonds(H.attached_atom, C)</w:t>
      </w:r>
      <w:r>
        <w:br/>
      </w:r>
      <w:r>
        <w:rPr>
          <w:rStyle w:val="VerbatimChar"/>
        </w:rPr>
        <w:t xml:space="preserve">     if d in {2,3} or (d==4 and is_conjugated_path(H,C)):</w:t>
      </w:r>
      <w:r>
        <w:br/>
      </w:r>
      <w:r>
        <w:rPr>
          <w:rStyle w:val="VerbatimChar"/>
        </w:rPr>
        <w:t xml:space="preserve">         score = hmbc_score(d, fg_context(C), conjugation, partial_charge(C))</w:t>
      </w:r>
      <w:r>
        <w:br/>
      </w:r>
      <w:r>
        <w:rPr>
          <w:rStyle w:val="VerbatimChar"/>
        </w:rPr>
        <w:t xml:space="preserve">         candidates.append((H,C,score,d))</w:t>
      </w:r>
      <w:r>
        <w:br/>
      </w:r>
      <w:r>
        <w:rPr>
          <w:rStyle w:val="VerbatimChar"/>
        </w:rPr>
        <w:t xml:space="preserve">  emit topK(candidates, K=8)</w:t>
      </w:r>
    </w:p>
    <w:bookmarkEnd w:id="47"/>
    <w:bookmarkStart w:id="50" w:name="cosy"/>
    <w:p>
      <w:pPr>
        <w:pStyle w:val="Heading3"/>
      </w:pPr>
      <w:r>
        <w:t xml:space="preserve">COSY</w:t>
      </w:r>
    </w:p>
    <w:p>
      <w:pPr>
        <w:pStyle w:val="FirstParagraph"/>
      </w:pPr>
      <w:r>
        <w:rPr>
          <w:b/>
          <w:bCs/>
        </w:rPr>
        <w:t xml:space="preserve">Temel prensip</w:t>
      </w:r>
      <w:r>
        <w:t xml:space="preserve"> </w:t>
      </w:r>
      <w:r>
        <w:t xml:space="preserve">COSY, kuplajlı protonlar arasında cross‑peak verir: “hangi proton hangi protonla kuplajlı” bilgisini taşır.</w:t>
      </w:r>
      <w:r>
        <w:t xml:space="preserve"> </w:t>
      </w:r>
      <w:hyperlink r:id="rId48">
        <w:r>
          <w:rPr>
            <w:rStyle w:val="Hyperlink"/>
          </w:rPr>
          <w:t xml:space="preserve">[24]</w:t>
        </w:r>
      </w:hyperlink>
    </w:p>
    <w:p>
      <w:pPr>
        <w:pStyle w:val="BodyText"/>
      </w:pPr>
      <w:r>
        <w:rPr>
          <w:b/>
          <w:bCs/>
        </w:rPr>
        <w:t xml:space="preserve">Deterministik kurallar</w:t>
      </w:r>
      <w:r>
        <w:t xml:space="preserve"> </w:t>
      </w:r>
      <w:r>
        <w:t xml:space="preserve">- Proton grafı oluştur: H–H kuplaj için tipik olarak 2–3 bağ (bazı durumlarda 4 bağ) üzerinden kural.</w:t>
      </w:r>
      <w:r>
        <w:br/>
      </w:r>
      <w:r>
        <w:t xml:space="preserve">- Kuplaj sabiti (J) heuristikleri: vicinal 3J için Karplus yaklaşımı. Karplus 1963 (DOI) vicinal kuplajın torsiyon açısına bağlılığını formüle eder; rule‑based simülasyon için çekirdek referanstır.</w:t>
      </w:r>
      <w:r>
        <w:t xml:space="preserve"> </w:t>
      </w:r>
      <w:hyperlink r:id="rId49">
        <w:r>
          <w:rPr>
            <w:rStyle w:val="Hyperlink"/>
          </w:rPr>
          <w:t xml:space="preserve">[25]</w:t>
        </w:r>
      </w:hyperlink>
      <w:r>
        <w:br/>
      </w:r>
      <w:r>
        <w:t xml:space="preserve">- “Spin system” ayrıştırma: connected component.</w:t>
      </w:r>
    </w:p>
    <w:p>
      <w:pPr>
        <w:pStyle w:val="BodyText"/>
      </w:pPr>
      <w:r>
        <w:rPr>
          <w:b/>
          <w:bCs/>
        </w:rPr>
        <w:t xml:space="preserve">Edge‑case</w:t>
      </w:r>
      <w:r>
        <w:t xml:space="preserve"> </w:t>
      </w:r>
      <w:r>
        <w:t xml:space="preserve">- Aromatik meta/para: zayıf; raporlamada “opsiyonel/low confidence”.</w:t>
      </w:r>
      <w:r>
        <w:br/>
      </w:r>
      <w:r>
        <w:t xml:space="preserve">- Second‑order: yoğunluk ve multiplet pateni sapabilir.</w:t>
      </w:r>
    </w:p>
    <w:p>
      <w:pPr>
        <w:pStyle w:val="BodyText"/>
      </w:pPr>
      <w:r>
        <w:rPr>
          <w:b/>
          <w:bCs/>
        </w:rPr>
        <w:t xml:space="preserve">Eşikler</w:t>
      </w:r>
      <w:r>
        <w:t xml:space="preserve"> </w:t>
      </w:r>
      <w:r>
        <w:t xml:space="preserve">- COSY expected pair oranı:</w:t>
      </w:r>
      <w:r>
        <w:t xml:space="preserve"> </w:t>
      </w:r>
      <w:r>
        <w:rPr>
          <w:rStyle w:val="VerbatimChar"/>
        </w:rPr>
        <w:t xml:space="preserve">observed_pairs / expected_pairs &gt;= 0.6</w:t>
      </w:r>
      <w:r>
        <w:t xml:space="preserve"> </w:t>
      </w:r>
      <w:r>
        <w:t xml:space="preserve">(Plausibility; measured yoksa daha yumuşak).</w:t>
      </w:r>
    </w:p>
    <w:p>
      <w:pPr>
        <w:pStyle w:val="BodyText"/>
      </w:pPr>
      <w:r>
        <w:rPr>
          <w:b/>
          <w:bCs/>
        </w:rPr>
        <w:t xml:space="preserve">Örnek DSL (COSY pair)</w:t>
      </w:r>
    </w:p>
    <w:p>
      <w:pPr>
        <w:pStyle w:val="SourceCode"/>
      </w:pPr>
      <w:r>
        <w:rPr>
          <w:rStyle w:val="VerbatimChar"/>
        </w:rPr>
        <w:t xml:space="preserve">{</w:t>
      </w:r>
      <w:r>
        <w:br/>
      </w:r>
      <w:r>
        <w:rPr>
          <w:rStyle w:val="VerbatimChar"/>
        </w:rPr>
        <w:t xml:space="preserve">  "id": "COSY_VICINAL_HH",</w:t>
      </w:r>
      <w:r>
        <w:br/>
      </w:r>
      <w:r>
        <w:rPr>
          <w:rStyle w:val="VerbatimChar"/>
        </w:rPr>
        <w:t xml:space="preserve">  "technique": "COSY",</w:t>
      </w:r>
      <w:r>
        <w:br/>
      </w:r>
      <w:r>
        <w:rPr>
          <w:rStyle w:val="VerbatimChar"/>
        </w:rPr>
        <w:t xml:space="preserve">  "when": { "H_H_bond_distance": [2,3] },</w:t>
      </w:r>
      <w:r>
        <w:br/>
      </w:r>
      <w:r>
        <w:rPr>
          <w:rStyle w:val="VerbatimChar"/>
        </w:rPr>
        <w:t xml:space="preserve">  "then": {</w:t>
      </w:r>
      <w:r>
        <w:br/>
      </w:r>
      <w:r>
        <w:rPr>
          <w:rStyle w:val="VerbatimChar"/>
        </w:rPr>
        <w:t xml:space="preserve">    "emit_correlation": {</w:t>
      </w:r>
      <w:r>
        <w:br/>
      </w:r>
      <w:r>
        <w:rPr>
          <w:rStyle w:val="VerbatimChar"/>
        </w:rPr>
        <w:t xml:space="preserve">      "h1_ppm": "predicted_1H(H1)",</w:t>
      </w:r>
      <w:r>
        <w:br/>
      </w:r>
      <w:r>
        <w:rPr>
          <w:rStyle w:val="VerbatimChar"/>
        </w:rPr>
        <w:t xml:space="preserve">      "h2_ppm": "predicted_1H(H2)",</w:t>
      </w:r>
      <w:r>
        <w:br/>
      </w:r>
      <w:r>
        <w:rPr>
          <w:rStyle w:val="VerbatimChar"/>
        </w:rPr>
        <w:t xml:space="preserve">      "intensity": "g(J_estimate(H1,H2), overlap_penalty)",</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w:t>
      </w:r>
    </w:p>
    <w:bookmarkEnd w:id="50"/>
    <w:bookmarkStart w:id="54" w:name="noesy"/>
    <w:p>
      <w:pPr>
        <w:pStyle w:val="Heading3"/>
      </w:pPr>
      <w:r>
        <w:t xml:space="preserve">NOESY</w:t>
      </w:r>
    </w:p>
    <w:p>
      <w:pPr>
        <w:pStyle w:val="FirstParagraph"/>
      </w:pPr>
      <w:r>
        <w:rPr>
          <w:b/>
          <w:bCs/>
        </w:rPr>
        <w:t xml:space="preserve">Temel prensip</w:t>
      </w:r>
      <w:r>
        <w:t xml:space="preserve"> </w:t>
      </w:r>
      <w:r>
        <w:t xml:space="preserve">NOESY, nükleer Overhauser etkisine dayalı olarak uzayda yakın (tipik birkaç Å) protonlar arasında korelasyon verir. IUPAC NOESY tanımı bu uzaysal yakınlık temelli yaklaşımı vurgular.</w:t>
      </w:r>
      <w:r>
        <w:t xml:space="preserve"> </w:t>
      </w:r>
      <w:hyperlink r:id="rId51">
        <w:r>
          <w:rPr>
            <w:rStyle w:val="Hyperlink"/>
          </w:rPr>
          <w:t xml:space="preserve">[26]</w:t>
        </w:r>
      </w:hyperlink>
      <w:r>
        <w:t xml:space="preserve"> </w:t>
      </w:r>
      <w:r>
        <w:t xml:space="preserve">Jeener ve arkadaşlarının 1979 çalışması 2D NMR spektroskopiyle süreçlerin incelenmesini gösteren klasik bir kaynaktır.</w:t>
      </w:r>
      <w:r>
        <w:t xml:space="preserve"> </w:t>
      </w:r>
      <w:hyperlink r:id="rId29">
        <w:r>
          <w:rPr>
            <w:rStyle w:val="Hyperlink"/>
          </w:rPr>
          <w:t xml:space="preserve">[27]</w:t>
        </w:r>
      </w:hyperlink>
      <w:r>
        <w:t xml:space="preserve"> </w:t>
      </w:r>
      <w:r>
        <w:t xml:space="preserve">Uygulama seviyesinde “yakınlık ~5 Å” tipik bir kural olarak özetlenir.</w:t>
      </w:r>
      <w:r>
        <w:t xml:space="preserve"> </w:t>
      </w:r>
      <w:hyperlink r:id="rId52">
        <w:r>
          <w:rPr>
            <w:rStyle w:val="Hyperlink"/>
          </w:rPr>
          <w:t xml:space="preserve">[28]</w:t>
        </w:r>
      </w:hyperlink>
    </w:p>
    <w:p>
      <w:pPr>
        <w:pStyle w:val="BodyText"/>
      </w:pPr>
      <w:r>
        <w:rPr>
          <w:b/>
          <w:bCs/>
        </w:rPr>
        <w:t xml:space="preserve">Deterministik kurallar</w:t>
      </w:r>
      <w:r>
        <w:t xml:space="preserve"> </w:t>
      </w:r>
      <w:r>
        <w:t xml:space="preserve">- 3D konformer üretimi: RDKit’in ETKDG yaklaşımı small molecules için pratik bir baseline sağlar; ETKDG literatürü konformer üretimi doğruluğunu ele alır.</w:t>
      </w:r>
      <w:r>
        <w:t xml:space="preserve"> </w:t>
      </w:r>
      <w:hyperlink r:id="rId53">
        <w:r>
          <w:rPr>
            <w:rStyle w:val="Hyperlink"/>
          </w:rPr>
          <w:t xml:space="preserve">[29]</w:t>
        </w:r>
      </w:hyperlink>
      <w:r>
        <w:br/>
      </w:r>
      <w:r>
        <w:t xml:space="preserve">-</w:t>
      </w:r>
      <w:r>
        <w:t xml:space="preserve"> </w:t>
      </w:r>
      <w:r>
        <w:rPr>
          <w:rStyle w:val="VerbatimChar"/>
        </w:rPr>
        <w:t xml:space="preserve">distance(H_i,H_j)</w:t>
      </w:r>
      <w:r>
        <w:t xml:space="preserve"> </w:t>
      </w:r>
      <w:r>
        <w:t xml:space="preserve">→ NOE olasılığı: ~1/r⁶ bağımlılığı (basitleştirilmiş).</w:t>
      </w:r>
      <w:r>
        <w:br/>
      </w:r>
      <w:r>
        <w:t xml:space="preserve">- Mixing time ve molekül boyutu gating: small molecule’da NOE zayıf olabilir; rapor “NOT_PROVIDED / LOW_CONFIDENCE” ayırmalı.</w:t>
      </w:r>
    </w:p>
    <w:p>
      <w:pPr>
        <w:pStyle w:val="BodyText"/>
      </w:pPr>
      <w:r>
        <w:rPr>
          <w:b/>
          <w:bCs/>
        </w:rPr>
        <w:t xml:space="preserve">Edge‑case</w:t>
      </w:r>
      <w:r>
        <w:t xml:space="preserve"> </w:t>
      </w:r>
      <w:r>
        <w:t xml:space="preserve">- Çoklu konformer: ensemble ortalaması gerekli.</w:t>
      </w:r>
      <w:r>
        <w:br/>
      </w:r>
      <w:r>
        <w:t xml:space="preserve">- Çözücü etkisi: intramolecular H‑bond vs.</w:t>
      </w:r>
    </w:p>
    <w:p>
      <w:pPr>
        <w:pStyle w:val="BodyText"/>
      </w:pPr>
      <w:r>
        <w:rPr>
          <w:b/>
          <w:bCs/>
        </w:rPr>
        <w:t xml:space="preserve">Eşikler</w:t>
      </w:r>
      <w:r>
        <w:t xml:space="preserve"> </w:t>
      </w:r>
      <w:r>
        <w:t xml:space="preserve">- NOESY predicted cross‑peak için mesafe eşiği:</w:t>
      </w:r>
      <w:r>
        <w:br/>
      </w:r>
      <w:r>
        <w:t xml:space="preserve">- Strong: r ≤ 2.5 Å</w:t>
      </w:r>
      <w:r>
        <w:br/>
      </w:r>
      <w:r>
        <w:t xml:space="preserve">- Medium: 2.5–3.5 Å</w:t>
      </w:r>
      <w:r>
        <w:br/>
      </w:r>
      <w:r>
        <w:t xml:space="preserve">- Weak: 3.5–5.0 Å</w:t>
      </w:r>
      <w:r>
        <w:br/>
      </w:r>
      <w:r>
        <w:t xml:space="preserve">- Small molecule default: NOESY opsiyonel; “yok” durumunda FAIL yerine N/A.</w:t>
      </w:r>
    </w:p>
    <w:bookmarkEnd w:id="54"/>
    <w:bookmarkStart w:id="56" w:name="ftirir"/>
    <w:p>
      <w:pPr>
        <w:pStyle w:val="Heading3"/>
      </w:pPr>
      <w:r>
        <w:t xml:space="preserve">FTIR/IR</w:t>
      </w:r>
    </w:p>
    <w:p>
      <w:pPr>
        <w:pStyle w:val="FirstParagraph"/>
      </w:pPr>
      <w:r>
        <w:rPr>
          <w:b/>
          <w:bCs/>
        </w:rPr>
        <w:t xml:space="preserve">Temel aralık ve veri modeli</w:t>
      </w:r>
      <w:r>
        <w:t xml:space="preserve"> </w:t>
      </w:r>
      <w:r>
        <w:t xml:space="preserve">IUPAC, “infrared spectroscopy” için mid‑IR aralığını tipik olarak 4000–400 cm⁻¹ (2.5–25 μm) olarak tarif eder.</w:t>
      </w:r>
      <w:r>
        <w:t xml:space="preserve"> </w:t>
      </w:r>
      <w:hyperlink r:id="rId35">
        <w:r>
          <w:rPr>
            <w:rStyle w:val="Hyperlink"/>
          </w:rPr>
          <w:t xml:space="preserve">[15]</w:t>
        </w:r>
      </w:hyperlink>
      <w:r>
        <w:t xml:space="preserve"> </w:t>
      </w:r>
      <w:r>
        <w:t xml:space="preserve">Ürününüz IR çıktısını “band list” olarak üretmeli:</w:t>
      </w:r>
      <w:r>
        <w:t xml:space="preserve"> </w:t>
      </w:r>
      <w:r>
        <w:rPr>
          <w:rStyle w:val="VerbatimChar"/>
        </w:rPr>
        <w:t xml:space="preserve">wavenumber</w:t>
      </w:r>
      <w:r>
        <w:t xml:space="preserve">,</w:t>
      </w:r>
      <w:r>
        <w:t xml:space="preserve"> </w:t>
      </w:r>
      <w:r>
        <w:rPr>
          <w:rStyle w:val="VerbatimChar"/>
        </w:rPr>
        <w:t xml:space="preserve">intensity_class</w:t>
      </w:r>
      <w:r>
        <w:t xml:space="preserve">,</w:t>
      </w:r>
      <w:r>
        <w:t xml:space="preserve"> </w:t>
      </w:r>
      <w:r>
        <w:rPr>
          <w:rStyle w:val="VerbatimChar"/>
        </w:rPr>
        <w:t xml:space="preserve">assignment</w:t>
      </w:r>
      <w:r>
        <w:t xml:space="preserve">,</w:t>
      </w:r>
      <w:r>
        <w:t xml:space="preserve"> </w:t>
      </w:r>
      <w:r>
        <w:rPr>
          <w:rStyle w:val="VerbatimChar"/>
        </w:rPr>
        <w:t xml:space="preserve">confidence</w:t>
      </w:r>
      <w:r>
        <w:t xml:space="preserve">.</w:t>
      </w:r>
    </w:p>
    <w:p>
      <w:pPr>
        <w:pStyle w:val="BodyText"/>
      </w:pPr>
      <w:r>
        <w:rPr>
          <w:b/>
          <w:bCs/>
        </w:rPr>
        <w:t xml:space="preserve">Deterministik kimyasal kurallar</w:t>
      </w:r>
      <w:r>
        <w:t xml:space="preserve"> </w:t>
      </w:r>
      <w:r>
        <w:t xml:space="preserve">- Fonksiyonel grup korelasyon tablosu: LibreTexts IR absorption tablosu gibi kaynaklardan bant aralıkları alınabilir.</w:t>
      </w:r>
      <w:r>
        <w:t xml:space="preserve"> </w:t>
      </w:r>
      <w:hyperlink r:id="rId31">
        <w:r>
          <w:rPr>
            <w:rStyle w:val="Hyperlink"/>
          </w:rPr>
          <w:t xml:space="preserve">[10]</w:t>
        </w:r>
      </w:hyperlink>
      <w:r>
        <w:br/>
      </w:r>
      <w:r>
        <w:t xml:space="preserve">- Konjugasyon/ring size düzeltmeleri: karbonil bandı konjugasyonla aşağı kayabilir; bu tür düzeltmeler rulepack’e eklenmeli.</w:t>
      </w:r>
      <w:r>
        <w:br/>
      </w:r>
      <w:r>
        <w:t xml:space="preserve">- Şiddet heuristiği: bağ polarlığı ve tekrar eden bağ sayısı şiddeti artırır (IR şiddetinin bağ polarlığı ve bond sayısıyla ilişkisi eğitim kaynaklarında özetlenir).</w:t>
      </w:r>
      <w:r>
        <w:t xml:space="preserve"> </w:t>
      </w:r>
      <w:hyperlink r:id="rId55">
        <w:r>
          <w:rPr>
            <w:rStyle w:val="Hyperlink"/>
          </w:rPr>
          <w:t xml:space="preserve">[30]</w:t>
        </w:r>
      </w:hyperlink>
    </w:p>
    <w:p>
      <w:pPr>
        <w:pStyle w:val="BodyText"/>
      </w:pPr>
      <w:r>
        <w:rPr>
          <w:b/>
          <w:bCs/>
        </w:rPr>
        <w:t xml:space="preserve">Edge‑case</w:t>
      </w:r>
      <w:r>
        <w:t xml:space="preserve"> </w:t>
      </w:r>
      <w:r>
        <w:t xml:space="preserve">- H‑bond: OH bandını genişletir ve aşağı kaydırır (özellikle fenoller/asitler).</w:t>
      </w:r>
      <w:r>
        <w:br/>
      </w:r>
      <w:r>
        <w:t xml:space="preserve">- ATR/Transmission farkları: baseline ve relative intensities.</w:t>
      </w:r>
    </w:p>
    <w:p>
      <w:pPr>
        <w:pStyle w:val="BodyText"/>
      </w:pPr>
      <w:r>
        <w:rPr>
          <w:b/>
          <w:bCs/>
        </w:rPr>
        <w:t xml:space="preserve">Eşikler</w:t>
      </w:r>
      <w:r>
        <w:t xml:space="preserve"> </w:t>
      </w:r>
      <w:r>
        <w:t xml:space="preserve">- Coverage (band):</w:t>
      </w:r>
      <w:r>
        <w:t xml:space="preserve"> </w:t>
      </w:r>
      <w:r>
        <w:rPr>
          <w:rStyle w:val="VerbatimChar"/>
        </w:rPr>
        <w:t xml:space="preserve">IR_cov = matched_expected_bands / expected_bands</w:t>
      </w:r>
      <w:r>
        <w:br/>
      </w:r>
      <w:r>
        <w:t xml:space="preserve">- PASS/WARN/FAIL: &gt;0.8 / 0.5–0.8 / &lt;0.5 (ölçüm varsa).</w:t>
      </w:r>
    </w:p>
    <w:p>
      <w:pPr>
        <w:pStyle w:val="BodyText"/>
      </w:pPr>
      <w:r>
        <w:rPr>
          <w:b/>
          <w:bCs/>
        </w:rPr>
        <w:t xml:space="preserve">Örnek DSL</w:t>
      </w:r>
    </w:p>
    <w:p>
      <w:pPr>
        <w:pStyle w:val="SourceCode"/>
      </w:pPr>
      <w:r>
        <w:rPr>
          <w:rStyle w:val="VerbatimChar"/>
        </w:rPr>
        <w:t xml:space="preserve">{</w:t>
      </w:r>
      <w:r>
        <w:br/>
      </w:r>
      <w:r>
        <w:rPr>
          <w:rStyle w:val="VerbatimChar"/>
        </w:rPr>
        <w:t xml:space="preserve">  "id": "IR_CARBONYL_STRONG_BAND",</w:t>
      </w:r>
      <w:r>
        <w:br/>
      </w:r>
      <w:r>
        <w:rPr>
          <w:rStyle w:val="VerbatimChar"/>
        </w:rPr>
        <w:t xml:space="preserve">  "technique": "IR",</w:t>
      </w:r>
      <w:r>
        <w:br/>
      </w:r>
      <w:r>
        <w:rPr>
          <w:rStyle w:val="VerbatimChar"/>
        </w:rPr>
        <w:t xml:space="preserve">  "when": { "fg": ["ketone","aldehyde","ester","amide"] },</w:t>
      </w:r>
      <w:r>
        <w:br/>
      </w:r>
      <w:r>
        <w:rPr>
          <w:rStyle w:val="VerbatimChar"/>
        </w:rPr>
        <w:t xml:space="preserve">  "then": {</w:t>
      </w:r>
      <w:r>
        <w:br/>
      </w:r>
      <w:r>
        <w:rPr>
          <w:rStyle w:val="VerbatimChar"/>
        </w:rPr>
        <w:t xml:space="preserve">    "emit_band": {</w:t>
      </w:r>
      <w:r>
        <w:br/>
      </w:r>
      <w:r>
        <w:rPr>
          <w:rStyle w:val="VerbatimChar"/>
        </w:rPr>
        <w:t xml:space="preserve">      "wavenumber_cm1": {"range": [1650, 1800], "center_by_subtype": true},</w:t>
      </w:r>
      <w:r>
        <w:br/>
      </w:r>
      <w:r>
        <w:rPr>
          <w:rStyle w:val="VerbatimChar"/>
        </w:rPr>
        <w:t xml:space="preserve">      "intensity": "strong",</w:t>
      </w:r>
      <w:r>
        <w:br/>
      </w:r>
      <w:r>
        <w:rPr>
          <w:rStyle w:val="VerbatimChar"/>
        </w:rPr>
        <w:t xml:space="preserve">      "assignment": "C=O stretch",</w:t>
      </w:r>
      <w:r>
        <w:br/>
      </w:r>
      <w:r>
        <w:rPr>
          <w:rStyle w:val="VerbatimChar"/>
        </w:rPr>
        <w:t xml:space="preserve">      "confidence": 0.85</w:t>
      </w:r>
      <w:r>
        <w:br/>
      </w:r>
      <w:r>
        <w:rPr>
          <w:rStyle w:val="VerbatimChar"/>
        </w:rPr>
        <w:t xml:space="preserve">    }</w:t>
      </w:r>
      <w:r>
        <w:br/>
      </w:r>
      <w:r>
        <w:rPr>
          <w:rStyle w:val="VerbatimChar"/>
        </w:rPr>
        <w:t xml:space="preserve">  }</w:t>
      </w:r>
      <w:r>
        <w:br/>
      </w:r>
      <w:r>
        <w:rPr>
          <w:rStyle w:val="VerbatimChar"/>
        </w:rPr>
        <w:t xml:space="preserve">}</w:t>
      </w:r>
    </w:p>
    <w:bookmarkEnd w:id="56"/>
    <w:bookmarkStart w:id="58" w:name="ms"/>
    <w:p>
      <w:pPr>
        <w:pStyle w:val="Heading3"/>
      </w:pPr>
      <w:r>
        <w:t xml:space="preserve">MS</w:t>
      </w:r>
    </w:p>
    <w:p>
      <w:pPr>
        <w:pStyle w:val="FirstParagraph"/>
      </w:pPr>
      <w:r>
        <w:rPr>
          <w:b/>
          <w:bCs/>
        </w:rPr>
        <w:t xml:space="preserve">Adduct ve izotop</w:t>
      </w:r>
      <w:r>
        <w:t xml:space="preserve"> </w:t>
      </w:r>
      <w:r>
        <w:t xml:space="preserve">ESI adduct çeşitleri ve kütle farkları (pozitif/negatif) Waters gibi vendor dokümanlarında tablo halinde verilir; kural tabanlı adduct motoru için doğrudan kullanılabilir.</w:t>
      </w:r>
      <w:r>
        <w:t xml:space="preserve"> </w:t>
      </w:r>
      <w:hyperlink r:id="rId30">
        <w:r>
          <w:rPr>
            <w:rStyle w:val="Hyperlink"/>
          </w:rPr>
          <w:t xml:space="preserve">[11]</w:t>
        </w:r>
      </w:hyperlink>
      <w:r>
        <w:br/>
      </w:r>
      <w:r>
        <w:t xml:space="preserve">mzML; kütle spektrometresi çıktısı ve acquisition/transform koşullarını taşıyan XML formatı olarak HUPO‑PSI tarafından sürdürülür.</w:t>
      </w:r>
      <w:r>
        <w:t xml:space="preserve"> </w:t>
      </w:r>
      <w:hyperlink r:id="rId57">
        <w:r>
          <w:rPr>
            <w:rStyle w:val="Hyperlink"/>
          </w:rPr>
          <w:t xml:space="preserve">[31]</w:t>
        </w:r>
      </w:hyperlink>
    </w:p>
    <w:p>
      <w:pPr>
        <w:pStyle w:val="BodyText"/>
      </w:pPr>
      <w:r>
        <w:rPr>
          <w:b/>
          <w:bCs/>
        </w:rPr>
        <w:t xml:space="preserve">Fragmantasyon</w:t>
      </w:r>
      <w:r>
        <w:t xml:space="preserve"> </w:t>
      </w:r>
      <w:r>
        <w:t xml:space="preserve">- McLafferty rearrangement; karbonil ve γ‑H içeren sistemlerde diagnostik fragmantasyon olarak klasikleşmiştir; 1959 Anal. Chem çalışması ve IUPAC tanımı temel referanslardır.</w:t>
      </w:r>
      <w:r>
        <w:t xml:space="preserve"> </w:t>
      </w:r>
      <w:hyperlink r:id="rId33">
        <w:r>
          <w:rPr>
            <w:rStyle w:val="Hyperlink"/>
          </w:rPr>
          <w:t xml:space="preserve">[12]</w:t>
        </w:r>
      </w:hyperlink>
      <w:r>
        <w:br/>
      </w:r>
      <w:r>
        <w:t xml:space="preserve">- Kural tabanlı fragmantasyonda amaç “olası fragman seti + skor” üretmektir (tek doğru yoktur).</w:t>
      </w:r>
    </w:p>
    <w:p>
      <w:pPr>
        <w:pStyle w:val="BodyText"/>
      </w:pPr>
      <w:r>
        <w:rPr>
          <w:b/>
          <w:bCs/>
        </w:rPr>
        <w:t xml:space="preserve">Edge‑case</w:t>
      </w:r>
      <w:r>
        <w:t xml:space="preserve"> </w:t>
      </w:r>
      <w:r>
        <w:t xml:space="preserve">- Ionization mode (ESI/EI/APCI) farklı rulepack gerektirir.</w:t>
      </w:r>
      <w:r>
        <w:br/>
      </w:r>
      <w:r>
        <w:t xml:space="preserve">- Multiple charge (z&gt;1) durumları.</w:t>
      </w:r>
    </w:p>
    <w:p>
      <w:pPr>
        <w:pStyle w:val="BodyText"/>
      </w:pPr>
      <w:r>
        <w:rPr>
          <w:b/>
          <w:bCs/>
        </w:rPr>
        <w:t xml:space="preserve">Eşikler</w:t>
      </w:r>
      <w:r>
        <w:t xml:space="preserve"> </w:t>
      </w:r>
      <w:r>
        <w:t xml:space="preserve">- Mass error: HRMS için ppm toleransı (ör. 5 ppm); Spectrotester benzeri “ppmMS=5e-6” (5 ppm) mantıklı başlangıçtır, ama cihaz sınıfına göre parametrelenmeli.</w:t>
      </w:r>
      <w:r>
        <w:br/>
      </w:r>
      <w:r>
        <w:t xml:space="preserve">- İzotop pattern similarity: cosine similarity ≥0.95 (Cl/Br içeren basit türler için) → PASS; 0.8–0.95 WARN; &lt;0.8 FAIL.</w:t>
      </w:r>
    </w:p>
    <w:p>
      <w:pPr>
        <w:pStyle w:val="BodyText"/>
      </w:pPr>
      <w:r>
        <w:rPr>
          <w:b/>
          <w:bCs/>
        </w:rPr>
        <w:t xml:space="preserve">Örnek pseudocode</w:t>
      </w:r>
    </w:p>
    <w:p>
      <w:pPr>
        <w:pStyle w:val="SourceCode"/>
      </w:pPr>
      <w:r>
        <w:rPr>
          <w:rStyle w:val="VerbatimChar"/>
        </w:rPr>
        <w:t xml:space="preserve">M = exact_mass(formula)</w:t>
      </w:r>
      <w:r>
        <w:br/>
      </w:r>
      <w:r>
        <w:rPr>
          <w:rStyle w:val="VerbatimChar"/>
        </w:rPr>
        <w:t xml:space="preserve">for each adduct in adduct_table(mode):</w:t>
      </w:r>
      <w:r>
        <w:br/>
      </w:r>
      <w:r>
        <w:rPr>
          <w:rStyle w:val="VerbatimChar"/>
        </w:rPr>
        <w:t xml:space="preserve">  mz = (M + adduct.delta - neutral_loss)/charge</w:t>
      </w:r>
      <w:r>
        <w:br/>
      </w:r>
      <w:r>
        <w:rPr>
          <w:rStyle w:val="VerbatimChar"/>
        </w:rPr>
        <w:t xml:space="preserve">  emit_peak(mz, intensity=adduct_prior * stability_score)</w:t>
      </w:r>
      <w:r>
        <w:br/>
      </w:r>
      <w:r>
        <w:rPr>
          <w:rStyle w:val="VerbatimChar"/>
        </w:rPr>
        <w:t xml:space="preserve">emit_isotope_envelope(formula, resolution)</w:t>
      </w:r>
      <w:r>
        <w:br/>
      </w:r>
      <w:r>
        <w:rPr>
          <w:rStyle w:val="VerbatimChar"/>
        </w:rPr>
        <w:t xml:space="preserve">emit_fragments(rulepack_fragments(molecule), topN=50)</w:t>
      </w:r>
    </w:p>
    <w:bookmarkEnd w:id="58"/>
    <w:bookmarkEnd w:id="59"/>
    <w:bookmarkStart w:id="65" w:name="kural-motoru-tasarımı"/>
    <w:p>
      <w:pPr>
        <w:pStyle w:val="Heading2"/>
      </w:pPr>
      <w:r>
        <w:t xml:space="preserve">Kural motoru tasarımı</w:t>
      </w:r>
    </w:p>
    <w:p>
      <w:pPr>
        <w:pStyle w:val="FirstParagraph"/>
      </w:pPr>
      <w:r>
        <w:t xml:space="preserve">Bu bölüm; “kural tabanlı, açıklanabilir, deterministik” hedefi için DSL, yaşam döngüsü, conflict resolution ve test desenlerini “ürün seviyesi” spesifikasyon olarak verir.</w:t>
      </w:r>
    </w:p>
    <w:bookmarkStart w:id="60" w:name="dsl-spesifikasyonu"/>
    <w:p>
      <w:pPr>
        <w:pStyle w:val="Heading3"/>
      </w:pPr>
      <w:r>
        <w:t xml:space="preserve">DSL spesifikasyonu</w:t>
      </w:r>
    </w:p>
    <w:p>
      <w:pPr>
        <w:pStyle w:val="FirstParagraph"/>
      </w:pPr>
      <w:r>
        <w:rPr>
          <w:b/>
          <w:bCs/>
        </w:rPr>
        <w:t xml:space="preserve">Tasarım ilkeleri</w:t>
      </w:r>
      <w:r>
        <w:t xml:space="preserve"> </w:t>
      </w:r>
      <w:r>
        <w:t xml:space="preserve">-</w:t>
      </w:r>
      <w:r>
        <w:t xml:space="preserve"> </w:t>
      </w:r>
      <w:r>
        <w:rPr>
          <w:b/>
          <w:bCs/>
        </w:rPr>
        <w:t xml:space="preserve">Şema‑first</w:t>
      </w:r>
      <w:r>
        <w:t xml:space="preserve">: JSON schema ile kilitlenmiş AST; lint edilebilir; diff edilebilir.</w:t>
      </w:r>
      <w:r>
        <w:br/>
      </w:r>
      <w:r>
        <w:t xml:space="preserve">-</w:t>
      </w:r>
      <w:r>
        <w:t xml:space="preserve"> </w:t>
      </w:r>
      <w:r>
        <w:rPr>
          <w:b/>
          <w:bCs/>
        </w:rPr>
        <w:t xml:space="preserve">Teknik ayrımı</w:t>
      </w:r>
      <w:r>
        <w:t xml:space="preserve">:</w:t>
      </w:r>
      <w:r>
        <w:t xml:space="preserve"> </w:t>
      </w:r>
      <w:r>
        <w:rPr>
          <w:rStyle w:val="VerbatimChar"/>
        </w:rPr>
        <w:t xml:space="preserve">technique</w:t>
      </w:r>
      <w:r>
        <w:t xml:space="preserve"> </w:t>
      </w:r>
      <w:r>
        <w:t xml:space="preserve">alanı (NMR_1H, NMR_13C, HSQC, HMBC, COSY, NOESY, IR, MS).</w:t>
      </w:r>
      <w:r>
        <w:br/>
      </w:r>
      <w:r>
        <w:t xml:space="preserve">-</w:t>
      </w:r>
      <w:r>
        <w:t xml:space="preserve"> </w:t>
      </w:r>
      <w:r>
        <w:rPr>
          <w:b/>
          <w:bCs/>
        </w:rPr>
        <w:t xml:space="preserve">İki tip kural</w:t>
      </w:r>
      <w:r>
        <w:t xml:space="preserve">:</w:t>
      </w:r>
      <w:r>
        <w:br/>
      </w:r>
      <w:r>
        <w:t xml:space="preserve">-</w:t>
      </w:r>
      <w:r>
        <w:t xml:space="preserve"> </w:t>
      </w:r>
      <w:r>
        <w:rPr>
          <w:rStyle w:val="VerbatimChar"/>
        </w:rPr>
        <w:t xml:space="preserve">predict_rule</w:t>
      </w:r>
      <w:r>
        <w:t xml:space="preserve">: peak/band/correlation üretir.</w:t>
      </w:r>
      <w:r>
        <w:br/>
      </w:r>
      <w:r>
        <w:t xml:space="preserve">-</w:t>
      </w:r>
      <w:r>
        <w:t xml:space="preserve"> </w:t>
      </w:r>
      <w:r>
        <w:rPr>
          <w:rStyle w:val="VerbatimChar"/>
        </w:rPr>
        <w:t xml:space="preserve">verify_rule</w:t>
      </w:r>
      <w:r>
        <w:t xml:space="preserve">: assertion/threshold ile PASS/WARN/FAIL üretir.</w:t>
      </w:r>
      <w:r>
        <w:br/>
      </w:r>
      <w:r>
        <w:t xml:space="preserve">-</w:t>
      </w:r>
      <w:r>
        <w:t xml:space="preserve"> </w:t>
      </w:r>
      <w:r>
        <w:rPr>
          <w:b/>
          <w:bCs/>
        </w:rPr>
        <w:t xml:space="preserve">Açıklanabilirlik zorunlu</w:t>
      </w:r>
      <w:r>
        <w:t xml:space="preserve">:</w:t>
      </w:r>
      <w:r>
        <w:t xml:space="preserve"> </w:t>
      </w:r>
      <w:r>
        <w:rPr>
          <w:rStyle w:val="VerbatimChar"/>
        </w:rPr>
        <w:t xml:space="preserve">evidence</w:t>
      </w:r>
      <w:r>
        <w:t xml:space="preserve"> </w:t>
      </w:r>
      <w:r>
        <w:t xml:space="preserve">+</w:t>
      </w:r>
      <w:r>
        <w:t xml:space="preserve"> </w:t>
      </w:r>
      <w:r>
        <w:rPr>
          <w:rStyle w:val="VerbatimChar"/>
        </w:rPr>
        <w:t xml:space="preserve">rule_trace</w:t>
      </w:r>
      <w:r>
        <w:t xml:space="preserve"> </w:t>
      </w:r>
      <w:r>
        <w:t xml:space="preserve">her kural sonucuna bağlanır.</w:t>
      </w:r>
    </w:p>
    <w:p>
      <w:pPr>
        <w:pStyle w:val="BodyText"/>
      </w:pPr>
      <w:r>
        <w:rPr>
          <w:b/>
          <w:bCs/>
        </w:rPr>
        <w:t xml:space="preserve">DSL çekirdek alanları (öneri)</w:t>
      </w:r>
      <w:r>
        <w:t xml:space="preserve"> </w:t>
      </w:r>
      <w:r>
        <w:t xml:space="preserve">-</w:t>
      </w:r>
      <w:r>
        <w:t xml:space="preserve"> </w:t>
      </w: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technique</w:t>
      </w:r>
      <w:r>
        <w:t xml:space="preserve">,</w:t>
      </w:r>
      <w:r>
        <w:t xml:space="preserve"> </w:t>
      </w:r>
      <w:r>
        <w:rPr>
          <w:rStyle w:val="VerbatimChar"/>
        </w:rPr>
        <w:t xml:space="preserve">type</w:t>
      </w:r>
      <w:r>
        <w:t xml:space="preserve"> </w:t>
      </w:r>
      <w:r>
        <w:t xml:space="preserve">(predict/verify)</w:t>
      </w:r>
      <w:r>
        <w:br/>
      </w:r>
      <w:r>
        <w:t xml:space="preserve">-</w:t>
      </w:r>
      <w:r>
        <w:t xml:space="preserve"> </w:t>
      </w:r>
      <w:r>
        <w:rPr>
          <w:rStyle w:val="VerbatimChar"/>
        </w:rPr>
        <w:t xml:space="preserve">when</w:t>
      </w:r>
      <w:r>
        <w:t xml:space="preserve">: SMARTS/atom_query + param constraints + context gates</w:t>
      </w:r>
      <w:r>
        <w:br/>
      </w:r>
      <w:r>
        <w:t xml:space="preserve">-</w:t>
      </w:r>
      <w:r>
        <w:t xml:space="preserve"> </w:t>
      </w:r>
      <w:r>
        <w:rPr>
          <w:rStyle w:val="VerbatimChar"/>
        </w:rPr>
        <w:t xml:space="preserve">then</w:t>
      </w:r>
      <w:r>
        <w:t xml:space="preserve">: emit/assert</w:t>
      </w:r>
      <w:r>
        <w:br/>
      </w:r>
      <w:r>
        <w:t xml:space="preserve">-</w:t>
      </w:r>
      <w:r>
        <w:t xml:space="preserve"> </w:t>
      </w:r>
      <w:r>
        <w:rPr>
          <w:rStyle w:val="VerbatimChar"/>
        </w:rPr>
        <w:t xml:space="preserve">numeric_defaults</w:t>
      </w:r>
      <w:r>
        <w:t xml:space="preserve">: toleranslar, eşikler</w:t>
      </w:r>
      <w:r>
        <w:br/>
      </w:r>
      <w:r>
        <w:t xml:space="preserve">-</w:t>
      </w:r>
      <w:r>
        <w:t xml:space="preserve"> </w:t>
      </w:r>
      <w:r>
        <w:rPr>
          <w:rStyle w:val="VerbatimChar"/>
        </w:rPr>
        <w:t xml:space="preserve">severity</w:t>
      </w:r>
      <w:r>
        <w:t xml:space="preserve">,</w:t>
      </w:r>
      <w:r>
        <w:t xml:space="preserve"> </w:t>
      </w:r>
      <w:r>
        <w:rPr>
          <w:rStyle w:val="VerbatimChar"/>
        </w:rPr>
        <w:t xml:space="preserve">on_fail</w:t>
      </w:r>
      <w:r>
        <w:t xml:space="preserve"> </w:t>
      </w:r>
      <w:r>
        <w:t xml:space="preserve">(verify için)</w:t>
      </w:r>
      <w:r>
        <w:br/>
      </w:r>
      <w:r>
        <w:t xml:space="preserve">-</w:t>
      </w:r>
      <w:r>
        <w:t xml:space="preserve"> </w:t>
      </w:r>
      <w:r>
        <w:rPr>
          <w:rStyle w:val="VerbatimChar"/>
        </w:rPr>
        <w:t xml:space="preserve">evidence_schema_ref</w:t>
      </w:r>
      <w:r>
        <w:t xml:space="preserve"> </w:t>
      </w:r>
      <w:r>
        <w:t xml:space="preserve">(evidence bundle)</w:t>
      </w:r>
    </w:p>
    <w:bookmarkEnd w:id="60"/>
    <w:bookmarkStart w:id="61" w:name="kural-yaşam-döngüsü"/>
    <w:p>
      <w:pPr>
        <w:pStyle w:val="Heading3"/>
      </w:pPr>
      <w:r>
        <w:t xml:space="preserve">Kural yaşam döngüsü</w:t>
      </w:r>
    </w:p>
    <w:p>
      <w:pPr>
        <w:pStyle w:val="FirstParagraph"/>
      </w:pPr>
      <w:r>
        <w:rPr>
          <w:b/>
          <w:bCs/>
        </w:rPr>
        <w:t xml:space="preserve">Authoring</w:t>
      </w:r>
      <w:r>
        <w:t xml:space="preserve"> </w:t>
      </w:r>
      <w:r>
        <w:t xml:space="preserve">- Rulepack repo’da ayrı klasör:</w:t>
      </w:r>
      <w:r>
        <w:t xml:space="preserve"> </w:t>
      </w:r>
      <w:r>
        <w:rPr>
          <w:rStyle w:val="VerbatimChar"/>
        </w:rPr>
        <w:t xml:space="preserve">rulepacks/&lt;technique&gt;/&lt;semver&gt;/rules/*.json</w:t>
      </w:r>
      <w:r>
        <w:br/>
      </w:r>
      <w:r>
        <w:t xml:space="preserve">- Her rule PR’ı için: schema validation + unit tests + golden regression.</w:t>
      </w:r>
    </w:p>
    <w:p>
      <w:pPr>
        <w:pStyle w:val="BodyText"/>
      </w:pPr>
      <w:r>
        <w:rPr>
          <w:b/>
          <w:bCs/>
        </w:rPr>
        <w:t xml:space="preserve">Linting</w:t>
      </w:r>
      <w:r>
        <w:t xml:space="preserve"> </w:t>
      </w:r>
      <w:r>
        <w:t xml:space="preserve">- JSON schema doğrulama + semantik lint:</w:t>
      </w:r>
      <w:r>
        <w:br/>
      </w:r>
      <w:r>
        <w:t xml:space="preserve">- “range min&lt;max”</w:t>
      </w:r>
      <w:r>
        <w:br/>
      </w:r>
      <w:r>
        <w:t xml:space="preserve">- “tolerance negative olamaz”</w:t>
      </w:r>
      <w:r>
        <w:br/>
      </w:r>
      <w:r>
        <w:t xml:space="preserve">- “same id duplicate olamaz”</w:t>
      </w:r>
      <w:r>
        <w:br/>
      </w:r>
      <w:r>
        <w:t xml:space="preserve">- “forbidden combination: HSQC + Q carbon emit” vb.</w:t>
      </w:r>
    </w:p>
    <w:p>
      <w:pPr>
        <w:pStyle w:val="BodyText"/>
      </w:pPr>
      <w:r>
        <w:rPr>
          <w:b/>
          <w:bCs/>
        </w:rPr>
        <w:t xml:space="preserve">Versioning &amp; migration</w:t>
      </w:r>
      <w:r>
        <w:t xml:space="preserve"> </w:t>
      </w:r>
      <w:r>
        <w:t xml:space="preserve">- SemVer: MAJOR = DSL kırıcı değişiklik, MINOR = kural ekleme, PATCH = bugfix.</w:t>
      </w:r>
      <w:r>
        <w:br/>
      </w:r>
      <w:r>
        <w:t xml:space="preserve">- Migration scripts:</w:t>
      </w:r>
      <w:r>
        <w:t xml:space="preserve"> </w:t>
      </w:r>
      <w:r>
        <w:rPr>
          <w:rStyle w:val="VerbatimChar"/>
        </w:rPr>
        <w:t xml:space="preserve">tools/migrate_rulepack_v1_to_v2.py</w:t>
      </w:r>
      <w:r>
        <w:t xml:space="preserve"> </w:t>
      </w:r>
      <w:r>
        <w:t xml:space="preserve">(deterministik).</w:t>
      </w:r>
      <w:r>
        <w:br/>
      </w:r>
      <w:r>
        <w:t xml:space="preserve">- Part 11 için rulepack artefaktları imzalı/hashed şeklinde saklanmalı (aşağıda).</w:t>
      </w:r>
    </w:p>
    <w:bookmarkEnd w:id="61"/>
    <w:bookmarkStart w:id="62" w:name="conflict-resolution-ve-constraint-solver"/>
    <w:p>
      <w:pPr>
        <w:pStyle w:val="Heading3"/>
      </w:pPr>
      <w:r>
        <w:t xml:space="preserve">Conflict resolution ve constraint solver</w:t>
      </w:r>
    </w:p>
    <w:p>
      <w:pPr>
        <w:pStyle w:val="FirstParagraph"/>
      </w:pPr>
      <w:r>
        <w:rPr>
          <w:b/>
          <w:bCs/>
        </w:rPr>
        <w:t xml:space="preserve">Problem</w:t>
      </w:r>
      <w:r>
        <w:t xml:space="preserve"> </w:t>
      </w:r>
      <w:r>
        <w:t xml:space="preserve">- Bir atom çevresi birden fazla candidate peak üretir; ayrıca global kısıtlar (integral toplamı, simetri, band sayısı vs.) çakışabilir.</w:t>
      </w:r>
    </w:p>
    <w:p>
      <w:pPr>
        <w:pStyle w:val="BodyText"/>
      </w:pPr>
      <w:r>
        <w:rPr>
          <w:b/>
          <w:bCs/>
        </w:rPr>
        <w:t xml:space="preserve">Önerilen çözüm</w:t>
      </w:r>
      <w:r>
        <w:t xml:space="preserve"> </w:t>
      </w:r>
      <w:r>
        <w:t xml:space="preserve">- İki aşamalı seçim:</w:t>
      </w:r>
      <w:r>
        <w:t xml:space="preserve"> </w:t>
      </w:r>
      <w:r>
        <w:t xml:space="preserve">1)</w:t>
      </w:r>
      <w:r>
        <w:t xml:space="preserve"> </w:t>
      </w:r>
      <w:r>
        <w:rPr>
          <w:b/>
          <w:bCs/>
        </w:rPr>
        <w:t xml:space="preserve">Local scoring</w:t>
      </w:r>
      <w:r>
        <w:t xml:space="preserve"> </w:t>
      </w:r>
      <w:r>
        <w:t xml:space="preserve">(atom/eşdeğerlik sınıfı bazında top‑K candidate)</w:t>
      </w:r>
      <w:r>
        <w:br/>
      </w:r>
      <w:r>
        <w:t xml:space="preserve">2)</w:t>
      </w:r>
      <w:r>
        <w:t xml:space="preserve"> </w:t>
      </w:r>
      <w:r>
        <w:rPr>
          <w:b/>
          <w:bCs/>
        </w:rPr>
        <w:t xml:space="preserve">Global constraint solving</w:t>
      </w:r>
      <w:r>
        <w:t xml:space="preserve"> </w:t>
      </w:r>
      <w:r>
        <w:t xml:space="preserve">(seçim küresel kısıtları sağlıyor mu?)</w:t>
      </w:r>
    </w:p>
    <w:p>
      <w:pPr>
        <w:pStyle w:val="BodyText"/>
      </w:pPr>
      <w:r>
        <w:rPr>
          <w:b/>
          <w:bCs/>
        </w:rPr>
        <w:t xml:space="preserve">Skor fonksiyonu (öneri)</w:t>
      </w:r>
      <w:r>
        <w:t xml:space="preserve"> </w:t>
      </w:r>
      <w:r>
        <w:rPr>
          <w:rStyle w:val="VerbatimChar"/>
        </w:rPr>
        <w:t xml:space="preserve">score = w_conf*confidence + w_prior*prior_fit − w_conflict*conflict_penalty − w_overlap*overlap_penalty</w:t>
      </w:r>
    </w:p>
    <w:p>
      <w:pPr>
        <w:pStyle w:val="BodyText"/>
      </w:pPr>
      <w:r>
        <w:rPr>
          <w:b/>
          <w:bCs/>
        </w:rPr>
        <w:t xml:space="preserve">Global solver pseudocode</w:t>
      </w:r>
    </w:p>
    <w:p>
      <w:pPr>
        <w:pStyle w:val="SourceCode"/>
      </w:pPr>
      <w:r>
        <w:rPr>
          <w:rStyle w:val="VerbatimChar"/>
        </w:rPr>
        <w:t xml:space="preserve">candidates = generate_candidates(molecule, params)   # PeakCandidate[]</w:t>
      </w:r>
      <w:r>
        <w:br/>
      </w:r>
      <w:r>
        <w:rPr>
          <w:rStyle w:val="VerbatimChar"/>
        </w:rPr>
        <w:t xml:space="preserve">groups = group_by_equivalence_or_atom(candidates)</w:t>
      </w:r>
      <w:r>
        <w:br/>
      </w:r>
      <w:r>
        <w:br/>
      </w:r>
      <w:r>
        <w:rPr>
          <w:rStyle w:val="VerbatimChar"/>
        </w:rPr>
        <w:t xml:space="preserve"># Initial greedy</w:t>
      </w:r>
      <w:r>
        <w:br/>
      </w:r>
      <w:r>
        <w:rPr>
          <w:rStyle w:val="VerbatimChar"/>
        </w:rPr>
        <w:t xml:space="preserve">selection = []</w:t>
      </w:r>
      <w:r>
        <w:br/>
      </w:r>
      <w:r>
        <w:rPr>
          <w:rStyle w:val="VerbatimChar"/>
        </w:rPr>
        <w:t xml:space="preserve">for g in groups:</w:t>
      </w:r>
      <w:r>
        <w:br/>
      </w:r>
      <w:r>
        <w:rPr>
          <w:rStyle w:val="VerbatimChar"/>
        </w:rPr>
        <w:t xml:space="preserve">  selection.append(argmax(g, score))</w:t>
      </w:r>
      <w:r>
        <w:br/>
      </w:r>
      <w:r>
        <w:br/>
      </w:r>
      <w:r>
        <w:rPr>
          <w:rStyle w:val="VerbatimChar"/>
        </w:rPr>
        <w:t xml:space="preserve"># Constraint loop with backtracking budget</w:t>
      </w:r>
      <w:r>
        <w:br/>
      </w:r>
      <w:r>
        <w:rPr>
          <w:rStyle w:val="VerbatimChar"/>
        </w:rPr>
        <w:t xml:space="preserve">for iter in 1..MAX_ITERS:</w:t>
      </w:r>
      <w:r>
        <w:br/>
      </w:r>
      <w:r>
        <w:rPr>
          <w:rStyle w:val="VerbatimChar"/>
        </w:rPr>
        <w:t xml:space="preserve">  violations = check_constraints(selection, molecule, params)</w:t>
      </w:r>
      <w:r>
        <w:br/>
      </w:r>
      <w:r>
        <w:rPr>
          <w:rStyle w:val="VerbatimChar"/>
        </w:rPr>
        <w:t xml:space="preserve">  if violations.empty(): break</w:t>
      </w:r>
      <w:r>
        <w:br/>
      </w:r>
      <w:r>
        <w:rPr>
          <w:rStyle w:val="VerbatimChar"/>
        </w:rPr>
        <w:t xml:space="preserve">  # pick highest severity violation</w:t>
      </w:r>
      <w:r>
        <w:br/>
      </w:r>
      <w:r>
        <w:rPr>
          <w:rStyle w:val="VerbatimChar"/>
        </w:rPr>
        <w:t xml:space="preserve">  v = choose(violations)</w:t>
      </w:r>
      <w:r>
        <w:br/>
      </w:r>
      <w:r>
        <w:rPr>
          <w:rStyle w:val="VerbatimChar"/>
        </w:rPr>
        <w:t xml:space="preserve">  # try to repair by swapping candidates in involved groups</w:t>
      </w:r>
      <w:r>
        <w:br/>
      </w:r>
      <w:r>
        <w:rPr>
          <w:rStyle w:val="VerbatimChar"/>
        </w:rPr>
        <w:t xml:space="preserve">  repaired = try_swap(selection, groups_involved(v), beam=3)</w:t>
      </w:r>
      <w:r>
        <w:br/>
      </w:r>
      <w:r>
        <w:rPr>
          <w:rStyle w:val="VerbatimChar"/>
        </w:rPr>
        <w:t xml:space="preserve">  if not repaired:</w:t>
      </w:r>
      <w:r>
        <w:br/>
      </w:r>
      <w:r>
        <w:rPr>
          <w:rStyle w:val="VerbatimChar"/>
        </w:rPr>
        <w:t xml:space="preserve">     mark_as_uncertain(v)</w:t>
      </w:r>
      <w:r>
        <w:br/>
      </w:r>
      <w:r>
        <w:rPr>
          <w:rStyle w:val="VerbatimChar"/>
        </w:rPr>
        <w:t xml:space="preserve">     downgrade_status(WARN)</w:t>
      </w:r>
      <w:r>
        <w:br/>
      </w:r>
      <w:r>
        <w:rPr>
          <w:rStyle w:val="VerbatimChar"/>
        </w:rPr>
        <w:t xml:space="preserve">     break</w:t>
      </w:r>
      <w:r>
        <w:br/>
      </w:r>
      <w:r>
        <w:br/>
      </w:r>
      <w:r>
        <w:rPr>
          <w:rStyle w:val="VerbatimChar"/>
        </w:rPr>
        <w:t xml:space="preserve">return selection, violations, uncertainty</w:t>
      </w:r>
    </w:p>
    <w:bookmarkEnd w:id="62"/>
    <w:bookmarkStart w:id="63" w:name="Xee2fcb0bb3e24bdbf10e29728efe474722327dc"/>
    <w:p>
      <w:pPr>
        <w:pStyle w:val="Heading3"/>
      </w:pPr>
      <w:r>
        <w:t xml:space="preserve">Evidence bundle şeması ve explainability çıktıları</w:t>
      </w:r>
    </w:p>
    <w:p>
      <w:pPr>
        <w:pStyle w:val="FirstParagraph"/>
      </w:pPr>
      <w:r>
        <w:rPr>
          <w:b/>
          <w:bCs/>
        </w:rPr>
        <w:t xml:space="preserve">Evidence bundle (JSON)</w:t>
      </w:r>
      <w:r>
        <w:t xml:space="preserve"> </w:t>
      </w:r>
      <w:r>
        <w:t xml:space="preserve">-</w:t>
      </w:r>
      <w:r>
        <w:t xml:space="preserve"> </w:t>
      </w:r>
      <w:r>
        <w:rPr>
          <w:rStyle w:val="VerbatimChar"/>
        </w:rPr>
        <w:t xml:space="preserve">computed_features</w:t>
      </w:r>
      <w:r>
        <w:t xml:space="preserve">: aromatiklik, hybridization, symmetry class id, HOSE code, partial charge proxy, functional groups</w:t>
      </w:r>
      <w:r>
        <w:br/>
      </w:r>
      <w:r>
        <w:t xml:space="preserve">-</w:t>
      </w:r>
      <w:r>
        <w:t xml:space="preserve"> </w:t>
      </w:r>
      <w:r>
        <w:rPr>
          <w:rStyle w:val="VerbatimChar"/>
        </w:rPr>
        <w:t xml:space="preserve">rule_hits</w:t>
      </w:r>
      <w:r>
        <w:t xml:space="preserve">: rule id, version, fired_at, matched_atoms, intermediate values</w:t>
      </w:r>
      <w:r>
        <w:br/>
      </w:r>
      <w:r>
        <w:t xml:space="preserve">-</w:t>
      </w:r>
      <w:r>
        <w:t xml:space="preserve"> </w:t>
      </w:r>
      <w:r>
        <w:rPr>
          <w:rStyle w:val="VerbatimChar"/>
        </w:rPr>
        <w:t xml:space="preserve">decisions</w:t>
      </w:r>
      <w:r>
        <w:t xml:space="preserve">: chosen candidate vs alternatives + neden</w:t>
      </w:r>
      <w:r>
        <w:br/>
      </w:r>
      <w:r>
        <w:t xml:space="preserve">-</w:t>
      </w:r>
      <w:r>
        <w:t xml:space="preserve"> </w:t>
      </w:r>
      <w:r>
        <w:rPr>
          <w:rStyle w:val="VerbatimChar"/>
        </w:rPr>
        <w:t xml:space="preserve">constraints</w:t>
      </w:r>
      <w:r>
        <w:t xml:space="preserve">: ihlal listesi + düzeltme girişimleri</w:t>
      </w:r>
    </w:p>
    <w:p>
      <w:pPr>
        <w:pStyle w:val="BodyText"/>
      </w:pPr>
      <w:r>
        <w:rPr>
          <w:b/>
          <w:bCs/>
        </w:rPr>
        <w:t xml:space="preserve">Explainability çıktı tipleri</w:t>
      </w:r>
      <w:r>
        <w:t xml:space="preserve"> </w:t>
      </w:r>
      <w:r>
        <w:t xml:space="preserve">- İnsan okunur: “Bu pik şu atom sınıfına atandı; şu kurallar tetiklendi; şu kısıtlar sağlandı.”</w:t>
      </w:r>
      <w:r>
        <w:br/>
      </w:r>
      <w:r>
        <w:t xml:space="preserve">- Makine okunur:</w:t>
      </w:r>
      <w:r>
        <w:t xml:space="preserve"> </w:t>
      </w:r>
      <w:r>
        <w:rPr>
          <w:rStyle w:val="VerbatimChar"/>
        </w:rPr>
        <w:t xml:space="preserve">rule_trace.json</w:t>
      </w:r>
      <w:r>
        <w:t xml:space="preserve"> </w:t>
      </w:r>
      <w:r>
        <w:t xml:space="preserve">+</w:t>
      </w:r>
      <w:r>
        <w:t xml:space="preserve"> </w:t>
      </w:r>
      <w:r>
        <w:rPr>
          <w:rStyle w:val="VerbatimChar"/>
        </w:rPr>
        <w:t xml:space="preserve">decision_graph.json</w:t>
      </w:r>
      <w:r>
        <w:t xml:space="preserve"> </w:t>
      </w:r>
      <w:r>
        <w:t xml:space="preserve">(UI overlay için)</w:t>
      </w:r>
    </w:p>
    <w:bookmarkEnd w:id="63"/>
    <w:bookmarkStart w:id="64" w:name="test-desenleri"/>
    <w:p>
      <w:pPr>
        <w:pStyle w:val="Heading3"/>
      </w:pPr>
      <w:r>
        <w:t xml:space="preserve">Test desenleri</w:t>
      </w:r>
    </w:p>
    <w:p>
      <w:pPr>
        <w:pStyle w:val="FirstParagraph"/>
      </w:pPr>
      <w:r>
        <w:rPr>
          <w:b/>
          <w:bCs/>
        </w:rPr>
        <w:t xml:space="preserve">Unit test</w:t>
      </w:r>
      <w:r>
        <w:t xml:space="preserve"> </w:t>
      </w:r>
      <w:r>
        <w:t xml:space="preserve">- (1) “when” predicate doğru mu?</w:t>
      </w:r>
      <w:r>
        <w:br/>
      </w:r>
      <w:r>
        <w:t xml:space="preserve">- (2) “then” output deterministic mi?</w:t>
      </w:r>
      <w:r>
        <w:br/>
      </w:r>
      <w:r>
        <w:t xml:space="preserve">- (3) Evidence alanları dolu mu?</w:t>
      </w:r>
    </w:p>
    <w:p>
      <w:pPr>
        <w:pStyle w:val="BodyText"/>
      </w:pPr>
      <w:r>
        <w:rPr>
          <w:b/>
          <w:bCs/>
        </w:rPr>
        <w:t xml:space="preserve">Integration test</w:t>
      </w:r>
      <w:r>
        <w:t xml:space="preserve"> </w:t>
      </w:r>
      <w:r>
        <w:t xml:space="preserve">-</w:t>
      </w:r>
      <w:r>
        <w:t xml:space="preserve"> </w:t>
      </w:r>
      <w:r>
        <w:rPr>
          <w:rStyle w:val="VerbatimChar"/>
        </w:rPr>
        <w:t xml:space="preserve">SMILES → standardize → predict → synthesize → verify → report</w:t>
      </w:r>
      <w:r>
        <w:t xml:space="preserve"> </w:t>
      </w:r>
      <w:r>
        <w:t xml:space="preserve">pipeline snapshot (hash) testi.</w:t>
      </w:r>
    </w:p>
    <w:p>
      <w:pPr>
        <w:pStyle w:val="BodyText"/>
      </w:pPr>
      <w:r>
        <w:rPr>
          <w:b/>
          <w:bCs/>
        </w:rPr>
        <w:t xml:space="preserve">Golden regression</w:t>
      </w:r>
      <w:r>
        <w:t xml:space="preserve"> </w:t>
      </w:r>
      <w:r>
        <w:t xml:space="preserve">-</w:t>
      </w:r>
      <w:r>
        <w:t xml:space="preserve"> </w:t>
      </w:r>
      <w:r>
        <w:rPr>
          <w:rStyle w:val="VerbatimChar"/>
        </w:rPr>
        <w:t xml:space="preserve">GOLDEN_EXPECTATIONS_30.json</w:t>
      </w:r>
      <w:r>
        <w:t xml:space="preserve"> </w:t>
      </w:r>
      <w:r>
        <w:t xml:space="preserve">gibi “must_have / must_not_have” assertions; her rulepack release’inde CI’de çalışır.</w:t>
      </w:r>
    </w:p>
    <w:bookmarkEnd w:id="64"/>
    <w:bookmarkEnd w:id="65"/>
    <w:bookmarkStart w:id="70" w:name="chem-core-spesifikasyonu"/>
    <w:p>
      <w:pPr>
        <w:pStyle w:val="Heading2"/>
      </w:pPr>
      <w:r>
        <w:t xml:space="preserve">Chem Core spesifikasyonu</w:t>
      </w:r>
    </w:p>
    <w:bookmarkStart w:id="66" w:name="smiles-parsestandardize-stratejisi"/>
    <w:p>
      <w:pPr>
        <w:pStyle w:val="Heading3"/>
      </w:pPr>
      <w:r>
        <w:t xml:space="preserve">SMILES parse/standardize stratejisi</w:t>
      </w:r>
    </w:p>
    <w:p>
      <w:pPr>
        <w:pStyle w:val="FirstParagraph"/>
      </w:pPr>
      <w:r>
        <w:rPr>
          <w:b/>
          <w:bCs/>
        </w:rPr>
        <w:t xml:space="preserve">Neden RDKit</w:t>
      </w:r>
      <w:r>
        <w:t xml:space="preserve"> </w:t>
      </w:r>
      <w:r>
        <w:t xml:space="preserve">- OpenSMILES; parser/writer geliştiricileri için SMILES’in semantik kurallarını tanımlar.</w:t>
      </w:r>
      <w:r>
        <w:t xml:space="preserve"> </w:t>
      </w:r>
      <w:hyperlink r:id="rId23">
        <w:r>
          <w:rPr>
            <w:rStyle w:val="Hyperlink"/>
          </w:rPr>
          <w:t xml:space="preserve">[2]</w:t>
        </w:r>
      </w:hyperlink>
      <w:r>
        <w:br/>
      </w:r>
      <w:r>
        <w:t xml:space="preserve">- RDKit’in aromatiklik algısı “kural seti” ile yapılır; pattern/regex tabanlı yaklaşımlara göre daha deterministik ve geniş kapsamlıdır.</w:t>
      </w:r>
      <w:r>
        <w:t xml:space="preserve"> </w:t>
      </w:r>
      <w:hyperlink r:id="rId24">
        <w:r>
          <w:rPr>
            <w:rStyle w:val="Hyperlink"/>
          </w:rPr>
          <w:t xml:space="preserve">[3]</w:t>
        </w:r>
      </w:hyperlink>
      <w:r>
        <w:br/>
      </w:r>
      <w:r>
        <w:t xml:space="preserve">- RDKit MolStandardize; normalizasyon ve canonical tautomer gibi işlemler sağlar (canonical tautomerin şartlara göre en stabil olmayabileceğini de vurgular).</w:t>
      </w:r>
      <w:r>
        <w:t xml:space="preserve"> </w:t>
      </w:r>
      <w:hyperlink r:id="rId25">
        <w:r>
          <w:rPr>
            <w:rStyle w:val="Hyperlink"/>
          </w:rPr>
          <w:t xml:space="preserve">[4]</w:t>
        </w:r>
      </w:hyperlink>
    </w:p>
    <w:p>
      <w:pPr>
        <w:pStyle w:val="BodyText"/>
      </w:pPr>
      <w:r>
        <w:rPr>
          <w:b/>
          <w:bCs/>
        </w:rPr>
        <w:t xml:space="preserve">Standardizasyon pipeline (öneri)</w:t>
      </w:r>
      <w:r>
        <w:t xml:space="preserve"> </w:t>
      </w:r>
      <w:r>
        <w:t xml:space="preserve">-</w:t>
      </w:r>
      <w:r>
        <w:t xml:space="preserve"> </w:t>
      </w:r>
      <w:r>
        <w:rPr>
          <w:rStyle w:val="VerbatimChar"/>
        </w:rPr>
        <w:t xml:space="preserve">MolFromSmiles</w:t>
      </w:r>
      <w:r>
        <w:t xml:space="preserve"> </w:t>
      </w:r>
      <w:r>
        <w:t xml:space="preserve">(sanitize on)</w:t>
      </w:r>
      <w:r>
        <w:br/>
      </w:r>
      <w:r>
        <w:t xml:space="preserve">- Salt/mixture ayrımı (isteğe bağlı; tek bileşik hedefinde “largest fragment”)</w:t>
      </w:r>
      <w:r>
        <w:br/>
      </w:r>
      <w:r>
        <w:t xml:space="preserve">- Charge normalization &amp; reionization</w:t>
      </w:r>
      <w:r>
        <w:br/>
      </w:r>
      <w:r>
        <w:t xml:space="preserve">- Tautomer/protomer policy:</w:t>
      </w:r>
      <w:r>
        <w:t xml:space="preserve"> </w:t>
      </w:r>
      <w:r>
        <w:t xml:space="preserve">- “canonical tautomer” (default) + opsiyonel “enumerate top‑N” (çözücü/pH modülü gelince)</w:t>
      </w:r>
      <w:r>
        <w:br/>
      </w:r>
      <w:r>
        <w:t xml:space="preserve">- Stereochemistry perception (preserve/normalize policy)</w:t>
      </w:r>
    </w:p>
    <w:bookmarkEnd w:id="66"/>
    <w:bookmarkStart w:id="67" w:name="aromatiklik-implicit-h-protomertautomer"/>
    <w:p>
      <w:pPr>
        <w:pStyle w:val="Heading3"/>
      </w:pPr>
      <w:r>
        <w:t xml:space="preserve">Aromatiklik, implicit H, protomer/tautomer</w:t>
      </w:r>
    </w:p>
    <w:p>
      <w:pPr>
        <w:pStyle w:val="Compact"/>
        <w:numPr>
          <w:ilvl w:val="0"/>
          <w:numId w:val="1001"/>
        </w:numPr>
      </w:pPr>
      <w:r>
        <w:t xml:space="preserve">Aromatiklik: RDKit kurallarıyla aromatic atom/bond belirle.</w:t>
      </w:r>
      <w:r>
        <w:t xml:space="preserve"> </w:t>
      </w:r>
      <w:hyperlink r:id="rId24">
        <w:r>
          <w:rPr>
            <w:rStyle w:val="Hyperlink"/>
          </w:rPr>
          <w:t xml:space="preserve">[3]</w:t>
        </w:r>
      </w:hyperlink>
    </w:p>
    <w:p>
      <w:pPr>
        <w:pStyle w:val="Compact"/>
        <w:numPr>
          <w:ilvl w:val="0"/>
          <w:numId w:val="1001"/>
        </w:numPr>
      </w:pPr>
      <w:r>
        <w:t xml:space="preserve">Implicit/explicit H: NMR için proton sayımı ve HSQC expected için kritik; “explicit H” çalışmasıyla kolaylaşır.</w:t>
      </w:r>
    </w:p>
    <w:p>
      <w:pPr>
        <w:pStyle w:val="Compact"/>
        <w:numPr>
          <w:ilvl w:val="0"/>
          <w:numId w:val="1001"/>
        </w:numPr>
      </w:pPr>
      <w:r>
        <w:t xml:space="preserve">Tautomer: MolStandardize enumerator + canonicalizer.</w:t>
      </w:r>
      <w:r>
        <w:t xml:space="preserve"> </w:t>
      </w:r>
      <w:hyperlink r:id="rId25">
        <w:r>
          <w:rPr>
            <w:rStyle w:val="Hyperlink"/>
          </w:rPr>
          <w:t xml:space="preserve">[4]</w:t>
        </w:r>
      </w:hyperlink>
    </w:p>
    <w:p>
      <w:pPr>
        <w:pStyle w:val="Compact"/>
        <w:numPr>
          <w:ilvl w:val="0"/>
          <w:numId w:val="1001"/>
        </w:numPr>
      </w:pPr>
      <w:r>
        <w:t xml:space="preserve">Protomer: (pH‑aware mod) ayrı; Part11 modunda “policy locked” olmalı.</w:t>
      </w:r>
    </w:p>
    <w:bookmarkEnd w:id="67"/>
    <w:bookmarkStart w:id="69" w:name="Xaaa771708414d993e8211fd3d7ee91341cbfe75"/>
    <w:p>
      <w:pPr>
        <w:pStyle w:val="Heading3"/>
      </w:pPr>
      <w:r>
        <w:t xml:space="preserve">Simetri tespiti (graph automorphism) ve atom indeksleme</w:t>
      </w:r>
    </w:p>
    <w:p>
      <w:pPr>
        <w:pStyle w:val="FirstParagraph"/>
      </w:pPr>
      <w:r>
        <w:t xml:space="preserve">Hedef: “eşdeğer atom/proton sınıfları”nı deterministik bulmak.</w:t>
      </w:r>
      <w:r>
        <w:br/>
      </w:r>
      <w:r>
        <w:t xml:space="preserve">- RDKit canonicalization; atomlara kanonik rank atar ve canonical SMILES sırasını belirler.</w:t>
      </w:r>
      <w:r>
        <w:t xml:space="preserve"> </w:t>
      </w:r>
      <w:hyperlink r:id="rId68">
        <w:r>
          <w:rPr>
            <w:rStyle w:val="Hyperlink"/>
          </w:rPr>
          <w:t xml:space="preserve">[32]</w:t>
        </w:r>
      </w:hyperlink>
      <w:r>
        <w:br/>
      </w:r>
      <w:r>
        <w:t xml:space="preserve">- Symmetry class:</w:t>
      </w:r>
      <w:r>
        <w:t xml:space="preserve"> </w:t>
      </w:r>
      <w:r>
        <w:rPr>
          <w:rStyle w:val="VerbatimChar"/>
        </w:rPr>
        <w:t xml:space="preserve">CanonicalRankAtoms(breakTies=False)</w:t>
      </w:r>
      <w:r>
        <w:t xml:space="preserve"> </w:t>
      </w:r>
      <w:r>
        <w:t xml:space="preserve">gibi yaklaşımla aynı rank → eşdeğer sınıf.</w:t>
      </w:r>
    </w:p>
    <w:p>
      <w:pPr>
        <w:pStyle w:val="BodyText"/>
      </w:pPr>
      <w:r>
        <w:rPr>
          <w:b/>
          <w:bCs/>
        </w:rPr>
        <w:t xml:space="preserve">Atom indexing convention</w:t>
      </w:r>
      <w:r>
        <w:t xml:space="preserve"> </w:t>
      </w:r>
      <w:r>
        <w:t xml:space="preserve">- “Internal index” = RDKit atom idx (0‑based)</w:t>
      </w:r>
      <w:r>
        <w:br/>
      </w:r>
      <w:r>
        <w:t xml:space="preserve">- “Stable id” =</w:t>
      </w:r>
      <w:r>
        <w:t xml:space="preserve"> </w:t>
      </w:r>
      <w:r>
        <w:rPr>
          <w:rStyle w:val="VerbatimChar"/>
        </w:rPr>
        <w:t xml:space="preserve">mol_hash + atom_rank + occurrence</w:t>
      </w:r>
      <w:r>
        <w:t xml:space="preserve"> </w:t>
      </w:r>
      <w:r>
        <w:t xml:space="preserve">(canonical order)</w:t>
      </w:r>
      <w:r>
        <w:br/>
      </w:r>
      <w:r>
        <w:t xml:space="preserve">- Her dönüşümde</w:t>
      </w:r>
      <w:r>
        <w:t xml:space="preserve"> </w:t>
      </w:r>
      <w:r>
        <w:rPr>
          <w:rStyle w:val="VerbatimChar"/>
        </w:rPr>
        <w:t xml:space="preserve">index_map</w:t>
      </w:r>
      <w:r>
        <w:t xml:space="preserve"> </w:t>
      </w:r>
      <w:r>
        <w:t xml:space="preserve">sakla: input atom index → canonical id.</w:t>
      </w:r>
    </w:p>
    <w:bookmarkEnd w:id="69"/>
    <w:bookmarkEnd w:id="70"/>
    <w:bookmarkStart w:id="75" w:name="spektrum-sentez-motoru"/>
    <w:p>
      <w:pPr>
        <w:pStyle w:val="Heading2"/>
      </w:pPr>
      <w:r>
        <w:t xml:space="preserve">Spektrum sentez motoru</w:t>
      </w:r>
    </w:p>
    <w:p>
      <w:pPr>
        <w:pStyle w:val="FirstParagraph"/>
      </w:pPr>
      <w:r>
        <w:t xml:space="preserve">Aşağıdaki motor; “peak list” ile “kontinu spektrum”u birbirinden ayırır. Tahmin motoru deterministik peak candidate üretir; sentez motoru sadece matematiksel çizim yapar.</w:t>
      </w:r>
    </w:p>
    <w:bookmarkStart w:id="71" w:name="peak-candidate-üretimi"/>
    <w:p>
      <w:pPr>
        <w:pStyle w:val="Heading3"/>
      </w:pPr>
      <w:r>
        <w:t xml:space="preserve">Peak candidate üretimi</w:t>
      </w:r>
    </w:p>
    <w:p>
      <w:pPr>
        <w:pStyle w:val="Compact"/>
        <w:numPr>
          <w:ilvl w:val="0"/>
          <w:numId w:val="1002"/>
        </w:numPr>
      </w:pPr>
      <w:r>
        <w:t xml:space="preserve">NMR: her eşdeğer proton sınıfı için (ppm mean, sigma, integral count, J list, multiplicity).</w:t>
      </w:r>
    </w:p>
    <w:p>
      <w:pPr>
        <w:pStyle w:val="Compact"/>
        <w:numPr>
          <w:ilvl w:val="0"/>
          <w:numId w:val="1002"/>
        </w:numPr>
      </w:pPr>
      <w:r>
        <w:t xml:space="preserve">IR: her fonksiyonel grup bandı için (wavenumber range, intensity class).</w:t>
      </w:r>
    </w:p>
    <w:p>
      <w:pPr>
        <w:pStyle w:val="Compact"/>
        <w:numPr>
          <w:ilvl w:val="0"/>
          <w:numId w:val="1002"/>
        </w:numPr>
      </w:pPr>
      <w:r>
        <w:t xml:space="preserve">MS: adduct/fragman için (m/z, intensity, annotation).</w:t>
      </w:r>
    </w:p>
    <w:bookmarkEnd w:id="71"/>
    <w:bookmarkStart w:id="72" w:name="X430b6cab5ae1da29d182acae76ffb4584cb533f"/>
    <w:p>
      <w:pPr>
        <w:pStyle w:val="Heading3"/>
      </w:pPr>
      <w:r>
        <w:t xml:space="preserve">J‑coupling network builder ve spin system simülasyonu</w:t>
      </w:r>
    </w:p>
    <w:p>
      <w:pPr>
        <w:pStyle w:val="FirstParagraph"/>
      </w:pPr>
      <w:r>
        <w:rPr>
          <w:b/>
          <w:bCs/>
        </w:rPr>
        <w:t xml:space="preserve">J‑network</w:t>
      </w:r>
      <w:r>
        <w:t xml:space="preserve"> </w:t>
      </w:r>
      <w:r>
        <w:t xml:space="preserve">- Graph üzerinde H–H ilişkileri: 2–3 bond (vicinal) ana; aromatic meta gibi opsiyonel.</w:t>
      </w:r>
      <w:r>
        <w:br/>
      </w:r>
      <w:r>
        <w:t xml:space="preserve">- 3J için Karplus:</w:t>
      </w:r>
      <w:r>
        <w:t xml:space="preserve"> </w:t>
      </w:r>
      <w:r>
        <w:rPr>
          <w:rStyle w:val="VerbatimChar"/>
        </w:rPr>
        <w:t xml:space="preserve">J(φ)=A cos²φ + B cosφ + C</w:t>
      </w:r>
      <w:r>
        <w:t xml:space="preserve"> </w:t>
      </w:r>
      <w:r>
        <w:t xml:space="preserve">türü parametrik form; Karplus 1963 JACS (DOI) temel kaynaktır.</w:t>
      </w:r>
      <w:r>
        <w:t xml:space="preserve"> </w:t>
      </w:r>
      <w:hyperlink r:id="rId49">
        <w:r>
          <w:rPr>
            <w:rStyle w:val="Hyperlink"/>
          </w:rPr>
          <w:t xml:space="preserve">[25]</w:t>
        </w:r>
      </w:hyperlink>
      <w:r>
        <w:br/>
      </w:r>
      <w:r>
        <w:t xml:space="preserve">- Dihedral φ için 3D konformer gerekir (NOESY ile ortak).</w:t>
      </w:r>
    </w:p>
    <w:p>
      <w:pPr>
        <w:pStyle w:val="BodyText"/>
      </w:pPr>
      <w:r>
        <w:rPr>
          <w:b/>
          <w:bCs/>
        </w:rPr>
        <w:t xml:space="preserve">Second‑order yaklaşımı (deterministik, yaklaşık)</w:t>
      </w:r>
      <w:r>
        <w:t xml:space="preserve"> </w:t>
      </w:r>
      <w:r>
        <w:t xml:space="preserve">- Spin system’i connected components’e ayır.</w:t>
      </w:r>
      <w:r>
        <w:br/>
      </w:r>
      <w:r>
        <w:t xml:space="preserve">- Her component için:</w:t>
      </w:r>
      <w:r>
        <w:t xml:space="preserve"> </w:t>
      </w:r>
      <w:r>
        <w:t xml:space="preserve">- Eğer Δν/J &gt; 10 → first order splitting (n+1).</w:t>
      </w:r>
      <w:r>
        <w:br/>
      </w:r>
      <w:r>
        <w:t xml:space="preserve">- Eğer Δν/J ≤ 10 → AB/ABX pattern approx (lookup table veya küçük Hamiltonian diagonalization).</w:t>
      </w:r>
      <w:r>
        <w:br/>
      </w:r>
      <w:r>
        <w:t xml:space="preserve">- nmrdb.org gibi web simülatörleri AB, ABX, AA’XX’ gibi second‑order efektleri simüle edebildiğini belirtir; bu “hedef seviye” için bir benchmark’tır.</w:t>
      </w:r>
      <w:r>
        <w:t xml:space="preserve"> </w:t>
      </w:r>
      <w:hyperlink r:id="rId39">
        <w:r>
          <w:rPr>
            <w:rStyle w:val="Hyperlink"/>
          </w:rPr>
          <w:t xml:space="preserve">[18]</w:t>
        </w:r>
      </w:hyperlink>
    </w:p>
    <w:bookmarkEnd w:id="72"/>
    <w:bookmarkStart w:id="73" w:name="lineshape-modelleri-ve-kontinu-spektrum"/>
    <w:p>
      <w:pPr>
        <w:pStyle w:val="Heading3"/>
      </w:pPr>
      <w:r>
        <w:t xml:space="preserve">Line‑shape modelleri ve kontinu spektrum</w:t>
      </w:r>
    </w:p>
    <w:p>
      <w:pPr>
        <w:pStyle w:val="Compact"/>
        <w:numPr>
          <w:ilvl w:val="0"/>
          <w:numId w:val="1003"/>
        </w:numPr>
      </w:pPr>
      <w:r>
        <w:t xml:space="preserve">Gaussian: enstrüman broadening / noise</w:t>
      </w:r>
    </w:p>
    <w:p>
      <w:pPr>
        <w:pStyle w:val="Compact"/>
        <w:numPr>
          <w:ilvl w:val="0"/>
          <w:numId w:val="1003"/>
        </w:numPr>
      </w:pPr>
      <w:r>
        <w:t xml:space="preserve">Lorentzian: doğal line width</w:t>
      </w:r>
    </w:p>
    <w:p>
      <w:pPr>
        <w:pStyle w:val="Compact"/>
        <w:numPr>
          <w:ilvl w:val="0"/>
          <w:numId w:val="1003"/>
        </w:numPr>
      </w:pPr>
      <w:r>
        <w:t xml:space="preserve">Voigt: karışım</w:t>
      </w:r>
    </w:p>
    <w:p>
      <w:pPr>
        <w:pStyle w:val="Compact"/>
        <w:numPr>
          <w:ilvl w:val="0"/>
          <w:numId w:val="1003"/>
        </w:numPr>
      </w:pPr>
      <w:r>
        <w:t xml:space="preserve">Baseline/noise: opsiyonel, fakat verify pipeline’da “yoksa yok” ayrımı net olmalı (Part 11’de uydurma veri kabul edilemez).</w:t>
      </w:r>
    </w:p>
    <w:bookmarkEnd w:id="73"/>
    <w:bookmarkStart w:id="74" w:name="d-yoğunluk-simülasyonu-hsqchmbccosynoesy"/>
    <w:p>
      <w:pPr>
        <w:pStyle w:val="Heading3"/>
      </w:pPr>
      <w:r>
        <w:t xml:space="preserve">2D yoğunluk simülasyonu (HSQC/HMBC/COSY/NOESY)</w:t>
      </w:r>
    </w:p>
    <w:p>
      <w:pPr>
        <w:pStyle w:val="FirstParagraph"/>
      </w:pPr>
      <w:r>
        <w:rPr>
          <w:b/>
          <w:bCs/>
        </w:rPr>
        <w:t xml:space="preserve">Mermaid akış diyagramı</w:t>
      </w:r>
    </w:p>
    <w:p>
      <w:pPr>
        <w:pStyle w:val="SourceCode"/>
      </w:pPr>
      <w:r>
        <w:rPr>
          <w:rStyle w:val="VerbatimChar"/>
        </w:rPr>
        <w:t xml:space="preserve">flowchart TD</w:t>
      </w:r>
      <w:r>
        <w:br/>
      </w:r>
      <w:r>
        <w:rPr>
          <w:rStyle w:val="VerbatimChar"/>
        </w:rPr>
        <w:t xml:space="preserve">  A[SMILES] --&gt; B[Chem Core: RDKit parse + standardize]</w:t>
      </w:r>
      <w:r>
        <w:br/>
      </w:r>
      <w:r>
        <w:rPr>
          <w:rStyle w:val="VerbatimChar"/>
        </w:rPr>
        <w:t xml:space="preserve">  B --&gt; C[1H/13C peak candidates]</w:t>
      </w:r>
      <w:r>
        <w:br/>
      </w:r>
      <w:r>
        <w:rPr>
          <w:rStyle w:val="VerbatimChar"/>
        </w:rPr>
        <w:t xml:space="preserve">  C --&gt; D1[HSQC pairs: 1JCH]</w:t>
      </w:r>
      <w:r>
        <w:br/>
      </w:r>
      <w:r>
        <w:rPr>
          <w:rStyle w:val="VerbatimChar"/>
        </w:rPr>
        <w:t xml:space="preserve">  C --&gt; D2[COSY pairs: JHH graph]</w:t>
      </w:r>
      <w:r>
        <w:br/>
      </w:r>
      <w:r>
        <w:rPr>
          <w:rStyle w:val="VerbatimChar"/>
        </w:rPr>
        <w:t xml:space="preserve">  C --&gt; D3[HMBC pairs: 2-3JCH paths]</w:t>
      </w:r>
      <w:r>
        <w:br/>
      </w:r>
      <w:r>
        <w:rPr>
          <w:rStyle w:val="VerbatimChar"/>
        </w:rPr>
        <w:t xml:space="preserve">  B --&gt; E[Konformer üretimi: ETKDG seed]</w:t>
      </w:r>
      <w:r>
        <w:br/>
      </w:r>
      <w:r>
        <w:rPr>
          <w:rStyle w:val="VerbatimChar"/>
        </w:rPr>
        <w:t xml:space="preserve">  E --&gt; D4[NOESY pairs: r^-6 distance]</w:t>
      </w:r>
      <w:r>
        <w:br/>
      </w:r>
      <w:r>
        <w:rPr>
          <w:rStyle w:val="VerbatimChar"/>
        </w:rPr>
        <w:t xml:space="preserve">  D1 --&gt; F[2D grid render + peak list]</w:t>
      </w:r>
      <w:r>
        <w:br/>
      </w:r>
      <w:r>
        <w:rPr>
          <w:rStyle w:val="VerbatimChar"/>
        </w:rPr>
        <w:t xml:space="preserve">  D2 --&gt; F</w:t>
      </w:r>
      <w:r>
        <w:br/>
      </w:r>
      <w:r>
        <w:rPr>
          <w:rStyle w:val="VerbatimChar"/>
        </w:rPr>
        <w:t xml:space="preserve">  D3 --&gt; F</w:t>
      </w:r>
      <w:r>
        <w:br/>
      </w:r>
      <w:r>
        <w:rPr>
          <w:rStyle w:val="VerbatimChar"/>
        </w:rPr>
        <w:t xml:space="preserve">  D4 --&gt; F</w:t>
      </w:r>
      <w:r>
        <w:br/>
      </w:r>
      <w:r>
        <w:rPr>
          <w:rStyle w:val="VerbatimChar"/>
        </w:rPr>
        <w:t xml:space="preserve">  F --&gt; G[Verify: coverage + physics constraints]</w:t>
      </w:r>
      <w:r>
        <w:br/>
      </w:r>
      <w:r>
        <w:rPr>
          <w:rStyle w:val="VerbatimChar"/>
        </w:rPr>
        <w:t xml:space="preserve">  G --&gt; H[Part11 report + artifacts]</w:t>
      </w:r>
    </w:p>
    <w:p>
      <w:pPr>
        <w:pStyle w:val="FirstParagraph"/>
      </w:pPr>
      <w:r>
        <w:rPr>
          <w:b/>
          <w:bCs/>
        </w:rPr>
        <w:t xml:space="preserve">Performans/parallelization</w:t>
      </w:r>
      <w:r>
        <w:t xml:space="preserve"> </w:t>
      </w:r>
      <w:r>
        <w:t xml:space="preserve">- Molecule‑level paralel: batch job queue (Celery/RQ).</w:t>
      </w:r>
      <w:r>
        <w:br/>
      </w:r>
      <w:r>
        <w:t xml:space="preserve">- Rule‑level paralel: bağımsız teknikler (IR/MS/NMR) ayrı worker.</w:t>
      </w:r>
      <w:r>
        <w:br/>
      </w:r>
      <w:r>
        <w:t xml:space="preserve">- Cache: canonical SMILES → features; HOSE/descriptor cache.</w:t>
      </w:r>
    </w:p>
    <w:bookmarkEnd w:id="74"/>
    <w:bookmarkEnd w:id="75"/>
    <w:bookmarkStart w:id="91" w:name="Xc57dc065e62cf69510638c56b82dea27a41df8f"/>
    <w:p>
      <w:pPr>
        <w:pStyle w:val="Heading2"/>
      </w:pPr>
      <w:r>
        <w:t xml:space="preserve">Doğrulama metrikleri, golden test setleri ve önerilen açık veriler</w:t>
      </w:r>
    </w:p>
    <w:bookmarkStart w:id="76" w:name="coverage-ve-skor-metrikleri"/>
    <w:p>
      <w:pPr>
        <w:pStyle w:val="Heading3"/>
      </w:pPr>
      <w:r>
        <w:t xml:space="preserve">Coverage ve skor metrikleri</w:t>
      </w:r>
    </w:p>
    <w:p>
      <w:pPr>
        <w:pStyle w:val="FirstParagraph"/>
      </w:pPr>
      <w:r>
        <w:rPr>
          <w:b/>
          <w:bCs/>
        </w:rPr>
        <w:t xml:space="preserve">Temel tanımlar</w:t>
      </w:r>
      <w:r>
        <w:t xml:space="preserve"> </w:t>
      </w:r>
      <w:r>
        <w:t xml:space="preserve">-</w:t>
      </w:r>
      <w:r>
        <w:t xml:space="preserve"> </w:t>
      </w:r>
      <w:r>
        <w:rPr>
          <w:rStyle w:val="VerbatimChar"/>
        </w:rPr>
        <w:t xml:space="preserve">coverage = assigned_peaks / expected_peaks</w:t>
      </w:r>
      <w:r>
        <w:t xml:space="preserve"> </w:t>
      </w:r>
      <w:r>
        <w:t xml:space="preserve">(teknik bazında).</w:t>
      </w:r>
      <w:r>
        <w:br/>
      </w:r>
      <w:r>
        <w:t xml:space="preserve">-</w:t>
      </w:r>
      <w:r>
        <w:t xml:space="preserve"> </w:t>
      </w:r>
      <w:r>
        <w:rPr>
          <w:rStyle w:val="VerbatimChar"/>
        </w:rPr>
        <w:t xml:space="preserve">ambiguity = ambiguous_peaks / total_peaks</w:t>
      </w:r>
      <w:r>
        <w:br/>
      </w:r>
      <w:r>
        <w:t xml:space="preserve">-</w:t>
      </w:r>
      <w:r>
        <w:t xml:space="preserve"> </w:t>
      </w:r>
      <w:r>
        <w:rPr>
          <w:rStyle w:val="VerbatimChar"/>
        </w:rPr>
        <w:t xml:space="preserve">consistency_score</w:t>
      </w:r>
      <w:r>
        <w:t xml:space="preserve">: ağırlıklı PASS/WARN/FAIL (ör. PASS=1, WARN=0.5, FAIL=0).</w:t>
      </w:r>
      <w:r>
        <w:br/>
      </w:r>
      <w:r>
        <w:t xml:space="preserve">-</w:t>
      </w:r>
      <w:r>
        <w:t xml:space="preserve"> </w:t>
      </w:r>
      <w:r>
        <w:rPr>
          <w:rStyle w:val="VerbatimChar"/>
        </w:rPr>
        <w:t xml:space="preserve">uncertainty_budget</w:t>
      </w:r>
      <w:r>
        <w:t xml:space="preserve">: (1 − confidence) gibi; rule‑level sigma’lardan propagate.</w:t>
      </w:r>
    </w:p>
    <w:p>
      <w:pPr>
        <w:pStyle w:val="BodyText"/>
      </w:pPr>
      <w:r>
        <w:rPr>
          <w:b/>
          <w:bCs/>
        </w:rPr>
        <w:t xml:space="preserve">PASS/WARN/FAIL rubric (başlangıç)</w:t>
      </w:r>
      <w:r>
        <w:t xml:space="preserve"> </w:t>
      </w:r>
      <w:r>
        <w:t xml:space="preserve">- PASS: consistency_score ≥0.85 ve critical FAIL yok</w:t>
      </w:r>
      <w:r>
        <w:br/>
      </w:r>
      <w:r>
        <w:t xml:space="preserve">- WARN: 0.65–0.85 veya critical olmayan FAIL var</w:t>
      </w:r>
      <w:r>
        <w:br/>
      </w:r>
      <w:r>
        <w:t xml:space="preserve">- FAIL: &lt;0.65 veya FATAL (ör. DBE negatif, HSQC’de Q carbon)</w:t>
      </w:r>
    </w:p>
    <w:p>
      <w:pPr>
        <w:pStyle w:val="BodyText"/>
      </w:pPr>
      <w:r>
        <w:t xml:space="preserve">Part11 raporunda her kararın numerik kanıtı bulunmalı (ölçülen değer, beklenen aralık, eşik).</w:t>
      </w:r>
      <w:r>
        <w:t xml:space="preserve"> </w:t>
      </w:r>
      <w:hyperlink r:id="rId22">
        <w:r>
          <w:rPr>
            <w:rStyle w:val="Hyperlink"/>
          </w:rPr>
          <w:t xml:space="preserve">[16]</w:t>
        </w:r>
      </w:hyperlink>
    </w:p>
    <w:bookmarkEnd w:id="76"/>
    <w:bookmarkStart w:id="85" w:name="açık-veri-setleri-ve-kullanım-stratejisi"/>
    <w:p>
      <w:pPr>
        <w:pStyle w:val="Heading3"/>
      </w:pPr>
      <w:r>
        <w:t xml:space="preserve">Açık veri setleri ve kullanım stratejisi</w:t>
      </w:r>
    </w:p>
    <w:p>
      <w:pPr>
        <w:pStyle w:val="FirstParagraph"/>
      </w:pPr>
      <w:r>
        <w:rPr>
          <w:b/>
          <w:bCs/>
        </w:rPr>
        <w:t xml:space="preserve">NMR</w:t>
      </w:r>
      <w:r>
        <w:t xml:space="preserve"> </w:t>
      </w:r>
      <w:r>
        <w:t xml:space="preserve">-</w:t>
      </w:r>
      <w:r>
        <w:t xml:space="preserve"> </w:t>
      </w:r>
      <w:r>
        <w:rPr>
          <w:b/>
          <w:bCs/>
        </w:rPr>
        <w:t xml:space="preserve">nmrshiftdb2 / NMRShiftDB</w:t>
      </w:r>
      <w:r>
        <w:t xml:space="preserve">: açık NMR veri tabanı; web üzerinden 1D/2D fonksiyonlar ve prediction/assignment desteklediğini belirtir.</w:t>
      </w:r>
      <w:r>
        <w:t xml:space="preserve"> </w:t>
      </w:r>
      <w:hyperlink r:id="rId77">
        <w:r>
          <w:rPr>
            <w:rStyle w:val="Hyperlink"/>
          </w:rPr>
          <w:t xml:space="preserve">[33]</w:t>
        </w:r>
      </w:hyperlink>
      <w:r>
        <w:br/>
      </w:r>
      <w:r>
        <w:t xml:space="preserve">- “20 years of nmrshiftdb2” makalesi; açık veritabanı için dersler/başarı/eksikler anlatır (ürün tasarımında data governance için önemli).</w:t>
      </w:r>
      <w:r>
        <w:t xml:space="preserve"> </w:t>
      </w:r>
      <w:hyperlink r:id="rId78">
        <w:r>
          <w:rPr>
            <w:rStyle w:val="Hyperlink"/>
          </w:rPr>
          <w:t xml:space="preserve">[34]</w:t>
        </w:r>
      </w:hyperlink>
      <w:r>
        <w:br/>
      </w:r>
      <w:r>
        <w:t xml:space="preserve">-</w:t>
      </w:r>
      <w:r>
        <w:t xml:space="preserve"> </w:t>
      </w:r>
      <w:r>
        <w:rPr>
          <w:b/>
          <w:bCs/>
        </w:rPr>
        <w:t xml:space="preserve">nmrXiv (NFDI4Chem)</w:t>
      </w:r>
      <w:r>
        <w:t xml:space="preserve">: FAIR ve açık NMR veri deposu; platform/analiz hedefiyle geliştirildiği belirtilir.</w:t>
      </w:r>
      <w:r>
        <w:t xml:space="preserve"> </w:t>
      </w:r>
      <w:hyperlink r:id="rId79">
        <w:r>
          <w:rPr>
            <w:rStyle w:val="Hyperlink"/>
          </w:rPr>
          <w:t xml:space="preserve">[35]</w:t>
        </w:r>
      </w:hyperlink>
      <w:r>
        <w:br/>
      </w:r>
      <w:r>
        <w:t xml:space="preserve">-</w:t>
      </w:r>
      <w:r>
        <w:t xml:space="preserve"> </w:t>
      </w:r>
      <w:r>
        <w:rPr>
          <w:b/>
          <w:bCs/>
        </w:rPr>
        <w:t xml:space="preserve">NMReDATA</w:t>
      </w:r>
      <w:r>
        <w:t xml:space="preserve">: SDF tag’lerle NMR assignment ve parametrelerin raporlanmasını hedefleyen standart girişim.</w:t>
      </w:r>
      <w:r>
        <w:t xml:space="preserve"> </w:t>
      </w:r>
      <w:hyperlink r:id="rId80">
        <w:r>
          <w:rPr>
            <w:rStyle w:val="Hyperlink"/>
          </w:rPr>
          <w:t xml:space="preserve">[36]</w:t>
        </w:r>
      </w:hyperlink>
      <w:r>
        <w:br/>
      </w:r>
      <w:r>
        <w:t xml:space="preserve">-</w:t>
      </w:r>
      <w:r>
        <w:t xml:space="preserve"> </w:t>
      </w:r>
      <w:r>
        <w:rPr>
          <w:b/>
          <w:bCs/>
        </w:rPr>
        <w:t xml:space="preserve">nmrML</w:t>
      </w:r>
      <w:r>
        <w:t xml:space="preserve">: NMR verisi için açık XML standardı (raw + metadata dahil).</w:t>
      </w:r>
      <w:r>
        <w:t xml:space="preserve"> </w:t>
      </w:r>
      <w:hyperlink r:id="rId81">
        <w:r>
          <w:rPr>
            <w:rStyle w:val="Hyperlink"/>
          </w:rPr>
          <w:t xml:space="preserve">[37]</w:t>
        </w:r>
      </w:hyperlink>
    </w:p>
    <w:p>
      <w:pPr>
        <w:pStyle w:val="BodyText"/>
      </w:pPr>
      <w:r>
        <w:rPr>
          <w:b/>
          <w:bCs/>
        </w:rPr>
        <w:t xml:space="preserve">IR/MS</w:t>
      </w:r>
      <w:r>
        <w:t xml:space="preserve"> </w:t>
      </w:r>
      <w:r>
        <w:t xml:space="preserve">-</w:t>
      </w:r>
      <w:r>
        <w:t xml:space="preserve"> </w:t>
      </w:r>
      <w:r>
        <w:rPr>
          <w:b/>
          <w:bCs/>
        </w:rPr>
        <w:t xml:space="preserve">SDBS (AIST)</w:t>
      </w:r>
      <w:r>
        <w:t xml:space="preserve">: ücretsiz IR, ¹H, ¹³C, EI‑MS gibi spektrum tiplerini kapsayan entegre veritabanı.</w:t>
      </w:r>
      <w:r>
        <w:t xml:space="preserve"> </w:t>
      </w:r>
      <w:hyperlink r:id="rId82">
        <w:r>
          <w:rPr>
            <w:rStyle w:val="Hyperlink"/>
          </w:rPr>
          <w:t xml:space="preserve">[38]</w:t>
        </w:r>
      </w:hyperlink>
      <w:r>
        <w:br/>
      </w:r>
      <w:r>
        <w:t xml:space="preserve">-</w:t>
      </w:r>
      <w:r>
        <w:t xml:space="preserve"> </w:t>
      </w:r>
      <w:r>
        <w:rPr>
          <w:b/>
          <w:bCs/>
        </w:rPr>
        <w:t xml:space="preserve">PubChem Spectral Properties</w:t>
      </w:r>
      <w:r>
        <w:t xml:space="preserve">: PubChem’de spektral bilginin “Spectral Properties” altında organize edildiği dokümante.</w:t>
      </w:r>
      <w:r>
        <w:t xml:space="preserve"> </w:t>
      </w:r>
      <w:hyperlink r:id="rId83">
        <w:r>
          <w:rPr>
            <w:rStyle w:val="Hyperlink"/>
          </w:rPr>
          <w:t xml:space="preserve">[39]</w:t>
        </w:r>
      </w:hyperlink>
      <w:r>
        <w:br/>
      </w:r>
      <w:r>
        <w:t xml:space="preserve">-</w:t>
      </w:r>
      <w:r>
        <w:t xml:space="preserve"> </w:t>
      </w:r>
      <w:r>
        <w:rPr>
          <w:b/>
          <w:bCs/>
        </w:rPr>
        <w:t xml:space="preserve">MassBank</w:t>
      </w:r>
      <w:r>
        <w:t xml:space="preserve">: açık kaynak kütüphane + API; küçük molekül MS kimliklendirme için.</w:t>
      </w:r>
      <w:r>
        <w:t xml:space="preserve"> </w:t>
      </w:r>
      <w:hyperlink r:id="rId84">
        <w:r>
          <w:rPr>
            <w:rStyle w:val="Hyperlink"/>
          </w:rPr>
          <w:t xml:space="preserve">[40]</w:t>
        </w:r>
      </w:hyperlink>
    </w:p>
    <w:bookmarkEnd w:id="85"/>
    <w:bookmarkStart w:id="90" w:name="Xe13716cb907ac07b8ec0ca8d2478624f1bb1db2"/>
    <w:p>
      <w:pPr>
        <w:pStyle w:val="Heading3"/>
      </w:pPr>
      <w:r>
        <w:t xml:space="preserve">30+ golden molekül önerisi ve “beklenen kayma/bant” yaklaşımı</w:t>
      </w:r>
    </w:p>
    <w:p>
      <w:pPr>
        <w:pStyle w:val="FirstParagraph"/>
      </w:pPr>
      <w:r>
        <w:t xml:space="preserve">Spectrotester’da halihazırda</w:t>
      </w:r>
      <w:r>
        <w:t xml:space="preserve"> </w:t>
      </w:r>
      <w:r>
        <w:rPr>
          <w:b/>
          <w:bCs/>
        </w:rPr>
        <w:t xml:space="preserve">30 molekül</w:t>
      </w:r>
      <w:r>
        <w:t xml:space="preserve"> </w:t>
      </w:r>
      <w:r>
        <w:t xml:space="preserve">içeren</w:t>
      </w:r>
      <w:r>
        <w:t xml:space="preserve"> </w:t>
      </w:r>
      <w:r>
        <w:rPr>
          <w:rStyle w:val="VerbatimChar"/>
        </w:rPr>
        <w:t xml:space="preserve">GOLDEN_EXPECTATIONS_30.json</w:t>
      </w:r>
      <w:r>
        <w:t xml:space="preserve"> </w:t>
      </w:r>
      <w:r>
        <w:t xml:space="preserve">mevcut (Asetonitril, Fenol, Anilin, Toluen vb.). Bu seti koruyun; üzerine “natural product / polyphenol” sınıfı ekleyin.</w:t>
      </w:r>
    </w:p>
    <w:p>
      <w:pPr>
        <w:pStyle w:val="BodyText"/>
      </w:pPr>
      <w:r>
        <w:rPr>
          <w:b/>
          <w:bCs/>
        </w:rPr>
        <w:t xml:space="preserve">Önerilen genişletme: +4 (resveratrol/quercetin/catechin/epicatechin)</w:t>
      </w:r>
      <w:r>
        <w:t xml:space="preserve"> </w:t>
      </w:r>
      <w:r>
        <w:t xml:space="preserve">-</w:t>
      </w:r>
      <w:r>
        <w:t xml:space="preserve"> </w:t>
      </w:r>
      <w:r>
        <w:rPr>
          <w:b/>
          <w:bCs/>
        </w:rPr>
        <w:t xml:space="preserve">trans‑Resveratrol</w:t>
      </w:r>
      <w:r>
        <w:t xml:space="preserve">: nmrXiv/NFDI4Chem üzerinde “annotated NMR 400 MHz DMSO‑d6” dataset kaydı mevcut.</w:t>
      </w:r>
      <w:r>
        <w:t xml:space="preserve"> </w:t>
      </w:r>
      <w:hyperlink r:id="rId86">
        <w:r>
          <w:rPr>
            <w:rStyle w:val="Hyperlink"/>
          </w:rPr>
          <w:t xml:space="preserve">[41]</w:t>
        </w:r>
      </w:hyperlink>
      <w:r>
        <w:br/>
      </w:r>
      <w:r>
        <w:t xml:space="preserve">-</w:t>
      </w:r>
      <w:r>
        <w:t xml:space="preserve"> </w:t>
      </w:r>
      <w:r>
        <w:rPr>
          <w:b/>
          <w:bCs/>
        </w:rPr>
        <w:t xml:space="preserve">Quercetin</w:t>
      </w:r>
      <w:r>
        <w:t xml:space="preserve">: NFDI4Chem dataset kaydı mevcut.</w:t>
      </w:r>
      <w:r>
        <w:t xml:space="preserve"> </w:t>
      </w:r>
      <w:hyperlink r:id="rId87">
        <w:r>
          <w:rPr>
            <w:rStyle w:val="Hyperlink"/>
          </w:rPr>
          <w:t xml:space="preserve">[42]</w:t>
        </w:r>
      </w:hyperlink>
      <w:r>
        <w:br/>
      </w:r>
      <w:r>
        <w:t xml:space="preserve">-</w:t>
      </w:r>
      <w:r>
        <w:t xml:space="preserve"> </w:t>
      </w:r>
      <w:r>
        <w:rPr>
          <w:b/>
          <w:bCs/>
        </w:rPr>
        <w:t xml:space="preserve">Catechin</w:t>
      </w:r>
      <w:r>
        <w:t xml:space="preserve">: NFDI4Chem dataset (nmrxiv‑d1120) mevcut.</w:t>
      </w:r>
      <w:r>
        <w:t xml:space="preserve"> </w:t>
      </w:r>
      <w:hyperlink r:id="rId88">
        <w:r>
          <w:rPr>
            <w:rStyle w:val="Hyperlink"/>
          </w:rPr>
          <w:t xml:space="preserve">[43]</w:t>
        </w:r>
      </w:hyperlink>
      <w:r>
        <w:br/>
      </w:r>
      <w:r>
        <w:t xml:space="preserve">-</w:t>
      </w:r>
      <w:r>
        <w:t xml:space="preserve"> </w:t>
      </w:r>
      <w:r>
        <w:rPr>
          <w:b/>
          <w:bCs/>
        </w:rPr>
        <w:t xml:space="preserve">(−)‑Epicatechin</w:t>
      </w:r>
      <w:r>
        <w:t xml:space="preserve">: NMR kimyasal kayma tabloları içeren açık PDF kaynakları da bulunuyor (örnek).</w:t>
      </w:r>
      <w:r>
        <w:t xml:space="preserve"> </w:t>
      </w:r>
      <w:hyperlink r:id="rId89">
        <w:r>
          <w:rPr>
            <w:rStyle w:val="Hyperlink"/>
          </w:rPr>
          <w:t xml:space="preserve">[44]</w:t>
        </w:r>
      </w:hyperlink>
    </w:p>
    <w:p>
      <w:pPr>
        <w:pStyle w:val="BodyText"/>
      </w:pPr>
      <w:r>
        <w:rPr>
          <w:b/>
          <w:bCs/>
        </w:rPr>
        <w:t xml:space="preserve">Bu 4 molekül için golden expectation stratejisi</w:t>
      </w:r>
      <w:r>
        <w:t xml:space="preserve"> </w:t>
      </w:r>
      <w:r>
        <w:t xml:space="preserve">- Tam atom‑atom assignment’ı rapora gömmek yerine (çok hacimli), “deterministik QC cümleleri” tanımlayın:</w:t>
      </w:r>
      <w:r>
        <w:t xml:space="preserve"> </w:t>
      </w:r>
      <w:r>
        <w:t xml:space="preserve">- Aromatik proton penceresinde ≥X sinyal</w:t>
      </w:r>
      <w:r>
        <w:br/>
      </w:r>
      <w:r>
        <w:t xml:space="preserve">- Çoklu OH (exchangeable) broad band</w:t>
      </w:r>
      <w:r>
        <w:br/>
      </w:r>
      <w:r>
        <w:t xml:space="preserve">- 13C’de çok sayıda sp² C (100–160 ppm)</w:t>
      </w:r>
      <w:r>
        <w:br/>
      </w:r>
      <w:r>
        <w:t xml:space="preserve">- IR: geniş OH bandı + aromatik C=C bantları</w:t>
      </w:r>
      <w:r>
        <w:br/>
      </w:r>
      <w:r>
        <w:t xml:space="preserve">Bu beklentiler IR korelasyon tablosu ve mid‑IR aralık bilgisiyle tutarlıdır.</w:t>
      </w:r>
      <w:r>
        <w:t xml:space="preserve"> </w:t>
      </w:r>
      <w:hyperlink r:id="rId31">
        <w:r>
          <w:rPr>
            <w:rStyle w:val="Hyperlink"/>
          </w:rPr>
          <w:t xml:space="preserve">[9]</w:t>
        </w:r>
      </w:hyperlink>
    </w:p>
    <w:bookmarkEnd w:id="90"/>
    <w:bookmarkEnd w:id="91"/>
    <w:bookmarkStart w:id="102" w:name="part-11-uyumluluk-ve-ürünleşme"/>
    <w:p>
      <w:pPr>
        <w:pStyle w:val="Heading2"/>
      </w:pPr>
      <w:r>
        <w:t xml:space="preserve">Part 11 uyumluluk ve ürünleşme</w:t>
      </w:r>
    </w:p>
    <w:bookmarkStart w:id="93" w:name="part-11-checklist"/>
    <w:p>
      <w:pPr>
        <w:pStyle w:val="Heading3"/>
      </w:pPr>
      <w:r>
        <w:t xml:space="preserve">Part 11 checklist</w:t>
      </w:r>
    </w:p>
    <w:p>
      <w:pPr>
        <w:pStyle w:val="FirstParagraph"/>
      </w:pPr>
      <w:r>
        <w:t xml:space="preserve">Part 11 ve FDA scope rehberine göre “ürün” şu kontrol setlerini sağlamalı:</w:t>
      </w:r>
      <w:r>
        <w:t xml:space="preserve"> </w:t>
      </w:r>
      <w:r>
        <w:t xml:space="preserve">- Sistem validasyonu (doğruluk, güvenilirlik, tutarlı performans)</w:t>
      </w:r>
      <w:r>
        <w:t xml:space="preserve"> </w:t>
      </w:r>
      <w:hyperlink r:id="rId22">
        <w:r>
          <w:rPr>
            <w:rStyle w:val="Hyperlink"/>
          </w:rPr>
          <w:t xml:space="preserve">[13]</w:t>
        </w:r>
      </w:hyperlink>
      <w:r>
        <w:br/>
      </w:r>
      <w:r>
        <w:t xml:space="preserve">- Doğru/tam kopya üretimi (insan okunur + elektronik)</w:t>
      </w:r>
      <w:r>
        <w:t xml:space="preserve"> </w:t>
      </w:r>
      <w:hyperlink r:id="rId22">
        <w:r>
          <w:rPr>
            <w:rStyle w:val="Hyperlink"/>
          </w:rPr>
          <w:t xml:space="preserve">[45]</w:t>
        </w:r>
      </w:hyperlink>
      <w:r>
        <w:br/>
      </w:r>
      <w:r>
        <w:t xml:space="preserve">- Kayıtların korunması ve erişilebilirliği (retention)</w:t>
      </w:r>
      <w:r>
        <w:t xml:space="preserve"> </w:t>
      </w:r>
      <w:hyperlink r:id="rId22">
        <w:r>
          <w:rPr>
            <w:rStyle w:val="Hyperlink"/>
          </w:rPr>
          <w:t xml:space="preserve">[45]</w:t>
        </w:r>
      </w:hyperlink>
      <w:r>
        <w:br/>
      </w:r>
      <w:r>
        <w:t xml:space="preserve">- Yetkili erişim (authorized individuals)</w:t>
      </w:r>
      <w:r>
        <w:t xml:space="preserve"> </w:t>
      </w:r>
      <w:hyperlink r:id="rId22">
        <w:r>
          <w:rPr>
            <w:rStyle w:val="Hyperlink"/>
          </w:rPr>
          <w:t xml:space="preserve">[45]</w:t>
        </w:r>
      </w:hyperlink>
      <w:r>
        <w:br/>
      </w:r>
      <w:r>
        <w:t xml:space="preserve">- Audit trail (secure, computer‑generated, time‑stamped)</w:t>
      </w:r>
      <w:r>
        <w:t xml:space="preserve"> </w:t>
      </w:r>
      <w:hyperlink r:id="rId22">
        <w:r>
          <w:rPr>
            <w:rStyle w:val="Hyperlink"/>
          </w:rPr>
          <w:t xml:space="preserve">[16]</w:t>
        </w:r>
      </w:hyperlink>
      <w:r>
        <w:br/>
      </w:r>
      <w:r>
        <w:t xml:space="preserve">- Signature/record linking (imza kayıttan koparılamaz)</w:t>
      </w:r>
      <w:r>
        <w:t xml:space="preserve"> </w:t>
      </w:r>
      <w:hyperlink r:id="rId22">
        <w:r>
          <w:rPr>
            <w:rStyle w:val="Hyperlink"/>
          </w:rPr>
          <w:t xml:space="preserve">[16]</w:t>
        </w:r>
      </w:hyperlink>
      <w:r>
        <w:br/>
      </w:r>
      <w:r>
        <w:t xml:space="preserve">- Elektronik imza kontrolleri (11.200) ve “signature manifestations” (11.50)</w:t>
      </w:r>
      <w:r>
        <w:t xml:space="preserve"> </w:t>
      </w:r>
      <w:hyperlink r:id="rId92">
        <w:r>
          <w:rPr>
            <w:rStyle w:val="Hyperlink"/>
          </w:rPr>
          <w:t xml:space="preserve">[46]</w:t>
        </w:r>
      </w:hyperlink>
    </w:p>
    <w:bookmarkEnd w:id="93"/>
    <w:bookmarkStart w:id="94" w:name="audit-veri-modeli-appendonly-hash-chain"/>
    <w:p>
      <w:pPr>
        <w:pStyle w:val="Heading3"/>
      </w:pPr>
      <w:r>
        <w:t xml:space="preserve">Audit veri modeli (append‑only + hash chain)</w:t>
      </w:r>
    </w:p>
    <w:p>
      <w:pPr>
        <w:pStyle w:val="FirstParagraph"/>
      </w:pPr>
      <w:r>
        <w:t xml:space="preserve">Part11 “nasıl implement edileceğini” dikte etmez; ama audit trail’in “secure, time‑stamped” olması ve önceki bilgiyi örtmemesi beklentisinden hareketle, pratik ve denetlenebilir bir yaklaşım:</w:t>
      </w:r>
      <w:r>
        <w:t xml:space="preserve"> </w:t>
      </w:r>
      <w:r>
        <w:t xml:space="preserve">-</w:t>
      </w:r>
      <w:r>
        <w:t xml:space="preserve"> </w:t>
      </w:r>
      <w:r>
        <w:rPr>
          <w:rStyle w:val="VerbatimChar"/>
        </w:rPr>
        <w:t xml:space="preserve">audit_events</w:t>
      </w:r>
      <w:r>
        <w:t xml:space="preserve"> </w:t>
      </w:r>
      <w:r>
        <w:t xml:space="preserve">tablosu (append‑only)</w:t>
      </w:r>
      <w:r>
        <w:br/>
      </w:r>
      <w:r>
        <w:t xml:space="preserve">- Her event’te:</w:t>
      </w:r>
      <w:r>
        <w:t xml:space="preserve"> </w:t>
      </w:r>
      <w:r>
        <w:rPr>
          <w:rStyle w:val="VerbatimChar"/>
        </w:rPr>
        <w:t xml:space="preserve">event_id</w:t>
      </w:r>
      <w:r>
        <w:t xml:space="preserve">,</w:t>
      </w:r>
      <w:r>
        <w:t xml:space="preserve"> </w:t>
      </w:r>
      <w:r>
        <w:rPr>
          <w:rStyle w:val="VerbatimChar"/>
        </w:rPr>
        <w:t xml:space="preserve">ts_utc</w:t>
      </w:r>
      <w:r>
        <w:t xml:space="preserve">,</w:t>
      </w:r>
      <w:r>
        <w:t xml:space="preserve"> </w:t>
      </w: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entity_ref</w:t>
      </w:r>
      <w:r>
        <w:t xml:space="preserve">,</w:t>
      </w:r>
      <w:r>
        <w:t xml:space="preserve"> </w:t>
      </w:r>
      <w:r>
        <w:rPr>
          <w:rStyle w:val="VerbatimChar"/>
        </w:rPr>
        <w:t xml:space="preserve">old_hash</w:t>
      </w:r>
      <w:r>
        <w:t xml:space="preserve">,</w:t>
      </w:r>
      <w:r>
        <w:t xml:space="preserve"> </w:t>
      </w:r>
      <w:r>
        <w:rPr>
          <w:rStyle w:val="VerbatimChar"/>
        </w:rPr>
        <w:t xml:space="preserve">new_hash</w:t>
      </w:r>
      <w:r>
        <w:t xml:space="preserve">,</w:t>
      </w:r>
      <w:r>
        <w:t xml:space="preserve"> </w:t>
      </w:r>
      <w:r>
        <w:rPr>
          <w:rStyle w:val="VerbatimChar"/>
        </w:rPr>
        <w:t xml:space="preserve">prev_event_hash</w:t>
      </w:r>
      <w:r>
        <w:t xml:space="preserve">,</w:t>
      </w:r>
      <w:r>
        <w:t xml:space="preserve"> </w:t>
      </w:r>
      <w:r>
        <w:rPr>
          <w:rStyle w:val="VerbatimChar"/>
        </w:rPr>
        <w:t xml:space="preserve">event_hash</w:t>
      </w:r>
      <w:r>
        <w:br/>
      </w:r>
      <w:r>
        <w:t xml:space="preserve">-</w:t>
      </w:r>
      <w:r>
        <w:t xml:space="preserve"> </w:t>
      </w:r>
      <w:r>
        <w:rPr>
          <w:rStyle w:val="VerbatimChar"/>
        </w:rPr>
        <w:t xml:space="preserve">prev_event_hash</w:t>
      </w:r>
      <w:r>
        <w:t xml:space="preserve"> </w:t>
      </w:r>
      <w:r>
        <w:t xml:space="preserve">ile hash chain ⇒ herhangi bir silme/değiştirme zinciri bozar (inceleme kolay).</w:t>
      </w:r>
    </w:p>
    <w:bookmarkEnd w:id="94"/>
    <w:bookmarkStart w:id="96" w:name="rbac-izin-matrisi"/>
    <w:p>
      <w:pPr>
        <w:pStyle w:val="Heading3"/>
      </w:pPr>
      <w:r>
        <w:t xml:space="preserve">RBAC izin matrisi</w:t>
      </w:r>
    </w:p>
    <w:p>
      <w:pPr>
        <w:pStyle w:val="FirstParagraph"/>
      </w:pPr>
      <w:r>
        <w:t xml:space="preserve">RBAC standardı ve OWASP authorization ilkeleri; rol‑tabanlı erişim kontrolü için temel çerçeve sağlar.</w:t>
      </w:r>
      <w:r>
        <w:t xml:space="preserve"> </w:t>
      </w:r>
      <w:hyperlink r:id="rId95">
        <w:r>
          <w:rPr>
            <w:rStyle w:val="Hyperlink"/>
          </w:rPr>
          <w:t xml:space="preserve">[47]</w:t>
        </w:r>
      </w:hyperlink>
    </w:p>
    <w:p>
      <w:pPr>
        <w:pStyle w:val="BodyText"/>
      </w:pPr>
      <w:r>
        <w:t xml:space="preserve">Önerilen minimum izinler: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Yetki</w:t>
            </w:r>
          </w:p>
        </w:tc>
        <w:tc>
          <w:tcPr/>
          <w:p>
            <w:pPr>
              <w:pStyle w:val="Compact"/>
              <w:jc w:val="right"/>
            </w:pPr>
            <w:r>
              <w:t xml:space="preserve">Viewer</w:t>
            </w:r>
          </w:p>
        </w:tc>
        <w:tc>
          <w:tcPr/>
          <w:p>
            <w:pPr>
              <w:pStyle w:val="Compact"/>
              <w:jc w:val="right"/>
            </w:pPr>
            <w:r>
              <w:t xml:space="preserve">Scientist</w:t>
            </w:r>
          </w:p>
        </w:tc>
        <w:tc>
          <w:tcPr/>
          <w:p>
            <w:pPr>
              <w:pStyle w:val="Compact"/>
              <w:jc w:val="right"/>
            </w:pPr>
            <w:r>
              <w:t xml:space="preserve">QA</w:t>
            </w:r>
          </w:p>
        </w:tc>
        <w:tc>
          <w:tcPr/>
          <w:p>
            <w:pPr>
              <w:pStyle w:val="Compact"/>
              <w:jc w:val="right"/>
            </w:pPr>
            <w:r>
              <w:t xml:space="preserve">Admin</w:t>
            </w:r>
          </w:p>
        </w:tc>
      </w:tr>
      <w:tr>
        <w:tc>
          <w:tcPr/>
          <w:p>
            <w:pPr>
              <w:pStyle w:val="Compact"/>
            </w:pPr>
            <w:r>
              <w:t xml:space="preserve">Tahmin çalıştırma (predict)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Rulepack görüntüleme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Rulepack yayınlama/değiştirme</w:t>
            </w:r>
          </w:p>
        </w:tc>
        <w:tc>
          <w:tcPr/>
          <w:p>
            <w:pPr>
              <w:pStyle w:val="Compact"/>
              <w:jc w:val="right"/>
            </w:pPr>
            <w:r>
              <w:t xml:space="preserve">✗</w:t>
            </w:r>
          </w:p>
        </w:tc>
        <w:tc>
          <w:tcPr/>
          <w:p>
            <w:pPr>
              <w:pStyle w:val="Compact"/>
              <w:jc w:val="right"/>
            </w:pPr>
            <w:r>
              <w:t xml:space="preserve">✗</w:t>
            </w:r>
          </w:p>
        </w:tc>
        <w:tc>
          <w:tcPr/>
          <w:p>
            <w:pPr>
              <w:pStyle w:val="Compact"/>
              <w:jc w:val="right"/>
            </w:pPr>
            <w:r>
              <w:t xml:space="preserve">✓ (onay)</w:t>
            </w:r>
          </w:p>
        </w:tc>
        <w:tc>
          <w:tcPr/>
          <w:p>
            <w:pPr>
              <w:pStyle w:val="Compact"/>
              <w:jc w:val="right"/>
            </w:pPr>
            <w:r>
              <w:t xml:space="preserve">✓</w:t>
            </w:r>
          </w:p>
        </w:tc>
      </w:tr>
      <w:tr>
        <w:tc>
          <w:tcPr/>
          <w:p>
            <w:pPr>
              <w:pStyle w:val="Compact"/>
            </w:pPr>
            <w:r>
              <w:t xml:space="preserve">Threshold/config değiştirme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Teyit raporu imzalama (e‑sign)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Audit export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Kullanıcı/rol yönetimi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96"/>
    <w:bookmarkStart w:id="97" w:name="validation-package-csv-şablonları"/>
    <w:p>
      <w:pPr>
        <w:pStyle w:val="Heading3"/>
      </w:pPr>
      <w:r>
        <w:t xml:space="preserve">Validation package (CSV) şablonları</w:t>
      </w:r>
    </w:p>
    <w:p>
      <w:pPr>
        <w:pStyle w:val="FirstParagraph"/>
      </w:pPr>
      <w:r>
        <w:t xml:space="preserve">Kurumsal satışta “kod” kadar kritik olan şey: denetlenebilir validasyon kanıtıdır:</w:t>
      </w:r>
      <w:r>
        <w:t xml:space="preserve"> </w:t>
      </w:r>
      <w:r>
        <w:t xml:space="preserve">- URS/FRS/DS</w:t>
      </w:r>
      <w:r>
        <w:br/>
      </w:r>
      <w:r>
        <w:t xml:space="preserve">- IQ/OQ/PQ protokolleri (executed evidence)</w:t>
      </w:r>
      <w:r>
        <w:br/>
      </w:r>
      <w:r>
        <w:t xml:space="preserve">- Traceability matrix (URS↔test)</w:t>
      </w:r>
      <w:r>
        <w:br/>
      </w:r>
      <w:r>
        <w:t xml:space="preserve">- Release note + risk assessment</w:t>
      </w:r>
    </w:p>
    <w:bookmarkEnd w:id="97"/>
    <w:bookmarkStart w:id="99" w:name="ticari-değer-ve-lisanslama-düşünceleri"/>
    <w:p>
      <w:pPr>
        <w:pStyle w:val="Heading3"/>
      </w:pPr>
      <w:r>
        <w:t xml:space="preserve">Ticari değer ve lisanslama düşünceleri</w:t>
      </w:r>
    </w:p>
    <w:p>
      <w:pPr>
        <w:pStyle w:val="Compact"/>
        <w:numPr>
          <w:ilvl w:val="0"/>
          <w:numId w:val="1004"/>
        </w:numPr>
      </w:pPr>
      <w:r>
        <w:t xml:space="preserve">“Rule‑based explainable” positioning: regüle ortamlarda ML’den daha kabul edilebilir.</w:t>
      </w:r>
    </w:p>
    <w:p>
      <w:pPr>
        <w:pStyle w:val="Compact"/>
        <w:numPr>
          <w:ilvl w:val="0"/>
          <w:numId w:val="1004"/>
        </w:numPr>
      </w:pPr>
      <w:r>
        <w:t xml:space="preserve">Paketler:</w:t>
      </w:r>
    </w:p>
    <w:p>
      <w:pPr>
        <w:pStyle w:val="Compact"/>
        <w:numPr>
          <w:ilvl w:val="0"/>
          <w:numId w:val="1004"/>
        </w:numPr>
      </w:pPr>
      <w:r>
        <w:t xml:space="preserve">Community (kısıtlı rulepack, export kısıtlı)</w:t>
      </w:r>
    </w:p>
    <w:p>
      <w:pPr>
        <w:pStyle w:val="Compact"/>
        <w:numPr>
          <w:ilvl w:val="0"/>
          <w:numId w:val="1004"/>
        </w:numPr>
      </w:pPr>
      <w:r>
        <w:t xml:space="preserve">Pro (tam export: JCAMP‑DX/nmrML/NMReDATA/mzML)</w:t>
      </w:r>
      <w:r>
        <w:t xml:space="preserve"> </w:t>
      </w:r>
      <w:hyperlink r:id="rId98">
        <w:r>
          <w:rPr>
            <w:rStyle w:val="Hyperlink"/>
          </w:rPr>
          <w:t xml:space="preserve">[48]</w:t>
        </w:r>
      </w:hyperlink>
    </w:p>
    <w:p>
      <w:pPr>
        <w:pStyle w:val="Compact"/>
        <w:numPr>
          <w:ilvl w:val="0"/>
          <w:numId w:val="1004"/>
        </w:numPr>
      </w:pPr>
      <w:r>
        <w:t xml:space="preserve">Enterprise (Part11 + on‑prem + SSO + SLA)</w:t>
      </w:r>
      <w:r>
        <w:t xml:space="preserve"> </w:t>
      </w:r>
      <w:hyperlink r:id="rId22">
        <w:r>
          <w:rPr>
            <w:rStyle w:val="Hyperlink"/>
          </w:rPr>
          <w:t xml:space="preserve">[13]</w:t>
        </w:r>
      </w:hyperlink>
    </w:p>
    <w:p>
      <w:pPr>
        <w:pStyle w:val="Compact"/>
        <w:numPr>
          <w:ilvl w:val="0"/>
          <w:numId w:val="1004"/>
        </w:numPr>
      </w:pPr>
      <w:r>
        <w:t xml:space="preserve">Fiyatlama: seat + tenant + compute (batch) kombinasyonu; on‑prem için yıllık bakım.</w:t>
      </w:r>
    </w:p>
    <w:bookmarkEnd w:id="99"/>
    <w:bookmarkStart w:id="100" w:name="somut-kod-teslimatları-ve-cicd"/>
    <w:p>
      <w:pPr>
        <w:pStyle w:val="Heading3"/>
      </w:pPr>
      <w:r>
        <w:t xml:space="preserve">Somut kod teslimatları ve CI/CD</w:t>
      </w:r>
    </w:p>
    <w:p>
      <w:pPr>
        <w:pStyle w:val="FirstParagraph"/>
      </w:pPr>
      <w:r>
        <w:rPr>
          <w:b/>
          <w:bCs/>
        </w:rPr>
        <w:t xml:space="preserve">Önerilen repo yapısı (monorepo)</w:t>
      </w:r>
      <w:r>
        <w:t xml:space="preserve"> </w:t>
      </w:r>
      <w:r>
        <w:t xml:space="preserve">-</w:t>
      </w:r>
      <w:r>
        <w:t xml:space="preserve"> </w:t>
      </w:r>
      <w:r>
        <w:rPr>
          <w:rStyle w:val="VerbatimChar"/>
        </w:rPr>
        <w:t xml:space="preserve">services/chem-core</w:t>
      </w:r>
      <w:r>
        <w:t xml:space="preserve"> </w:t>
      </w:r>
      <w:r>
        <w:t xml:space="preserve">(Python FastAPI, RDKit): parse/standardize/features/symmetry</w:t>
      </w:r>
      <w:r>
        <w:br/>
      </w:r>
      <w:r>
        <w:t xml:space="preserve">-</w:t>
      </w:r>
      <w:r>
        <w:t xml:space="preserve"> </w:t>
      </w:r>
      <w:r>
        <w:rPr>
          <w:rStyle w:val="VerbatimChar"/>
        </w:rPr>
        <w:t xml:space="preserve">services/predict-nmr</w:t>
      </w:r>
      <w:r>
        <w:t xml:space="preserve"> </w:t>
      </w:r>
      <w:r>
        <w:t xml:space="preserve">(Python): HOSE + increments + J network + optional 2D generation</w:t>
      </w:r>
      <w:r>
        <w:br/>
      </w:r>
      <w:r>
        <w:t xml:space="preserve">-</w:t>
      </w:r>
      <w:r>
        <w:t xml:space="preserve"> </w:t>
      </w:r>
      <w:r>
        <w:rPr>
          <w:rStyle w:val="VerbatimChar"/>
        </w:rPr>
        <w:t xml:space="preserve">services/predict-ms</w:t>
      </w:r>
      <w:r>
        <w:t xml:space="preserve"> </w:t>
      </w:r>
      <w:r>
        <w:t xml:space="preserve">(Python): adduct/isotope/fragment engines; mzML export</w:t>
      </w:r>
      <w:r>
        <w:br/>
      </w:r>
      <w:r>
        <w:t xml:space="preserve">-</w:t>
      </w:r>
      <w:r>
        <w:t xml:space="preserve"> </w:t>
      </w:r>
      <w:r>
        <w:rPr>
          <w:rStyle w:val="VerbatimChar"/>
        </w:rPr>
        <w:t xml:space="preserve">services/predict-ir</w:t>
      </w:r>
      <w:r>
        <w:t xml:space="preserve"> </w:t>
      </w:r>
      <w:r>
        <w:t xml:space="preserve">(Python veya TS ama tek): IR correlation rulepack</w:t>
      </w:r>
      <w:r>
        <w:br/>
      </w:r>
      <w:r>
        <w:t xml:space="preserve">-</w:t>
      </w:r>
      <w:r>
        <w:t xml:space="preserve"> </w:t>
      </w:r>
      <w:r>
        <w:rPr>
          <w:rStyle w:val="VerbatimChar"/>
        </w:rPr>
        <w:t xml:space="preserve">services/verify</w:t>
      </w:r>
      <w:r>
        <w:t xml:space="preserve"> </w:t>
      </w:r>
      <w:r>
        <w:t xml:space="preserve">(Python): coverage + scoring + Part11 report assembly</w:t>
      </w:r>
      <w:r>
        <w:br/>
      </w:r>
      <w:r>
        <w:t xml:space="preserve">-</w:t>
      </w:r>
      <w:r>
        <w:t xml:space="preserve"> </w:t>
      </w:r>
      <w:r>
        <w:rPr>
          <w:rStyle w:val="VerbatimChar"/>
        </w:rPr>
        <w:t xml:space="preserve">packages/schemas</w:t>
      </w:r>
      <w:r>
        <w:t xml:space="preserve"> </w:t>
      </w:r>
      <w:r>
        <w:t xml:space="preserve">(JSON schema): molecule/request/spectrum/report/evidence</w:t>
      </w:r>
      <w:r>
        <w:br/>
      </w:r>
      <w:r>
        <w:t xml:space="preserve">-</w:t>
      </w:r>
      <w:r>
        <w:t xml:space="preserve"> </w:t>
      </w:r>
      <w:r>
        <w:rPr>
          <w:rStyle w:val="VerbatimChar"/>
        </w:rPr>
        <w:t xml:space="preserve">packages/rulepacks</w:t>
      </w:r>
      <w:r>
        <w:t xml:space="preserve"> </w:t>
      </w:r>
      <w:r>
        <w:t xml:space="preserve">(versioned): predict + verify rulepacks</w:t>
      </w:r>
      <w:r>
        <w:br/>
      </w:r>
      <w:r>
        <w:t xml:space="preserve">-</w:t>
      </w:r>
      <w:r>
        <w:t xml:space="preserve"> </w:t>
      </w:r>
      <w:r>
        <w:rPr>
          <w:rStyle w:val="VerbatimChar"/>
        </w:rPr>
        <w:t xml:space="preserve">apps/web</w:t>
      </w:r>
      <w:r>
        <w:t xml:space="preserve"> </w:t>
      </w:r>
      <w:r>
        <w:t xml:space="preserve">(Next.js UI) yalnız API client</w:t>
      </w:r>
    </w:p>
    <w:p>
      <w:pPr>
        <w:pStyle w:val="BodyText"/>
      </w:pPr>
      <w:r>
        <w:rPr>
          <w:b/>
          <w:bCs/>
        </w:rPr>
        <w:t xml:space="preserve">Fonksiyon imzaları (örnek, Python)</w:t>
      </w:r>
    </w:p>
    <w:p>
      <w:pPr>
        <w:pStyle w:val="SourceCode"/>
      </w:pPr>
      <w:r>
        <w:rPr>
          <w:rStyle w:val="VerbatimChar"/>
        </w:rPr>
        <w:t xml:space="preserve">def parse_and_standardize(smiles: str, policy: StandardizePolicy) -&gt; MoleculeGraph: ...</w:t>
      </w:r>
      <w:r>
        <w:br/>
      </w:r>
      <w:r>
        <w:rPr>
          <w:rStyle w:val="VerbatimChar"/>
        </w:rPr>
        <w:t xml:space="preserve">def predict_1h(graph: MoleculeGraph, params: NMRParams) -&gt; List[Peak]: ...</w:t>
      </w:r>
      <w:r>
        <w:br/>
      </w:r>
      <w:r>
        <w:rPr>
          <w:rStyle w:val="VerbatimChar"/>
        </w:rPr>
        <w:t xml:space="preserve">def predict_13c(graph: MoleculeGraph, params: NMRParams) -&gt; List[Peak]: ...</w:t>
      </w:r>
      <w:r>
        <w:br/>
      </w:r>
      <w:r>
        <w:rPr>
          <w:rStyle w:val="VerbatimChar"/>
        </w:rPr>
        <w:t xml:space="preserve">def generate_hsqc(graph: MoleculeGraph, peaks1h, peaks13c, params) -&gt; List[Correlation]: ...</w:t>
      </w:r>
      <w:r>
        <w:br/>
      </w:r>
      <w:r>
        <w:rPr>
          <w:rStyle w:val="VerbatimChar"/>
        </w:rPr>
        <w:t xml:space="preserve">def generate_cosy(graph: MoleculeGraph, peaks1h, params) -&gt; List[Correlation]: ...</w:t>
      </w:r>
      <w:r>
        <w:br/>
      </w:r>
      <w:r>
        <w:rPr>
          <w:rStyle w:val="VerbatimChar"/>
        </w:rPr>
        <w:t xml:space="preserve">def generate_hmbc(graph: MoleculeGraph, peaks1h, peaks13c, params) -&gt; List[Correlation]: ...</w:t>
      </w:r>
      <w:r>
        <w:br/>
      </w:r>
      <w:r>
        <w:rPr>
          <w:rStyle w:val="VerbatimChar"/>
        </w:rPr>
        <w:t xml:space="preserve">def generate_noesy(graph: MoleculeGraph, conformers, peaks1h, params) -&gt; List[Correlation]: ...</w:t>
      </w:r>
      <w:r>
        <w:br/>
      </w:r>
      <w:r>
        <w:rPr>
          <w:rStyle w:val="VerbatimChar"/>
        </w:rPr>
        <w:t xml:space="preserve">def predict_ms(graph: MoleculeGraph, params: MSParams) -&gt; MassSpectrum: ...</w:t>
      </w:r>
      <w:r>
        <w:br/>
      </w:r>
      <w:r>
        <w:rPr>
          <w:rStyle w:val="VerbatimChar"/>
        </w:rPr>
        <w:t xml:space="preserve">def predict_ir(graph: MoleculeGraph, params: IRParams) -&gt; IRSpectrum: ...</w:t>
      </w:r>
      <w:r>
        <w:br/>
      </w:r>
      <w:r>
        <w:rPr>
          <w:rStyle w:val="VerbatimChar"/>
        </w:rPr>
        <w:t xml:space="preserve">def verify_all(graph, predicted, observed=None, policy=None) -&gt; VerificationReport: ...</w:t>
      </w:r>
    </w:p>
    <w:p>
      <w:pPr>
        <w:pStyle w:val="FirstParagraph"/>
      </w:pPr>
      <w:r>
        <w:rPr>
          <w:b/>
          <w:bCs/>
        </w:rPr>
        <w:t xml:space="preserve">JSON şemaları (minimum)</w:t>
      </w:r>
      <w:r>
        <w:t xml:space="preserve"> </w:t>
      </w:r>
      <w:r>
        <w:t xml:space="preserve">-</w:t>
      </w:r>
      <w:r>
        <w:t xml:space="preserve"> </w:t>
      </w:r>
      <w:r>
        <w:rPr>
          <w:rStyle w:val="VerbatimChar"/>
        </w:rPr>
        <w:t xml:space="preserve">Molecule</w:t>
      </w:r>
      <w:r>
        <w:t xml:space="preserve">: canonical_smiles, formula, exact_mass, atom_map, policy_hash</w:t>
      </w:r>
      <w:r>
        <w:br/>
      </w:r>
      <w:r>
        <w:t xml:space="preserve">-</w:t>
      </w:r>
      <w:r>
        <w:t xml:space="preserve"> </w:t>
      </w:r>
      <w:r>
        <w:rPr>
          <w:rStyle w:val="VerbatimChar"/>
        </w:rPr>
        <w:t xml:space="preserve">Request</w:t>
      </w:r>
      <w:r>
        <w:t xml:space="preserve">: spectrum types + params + policy modes</w:t>
      </w:r>
      <w:r>
        <w:br/>
      </w:r>
      <w:r>
        <w:t xml:space="preserve">-</w:t>
      </w:r>
      <w:r>
        <w:t xml:space="preserve"> </w:t>
      </w:r>
      <w:r>
        <w:rPr>
          <w:rStyle w:val="VerbatimChar"/>
        </w:rPr>
        <w:t xml:space="preserve">Spectrum</w:t>
      </w:r>
      <w:r>
        <w:t xml:space="preserve">: peak list + continuous opsiyon + evidence refs</w:t>
      </w:r>
      <w:r>
        <w:br/>
      </w:r>
      <w:r>
        <w:t xml:space="preserve">-</w:t>
      </w:r>
      <w:r>
        <w:t xml:space="preserve"> </w:t>
      </w:r>
      <w:r>
        <w:rPr>
          <w:rStyle w:val="VerbatimChar"/>
        </w:rPr>
        <w:t xml:space="preserve">Report</w:t>
      </w:r>
      <w:r>
        <w:t xml:space="preserve">: Part11 metadata + audit_ref + hashes + checks + signatures</w:t>
      </w:r>
    </w:p>
    <w:p>
      <w:pPr>
        <w:pStyle w:val="BodyText"/>
      </w:pPr>
      <w:r>
        <w:rPr>
          <w:b/>
          <w:bCs/>
        </w:rPr>
        <w:t xml:space="preserve">CI pipeline</w:t>
      </w:r>
      <w:r>
        <w:t xml:space="preserve"> </w:t>
      </w:r>
      <w:r>
        <w:t xml:space="preserve">- Lint: rulepack schema validate + semver check</w:t>
      </w:r>
      <w:r>
        <w:br/>
      </w:r>
      <w:r>
        <w:t xml:space="preserve">- Unit tests: rule executor + chemcore invariants</w:t>
      </w:r>
      <w:r>
        <w:br/>
      </w:r>
      <w:r>
        <w:t xml:space="preserve">- Golden tests: 30+ molecules must_have/must_not_have</w:t>
      </w:r>
      <w:r>
        <w:br/>
      </w:r>
      <w:r>
        <w:t xml:space="preserve">- Docker: build signed images; attach SBOM; store digests in release</w:t>
      </w:r>
    </w:p>
    <w:bookmarkEnd w:id="100"/>
    <w:bookmarkStart w:id="101" w:name="yol-haritası-ve-efor-personmonth"/>
    <w:p>
      <w:pPr>
        <w:pStyle w:val="Heading3"/>
      </w:pPr>
      <w:r>
        <w:t xml:space="preserve">Yol haritası ve efor (person‑month)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Faz</w:t>
            </w:r>
          </w:p>
        </w:tc>
        <w:tc>
          <w:tcPr/>
          <w:p>
            <w:pPr>
              <w:pStyle w:val="Compact"/>
            </w:pPr>
            <w:r>
              <w:t xml:space="preserve">İçerik</w:t>
            </w:r>
          </w:p>
        </w:tc>
        <w:tc>
          <w:tcPr/>
          <w:p>
            <w:pPr>
              <w:pStyle w:val="Compact"/>
              <w:jc w:val="right"/>
            </w:pPr>
            <w:r>
              <w:t xml:space="preserve">Tahmini efor</w:t>
            </w:r>
          </w:p>
        </w:tc>
        <w:tc>
          <w:tcPr/>
          <w:p>
            <w:pPr>
              <w:pStyle w:val="Compact"/>
            </w:pPr>
            <w:r>
              <w:t xml:space="preserve">Ana risk</w:t>
            </w:r>
          </w:p>
        </w:tc>
      </w:tr>
      <w:tr>
        <w:tc>
          <w:tcPr/>
          <w:p>
            <w:pPr>
              <w:pStyle w:val="Compact"/>
            </w:pPr>
            <w:r>
              <w:t xml:space="preserve">P0</w:t>
            </w:r>
          </w:p>
        </w:tc>
        <w:tc>
          <w:tcPr/>
          <w:p>
            <w:pPr>
              <w:pStyle w:val="Compact"/>
            </w:pPr>
            <w:r>
              <w:t xml:space="preserve">Tek Chem Core (RDKit) + spawn kaldırma + tek API sözleşmesi + determinism/hash altyapısı</w:t>
            </w:r>
          </w:p>
        </w:tc>
        <w:tc>
          <w:tcPr/>
          <w:p>
            <w:pPr>
              <w:pStyle w:val="Compact"/>
              <w:jc w:val="right"/>
            </w:pPr>
            <w:r>
              <w:t xml:space="preserve">2–3 PM</w:t>
            </w:r>
          </w:p>
        </w:tc>
        <w:tc>
          <w:tcPr/>
          <w:p>
            <w:pPr>
              <w:pStyle w:val="Compact"/>
            </w:pPr>
            <w:r>
              <w:t xml:space="preserve">Mevcut kodun dağınıklığı, regresyon</w:t>
            </w:r>
          </w:p>
        </w:tc>
      </w:tr>
      <w:tr>
        <w:tc>
          <w:tcPr/>
          <w:p>
            <w:pPr>
              <w:pStyle w:val="Compact"/>
            </w:pPr>
            <w:r>
              <w:t xml:space="preserve">P1</w:t>
            </w:r>
          </w:p>
        </w:tc>
        <w:tc>
          <w:tcPr/>
          <w:p>
            <w:pPr>
              <w:pStyle w:val="Compact"/>
            </w:pPr>
            <w:r>
              <w:t xml:space="preserve">Rule engine (DSL + lifecycle) + ¹H/¹³C deterministic predictor + MS adduct/isotope + IR correlation engine + temel teyit raporu</w:t>
            </w:r>
          </w:p>
        </w:tc>
        <w:tc>
          <w:tcPr/>
          <w:p>
            <w:pPr>
              <w:pStyle w:val="Compact"/>
              <w:jc w:val="right"/>
            </w:pPr>
            <w:r>
              <w:t xml:space="preserve">5–7 PM</w:t>
            </w:r>
          </w:p>
        </w:tc>
        <w:tc>
          <w:tcPr/>
          <w:p>
            <w:pPr>
              <w:pStyle w:val="Compact"/>
            </w:pPr>
            <w:r>
              <w:t xml:space="preserve">NMR doğruluk kalibrasyonu, rulepack genişliği</w:t>
            </w:r>
          </w:p>
        </w:tc>
      </w:tr>
      <w:tr>
        <w:tc>
          <w:tcPr/>
          <w:p>
            <w:pPr>
              <w:pStyle w:val="Compact"/>
            </w:pPr>
            <w:r>
              <w:t xml:space="preserve">P2</w:t>
            </w:r>
          </w:p>
        </w:tc>
        <w:tc>
          <w:tcPr/>
          <w:p>
            <w:pPr>
              <w:pStyle w:val="Compact"/>
            </w:pPr>
            <w:r>
              <w:t xml:space="preserve">HSQC/COSY jeneratörleri + HMBC jeneratör + NOESY (ETKDG) + 2D verify + export formatları (JCAMP/nmrML/NMReDATA/mzML)</w:t>
            </w:r>
          </w:p>
        </w:tc>
        <w:tc>
          <w:tcPr/>
          <w:p>
            <w:pPr>
              <w:pStyle w:val="Compact"/>
              <w:jc w:val="right"/>
            </w:pPr>
            <w:r>
              <w:t xml:space="preserve">6–9 PM</w:t>
            </w:r>
          </w:p>
        </w:tc>
        <w:tc>
          <w:tcPr/>
          <w:p>
            <w:pPr>
              <w:pStyle w:val="Compact"/>
            </w:pPr>
            <w:r>
              <w:t xml:space="preserve">2D yoğunluk/overlap, performans</w:t>
            </w:r>
          </w:p>
        </w:tc>
      </w:tr>
      <w:tr>
        <w:tc>
          <w:tcPr/>
          <w:p>
            <w:pPr>
              <w:pStyle w:val="Compact"/>
            </w:pPr>
            <w:r>
              <w:t xml:space="preserve">P3</w:t>
            </w:r>
          </w:p>
        </w:tc>
        <w:tc>
          <w:tcPr/>
          <w:p>
            <w:pPr>
              <w:pStyle w:val="Compact"/>
            </w:pPr>
            <w:r>
              <w:t xml:space="preserve">Part11 tam paket (audit chain, e‑sign, CSV templates) + enterprise security (SSO) + UI overlay/verify workflow (Mnova benzeri)</w:t>
            </w:r>
          </w:p>
        </w:tc>
        <w:tc>
          <w:tcPr/>
          <w:p>
            <w:pPr>
              <w:pStyle w:val="Compact"/>
              <w:jc w:val="right"/>
            </w:pPr>
            <w:r>
              <w:t xml:space="preserve">6–10 PM</w:t>
            </w:r>
          </w:p>
        </w:tc>
        <w:tc>
          <w:tcPr/>
          <w:p>
            <w:pPr>
              <w:pStyle w:val="Compact"/>
            </w:pPr>
            <w:r>
              <w:t xml:space="preserve">Validasyon dokümantasyonu ve müşteri denetimi</w:t>
            </w:r>
          </w:p>
        </w:tc>
      </w:tr>
    </w:tbl>
    <w:p>
      <w:pPr>
        <w:pStyle w:val="BodyText"/>
      </w:pPr>
      <w:r>
        <w:t xml:space="preserve">Toplam: ~19–29 person‑month (ekip büyüklüğüne göre paralelleştirilebilir).</w:t>
      </w:r>
    </w:p>
    <w:p>
      <w:pPr>
        <w:pStyle w:val="BodyText"/>
      </w:pPr>
      <w:r>
        <w:rPr>
          <w:b/>
          <w:bCs/>
        </w:rPr>
        <w:t xml:space="preserve">Risk azaltma notu</w:t>
      </w:r>
      <w:r>
        <w:t xml:space="preserve">: Mnova ve ACD gibi ürünler “1D+2D tahmin + overlay/verify + reporting”i ürün iddiası olarak sunuyor; benchmark gereksinimleri bu yüzden geniş.</w:t>
      </w:r>
      <w:r>
        <w:t xml:space="preserve"> </w:t>
      </w:r>
      <w:hyperlink r:id="rId26">
        <w:r>
          <w:rPr>
            <w:rStyle w:val="Hyperlink"/>
          </w:rPr>
          <w:t xml:space="preserve">[49]</w:t>
        </w:r>
      </w:hyperlink>
    </w:p>
    <w:bookmarkEnd w:id="101"/>
    <w:bookmarkEnd w:id="102"/>
    <w:bookmarkEnd w:id="103"/>
    <w:bookmarkEnd w:id="104"/>
    <w:p>
      <w:r>
        <w:pict>
          <v:rect style="width:0;height:1.5pt" o:hralign="center" o:hrstd="t" o:hr="t"/>
        </w:pict>
      </w:r>
    </w:p>
    <w:bookmarkStart w:id="105" w:name="citations"/>
    <w:p>
      <w:pPr>
        <w:pStyle w:val="FirstParagraph"/>
      </w:pPr>
      <w:hyperlink r:id="rId22">
        <w:r>
          <w:rPr>
            <w:rStyle w:val="Hyperlink"/>
          </w:rPr>
          <w:t xml:space="preserve">[1]</w:t>
        </w:r>
      </w:hyperlink>
      <w:r>
        <w:t xml:space="preserve"> </w:t>
      </w:r>
      <w:hyperlink r:id="rId22">
        <w:r>
          <w:rPr>
            <w:rStyle w:val="Hyperlink"/>
          </w:rPr>
          <w:t xml:space="preserve">[13]</w:t>
        </w:r>
      </w:hyperlink>
      <w:r>
        <w:t xml:space="preserve"> </w:t>
      </w:r>
      <w:hyperlink r:id="rId22">
        <w:r>
          <w:rPr>
            <w:rStyle w:val="Hyperlink"/>
          </w:rPr>
          <w:t xml:space="preserve">[16]</w:t>
        </w:r>
      </w:hyperlink>
      <w:r>
        <w:t xml:space="preserve"> </w:t>
      </w:r>
      <w:hyperlink r:id="rId22">
        <w:r>
          <w:rPr>
            <w:rStyle w:val="Hyperlink"/>
          </w:rPr>
          <w:t xml:space="preserve">[45]</w:t>
        </w:r>
      </w:hyperlink>
      <w:r>
        <w:t xml:space="preserve"> </w:t>
      </w:r>
      <w:r>
        <w:t xml:space="preserve">https://www.ecfr.gov/current/title-21/chapter-I/subchapter-A/part-11</w:t>
      </w:r>
    </w:p>
    <w:p>
      <w:pPr>
        <w:pStyle w:val="BodyText"/>
      </w:pPr>
      <w:hyperlink r:id="rId22">
        <w:r>
          <w:rPr>
            <w:rStyle w:val="Hyperlink"/>
          </w:rPr>
          <w:t xml:space="preserve">https://www.ecfr.gov/current/title-21/chapter-I/subchapter-A/part-11</w:t>
        </w:r>
      </w:hyperlink>
    </w:p>
    <w:p>
      <w:pPr>
        <w:pStyle w:val="BodyText"/>
      </w:pPr>
      <w:hyperlink r:id="rId23">
        <w:r>
          <w:rPr>
            <w:rStyle w:val="Hyperlink"/>
          </w:rPr>
          <w:t xml:space="preserve">[2]</w:t>
        </w:r>
      </w:hyperlink>
      <w:r>
        <w:t xml:space="preserve"> </w:t>
      </w:r>
      <w:r>
        <w:t xml:space="preserve">https://opensmiles.org/opensmiles.pdf</w:t>
      </w:r>
    </w:p>
    <w:p>
      <w:pPr>
        <w:pStyle w:val="BodyText"/>
      </w:pPr>
      <w:hyperlink r:id="rId23">
        <w:r>
          <w:rPr>
            <w:rStyle w:val="Hyperlink"/>
          </w:rPr>
          <w:t xml:space="preserve">https://opensmiles.org/opensmiles.pdf</w:t>
        </w:r>
      </w:hyperlink>
    </w:p>
    <w:p>
      <w:pPr>
        <w:pStyle w:val="BodyText"/>
      </w:pPr>
      <w:hyperlink r:id="rId24">
        <w:r>
          <w:rPr>
            <w:rStyle w:val="Hyperlink"/>
          </w:rPr>
          <w:t xml:space="preserve">[3]</w:t>
        </w:r>
      </w:hyperlink>
      <w:r>
        <w:t xml:space="preserve"> </w:t>
      </w:r>
      <w:r>
        <w:t xml:space="preserve">https://www.rdkit.org/docs/RDKit_Book.html</w:t>
      </w:r>
    </w:p>
    <w:p>
      <w:pPr>
        <w:pStyle w:val="BodyText"/>
      </w:pPr>
      <w:hyperlink r:id="rId24">
        <w:r>
          <w:rPr>
            <w:rStyle w:val="Hyperlink"/>
          </w:rPr>
          <w:t xml:space="preserve">https://www.rdkit.org/docs/RDKit_Book.html</w:t>
        </w:r>
      </w:hyperlink>
    </w:p>
    <w:p>
      <w:pPr>
        <w:pStyle w:val="BodyText"/>
      </w:pPr>
      <w:hyperlink r:id="rId25">
        <w:r>
          <w:rPr>
            <w:rStyle w:val="Hyperlink"/>
          </w:rPr>
          <w:t xml:space="preserve">[4]</w:t>
        </w:r>
      </w:hyperlink>
      <w:r>
        <w:t xml:space="preserve"> </w:t>
      </w:r>
      <w:r>
        <w:t xml:space="preserve">https://www.rdkit.org/docs/source/rdkit.Chem.MolStandardize.rdMolStandardize.html</w:t>
      </w:r>
    </w:p>
    <w:p>
      <w:pPr>
        <w:pStyle w:val="BodyText"/>
      </w:pPr>
      <w:hyperlink r:id="rId25">
        <w:r>
          <w:rPr>
            <w:rStyle w:val="Hyperlink"/>
          </w:rPr>
          <w:t xml:space="preserve">https://www.rdkit.org/docs/source/rdkit.Chem.MolStandardize.rdMolStandardize.html</w:t>
        </w:r>
      </w:hyperlink>
    </w:p>
    <w:p>
      <w:pPr>
        <w:pStyle w:val="BodyText"/>
      </w:pPr>
      <w:hyperlink r:id="rId26">
        <w:r>
          <w:rPr>
            <w:rStyle w:val="Hyperlink"/>
          </w:rPr>
          <w:t xml:space="preserve">[5]</w:t>
        </w:r>
      </w:hyperlink>
      <w:r>
        <w:t xml:space="preserve"> </w:t>
      </w:r>
      <w:hyperlink r:id="rId26">
        <w:r>
          <w:rPr>
            <w:rStyle w:val="Hyperlink"/>
          </w:rPr>
          <w:t xml:space="preserve">[14]</w:t>
        </w:r>
      </w:hyperlink>
      <w:r>
        <w:t xml:space="preserve"> </w:t>
      </w:r>
      <w:hyperlink r:id="rId26">
        <w:r>
          <w:rPr>
            <w:rStyle w:val="Hyperlink"/>
          </w:rPr>
          <w:t xml:space="preserve">[49]</w:t>
        </w:r>
      </w:hyperlink>
      <w:r>
        <w:t xml:space="preserve"> </w:t>
      </w:r>
      <w:r>
        <w:t xml:space="preserve">https://www.mestrelabcn.com/Manual_HTML_Mnova_15/predict__verify.htm</w:t>
      </w:r>
    </w:p>
    <w:p>
      <w:pPr>
        <w:pStyle w:val="BodyText"/>
      </w:pPr>
      <w:hyperlink r:id="rId26">
        <w:r>
          <w:rPr>
            <w:rStyle w:val="Hyperlink"/>
          </w:rPr>
          <w:t xml:space="preserve">https://www.mestrelabcn.com/Manual_HTML_Mnova_15/predict__verify.htm</w:t>
        </w:r>
      </w:hyperlink>
    </w:p>
    <w:p>
      <w:pPr>
        <w:pStyle w:val="BodyText"/>
      </w:pPr>
      <w:hyperlink r:id="rId28">
        <w:r>
          <w:rPr>
            <w:rStyle w:val="Hyperlink"/>
          </w:rPr>
          <w:t xml:space="preserve">[6]</w:t>
        </w:r>
      </w:hyperlink>
      <w:r>
        <w:t xml:space="preserve"> </w:t>
      </w:r>
      <w:hyperlink r:id="rId28">
        <w:r>
          <w:rPr>
            <w:rStyle w:val="Hyperlink"/>
          </w:rPr>
          <w:t xml:space="preserve">[22]</w:t>
        </w:r>
      </w:hyperlink>
      <w:r>
        <w:t xml:space="preserve"> </w:t>
      </w:r>
      <w:r>
        <w:t xml:space="preserve">https://goldbook.iupac.org/terms/view/08352</w:t>
      </w:r>
    </w:p>
    <w:p>
      <w:pPr>
        <w:pStyle w:val="BodyText"/>
      </w:pPr>
      <w:hyperlink r:id="rId28">
        <w:r>
          <w:rPr>
            <w:rStyle w:val="Hyperlink"/>
          </w:rPr>
          <w:t xml:space="preserve">https://goldbook.iupac.org/terms/view/08352</w:t>
        </w:r>
      </w:hyperlink>
    </w:p>
    <w:p>
      <w:pPr>
        <w:pStyle w:val="BodyText"/>
      </w:pPr>
      <w:hyperlink r:id="rId29">
        <w:r>
          <w:rPr>
            <w:rStyle w:val="Hyperlink"/>
          </w:rPr>
          <w:t xml:space="preserve">[7]</w:t>
        </w:r>
      </w:hyperlink>
      <w:r>
        <w:t xml:space="preserve"> </w:t>
      </w:r>
      <w:hyperlink r:id="rId29">
        <w:r>
          <w:rPr>
            <w:rStyle w:val="Hyperlink"/>
          </w:rPr>
          <w:t xml:space="preserve">[27]</w:t>
        </w:r>
      </w:hyperlink>
      <w:r>
        <w:t xml:space="preserve"> </w:t>
      </w:r>
      <w:r>
        <w:t xml:space="preserve">https://pubs.aip.org/aip/jcp/article/71/11/4546/785197/Investigation-of-exchange-processes-by-two</w:t>
      </w:r>
    </w:p>
    <w:p>
      <w:pPr>
        <w:pStyle w:val="BodyText"/>
      </w:pPr>
      <w:hyperlink r:id="rId29">
        <w:r>
          <w:rPr>
            <w:rStyle w:val="Hyperlink"/>
          </w:rPr>
          <w:t xml:space="preserve">https://pubs.aip.org/aip/jcp/article/71/11/4546/785197/Investigation-of-exchange-processes-by-two</w:t>
        </w:r>
      </w:hyperlink>
    </w:p>
    <w:p>
      <w:pPr>
        <w:pStyle w:val="BodyText"/>
      </w:pPr>
      <w:hyperlink r:id="rId30">
        <w:r>
          <w:rPr>
            <w:rStyle w:val="Hyperlink"/>
          </w:rPr>
          <w:t xml:space="preserve">[8]</w:t>
        </w:r>
      </w:hyperlink>
      <w:r>
        <w:t xml:space="preserve"> </w:t>
      </w:r>
      <w:hyperlink r:id="rId30">
        <w:r>
          <w:rPr>
            <w:rStyle w:val="Hyperlink"/>
          </w:rPr>
          <w:t xml:space="preserve">[11]</w:t>
        </w:r>
      </w:hyperlink>
      <w:r>
        <w:t xml:space="preserve"> </w:t>
      </w:r>
      <w:r>
        <w:t xml:space="preserve">What are common adducts in ESI mass spectrometry? - WKB67428 - Waters</w:t>
      </w:r>
    </w:p>
    <w:p>
      <w:pPr>
        <w:pStyle w:val="BodyText"/>
      </w:pPr>
      <w:hyperlink r:id="rId30">
        <w:r>
          <w:rPr>
            <w:rStyle w:val="Hyperlink"/>
          </w:rPr>
          <w:t xml:space="preserve">https://support.waters.com/KB_Chem/Other/WKB67428_What_are_common_adducts_in_ESI_Mass_Spectrometry?utm_source=chatgpt.com</w:t>
        </w:r>
      </w:hyperlink>
    </w:p>
    <w:p>
      <w:pPr>
        <w:pStyle w:val="BodyText"/>
      </w:pPr>
      <w:hyperlink r:id="rId31">
        <w:r>
          <w:rPr>
            <w:rStyle w:val="Hyperlink"/>
          </w:rPr>
          <w:t xml:space="preserve">[9]</w:t>
        </w:r>
      </w:hyperlink>
      <w:r>
        <w:t xml:space="preserve"> </w:t>
      </w:r>
      <w:hyperlink r:id="rId31">
        <w:r>
          <w:rPr>
            <w:rStyle w:val="Hyperlink"/>
          </w:rPr>
          <w:t xml:space="preserve">[10]</w:t>
        </w:r>
      </w:hyperlink>
      <w:r>
        <w:t xml:space="preserve"> </w:t>
      </w:r>
      <w:r>
        <w:t xml:space="preserve">https://chem.libretexts.org/Ancillary_Materials/Reference/Reference_Tables/Spectroscopic_Reference_Tables/Infrared_Spectroscopy_Absorption_Table</w:t>
      </w:r>
    </w:p>
    <w:p>
      <w:pPr>
        <w:pStyle w:val="BodyText"/>
      </w:pPr>
      <w:hyperlink r:id="rId31">
        <w:r>
          <w:rPr>
            <w:rStyle w:val="Hyperlink"/>
          </w:rPr>
          <w:t xml:space="preserve">https://chem.libretexts.org/Ancillary_Materials/Reference/Reference_Tables/Spectroscopic_Reference_Tables/Infrared_Spectroscopy_Absorption_Table</w:t>
        </w:r>
      </w:hyperlink>
    </w:p>
    <w:p>
      <w:pPr>
        <w:pStyle w:val="BodyText"/>
      </w:pPr>
      <w:hyperlink r:id="rId33">
        <w:r>
          <w:rPr>
            <w:rStyle w:val="Hyperlink"/>
          </w:rPr>
          <w:t xml:space="preserve">[12]</w:t>
        </w:r>
      </w:hyperlink>
      <w:r>
        <w:t xml:space="preserve"> </w:t>
      </w:r>
      <w:r>
        <w:t xml:space="preserve">https://www.periodicos.capes.gov.br/index.php/acervo/buscador.html?id=W2023688490&amp;task=detalhes</w:t>
      </w:r>
    </w:p>
    <w:p>
      <w:pPr>
        <w:pStyle w:val="BodyText"/>
      </w:pPr>
      <w:hyperlink r:id="rId33">
        <w:r>
          <w:rPr>
            <w:rStyle w:val="Hyperlink"/>
          </w:rPr>
          <w:t xml:space="preserve">https://www.periodicos.capes.gov.br/index.php/acervo/buscador.html?id=W2023688490&amp;task=detalhes</w:t>
        </w:r>
      </w:hyperlink>
    </w:p>
    <w:p>
      <w:pPr>
        <w:pStyle w:val="BodyText"/>
      </w:pPr>
      <w:hyperlink r:id="rId35">
        <w:r>
          <w:rPr>
            <w:rStyle w:val="Hyperlink"/>
          </w:rPr>
          <w:t xml:space="preserve">[15]</w:t>
        </w:r>
      </w:hyperlink>
      <w:r>
        <w:t xml:space="preserve"> </w:t>
      </w:r>
      <w:r>
        <w:t xml:space="preserve">https://goldbook.iupac.org/terms/view/08618</w:t>
      </w:r>
    </w:p>
    <w:p>
      <w:pPr>
        <w:pStyle w:val="BodyText"/>
      </w:pPr>
      <w:hyperlink r:id="rId35">
        <w:r>
          <w:rPr>
            <w:rStyle w:val="Hyperlink"/>
          </w:rPr>
          <w:t xml:space="preserve">https://goldbook.iupac.org/terms/view/08618</w:t>
        </w:r>
      </w:hyperlink>
    </w:p>
    <w:p>
      <w:pPr>
        <w:pStyle w:val="BodyText"/>
      </w:pPr>
      <w:hyperlink r:id="rId38">
        <w:r>
          <w:rPr>
            <w:rStyle w:val="Hyperlink"/>
          </w:rPr>
          <w:t xml:space="preserve">[17]</w:t>
        </w:r>
      </w:hyperlink>
      <w:r>
        <w:t xml:space="preserve"> </w:t>
      </w:r>
      <w:r>
        <w:t xml:space="preserve">https://mestrelab.com/main-product/nmr-predict</w:t>
      </w:r>
    </w:p>
    <w:p>
      <w:pPr>
        <w:pStyle w:val="BodyText"/>
      </w:pPr>
      <w:hyperlink r:id="rId38">
        <w:r>
          <w:rPr>
            <w:rStyle w:val="Hyperlink"/>
          </w:rPr>
          <w:t xml:space="preserve">https://mestrelab.com/main-product/nmr-predict</w:t>
        </w:r>
      </w:hyperlink>
    </w:p>
    <w:p>
      <w:pPr>
        <w:pStyle w:val="BodyText"/>
      </w:pPr>
      <w:hyperlink r:id="rId39">
        <w:r>
          <w:rPr>
            <w:rStyle w:val="Hyperlink"/>
          </w:rPr>
          <w:t xml:space="preserve">[18]</w:t>
        </w:r>
      </w:hyperlink>
      <w:r>
        <w:t xml:space="preserve"> </w:t>
      </w:r>
      <w:r>
        <w:t xml:space="preserve">https://www.nmrdb.org/hmbc/index.shtml?v=v2.157.0</w:t>
      </w:r>
    </w:p>
    <w:p>
      <w:pPr>
        <w:pStyle w:val="BodyText"/>
      </w:pPr>
      <w:hyperlink r:id="rId39">
        <w:r>
          <w:rPr>
            <w:rStyle w:val="Hyperlink"/>
          </w:rPr>
          <w:t xml:space="preserve">https://www.nmrdb.org/hmbc/index.shtml?v=v2.157.0</w:t>
        </w:r>
      </w:hyperlink>
    </w:p>
    <w:p>
      <w:pPr>
        <w:pStyle w:val="BodyText"/>
      </w:pPr>
      <w:hyperlink r:id="rId40">
        <w:r>
          <w:rPr>
            <w:rStyle w:val="Hyperlink"/>
          </w:rPr>
          <w:t xml:space="preserve">[19]</w:t>
        </w:r>
      </w:hyperlink>
      <w:r>
        <w:t xml:space="preserve"> </w:t>
      </w:r>
      <w:r>
        <w:t xml:space="preserve">https://nmrshiftdb2.sourceforge.io/predictionhistory/history.html</w:t>
      </w:r>
    </w:p>
    <w:p>
      <w:pPr>
        <w:pStyle w:val="BodyText"/>
      </w:pPr>
      <w:hyperlink r:id="rId40">
        <w:r>
          <w:rPr>
            <w:rStyle w:val="Hyperlink"/>
          </w:rPr>
          <w:t xml:space="preserve">https://nmrshiftdb2.sourceforge.io/predictionhistory/history.html</w:t>
        </w:r>
      </w:hyperlink>
    </w:p>
    <w:p>
      <w:pPr>
        <w:pStyle w:val="BodyText"/>
      </w:pPr>
      <w:hyperlink r:id="rId43">
        <w:r>
          <w:rPr>
            <w:rStyle w:val="Hyperlink"/>
          </w:rPr>
          <w:t xml:space="preserve">[20]</w:t>
        </w:r>
      </w:hyperlink>
      <w:r>
        <w:t xml:space="preserve"> </w:t>
      </w:r>
      <w:r>
        <w:t xml:space="preserve">https://www.sciencedirect.com/science/article/pii/0009261480800418</w:t>
      </w:r>
    </w:p>
    <w:p>
      <w:pPr>
        <w:pStyle w:val="BodyText"/>
      </w:pPr>
      <w:hyperlink r:id="rId43">
        <w:r>
          <w:rPr>
            <w:rStyle w:val="Hyperlink"/>
          </w:rPr>
          <w:t xml:space="preserve">https://www.sciencedirect.com/science/article/pii/0009261480800418</w:t>
        </w:r>
      </w:hyperlink>
    </w:p>
    <w:p>
      <w:pPr>
        <w:pStyle w:val="BodyText"/>
      </w:pPr>
      <w:hyperlink r:id="rId44">
        <w:r>
          <w:rPr>
            <w:rStyle w:val="Hyperlink"/>
          </w:rPr>
          <w:t xml:space="preserve">[21]</w:t>
        </w:r>
      </w:hyperlink>
      <w:r>
        <w:t xml:space="preserve"> </w:t>
      </w:r>
      <w:r>
        <w:t xml:space="preserve">https://www.acdlabs.com/products/spectrus-platform/nmr-predictors/</w:t>
      </w:r>
    </w:p>
    <w:p>
      <w:pPr>
        <w:pStyle w:val="BodyText"/>
      </w:pPr>
      <w:hyperlink r:id="rId44">
        <w:r>
          <w:rPr>
            <w:rStyle w:val="Hyperlink"/>
          </w:rPr>
          <w:t xml:space="preserve">https://www.acdlabs.com/products/spectrus-platform/nmr-predictors/</w:t>
        </w:r>
      </w:hyperlink>
    </w:p>
    <w:p>
      <w:pPr>
        <w:pStyle w:val="BodyText"/>
      </w:pPr>
      <w:hyperlink r:id="rId46">
        <w:r>
          <w:rPr>
            <w:rStyle w:val="Hyperlink"/>
          </w:rPr>
          <w:t xml:space="preserve">[23]</w:t>
        </w:r>
      </w:hyperlink>
      <w:r>
        <w:t xml:space="preserve"> </w:t>
      </w:r>
      <w:r>
        <w:t xml:space="preserve">https://onlinelibrary.wiley.com/doi/epdf/10.1002/cmr.a.21232</w:t>
      </w:r>
    </w:p>
    <w:p>
      <w:pPr>
        <w:pStyle w:val="BodyText"/>
      </w:pPr>
      <w:hyperlink r:id="rId46">
        <w:r>
          <w:rPr>
            <w:rStyle w:val="Hyperlink"/>
          </w:rPr>
          <w:t xml:space="preserve">https://onlinelibrary.wiley.com/doi/epdf/10.1002/cmr.a.21232</w:t>
        </w:r>
      </w:hyperlink>
    </w:p>
    <w:p>
      <w:pPr>
        <w:pStyle w:val="BodyText"/>
      </w:pPr>
      <w:hyperlink r:id="rId48">
        <w:r>
          <w:rPr>
            <w:rStyle w:val="Hyperlink"/>
          </w:rPr>
          <w:t xml:space="preserve">[24]</w:t>
        </w:r>
      </w:hyperlink>
      <w:r>
        <w:t xml:space="preserve"> </w:t>
      </w:r>
      <w:r>
        <w:t xml:space="preserve">https://nmr.chem.columbia.edu/content/cosy</w:t>
      </w:r>
    </w:p>
    <w:p>
      <w:pPr>
        <w:pStyle w:val="BodyText"/>
      </w:pPr>
      <w:hyperlink r:id="rId48">
        <w:r>
          <w:rPr>
            <w:rStyle w:val="Hyperlink"/>
          </w:rPr>
          <w:t xml:space="preserve">https://nmr.chem.columbia.edu/content/cosy</w:t>
        </w:r>
      </w:hyperlink>
    </w:p>
    <w:p>
      <w:pPr>
        <w:pStyle w:val="BodyText"/>
      </w:pPr>
      <w:hyperlink r:id="rId49">
        <w:r>
          <w:rPr>
            <w:rStyle w:val="Hyperlink"/>
          </w:rPr>
          <w:t xml:space="preserve">[25]</w:t>
        </w:r>
      </w:hyperlink>
      <w:r>
        <w:t xml:space="preserve"> </w:t>
      </w:r>
      <w:r>
        <w:t xml:space="preserve">https://zh.mindat.org/reference.php?id=1289696</w:t>
      </w:r>
    </w:p>
    <w:p>
      <w:pPr>
        <w:pStyle w:val="BodyText"/>
      </w:pPr>
      <w:hyperlink r:id="rId49">
        <w:r>
          <w:rPr>
            <w:rStyle w:val="Hyperlink"/>
          </w:rPr>
          <w:t xml:space="preserve">https://zh.mindat.org/reference.php?id=1289696</w:t>
        </w:r>
      </w:hyperlink>
    </w:p>
    <w:p>
      <w:pPr>
        <w:pStyle w:val="BodyText"/>
      </w:pPr>
      <w:hyperlink r:id="rId51">
        <w:r>
          <w:rPr>
            <w:rStyle w:val="Hyperlink"/>
          </w:rPr>
          <w:t xml:space="preserve">[26]</w:t>
        </w:r>
      </w:hyperlink>
      <w:r>
        <w:t xml:space="preserve"> </w:t>
      </w:r>
      <w:r>
        <w:t xml:space="preserve">https://goldbook.iupac.org/terms/view/08387</w:t>
      </w:r>
    </w:p>
    <w:p>
      <w:pPr>
        <w:pStyle w:val="BodyText"/>
      </w:pPr>
      <w:hyperlink r:id="rId51">
        <w:r>
          <w:rPr>
            <w:rStyle w:val="Hyperlink"/>
          </w:rPr>
          <w:t xml:space="preserve">https://goldbook.iupac.org/terms/view/08387</w:t>
        </w:r>
      </w:hyperlink>
    </w:p>
    <w:p>
      <w:pPr>
        <w:pStyle w:val="BodyText"/>
      </w:pPr>
      <w:hyperlink r:id="rId52">
        <w:r>
          <w:rPr>
            <w:rStyle w:val="Hyperlink"/>
          </w:rPr>
          <w:t xml:space="preserve">[28]</w:t>
        </w:r>
      </w:hyperlink>
      <w:r>
        <w:t xml:space="preserve"> </w:t>
      </w:r>
      <w:r>
        <w:t xml:space="preserve">https://www.sciencedirect.com/topics/materials-science/nuclear-overhauser-effect-spectroscopy</w:t>
      </w:r>
    </w:p>
    <w:p>
      <w:pPr>
        <w:pStyle w:val="BodyText"/>
      </w:pPr>
      <w:hyperlink r:id="rId52">
        <w:r>
          <w:rPr>
            <w:rStyle w:val="Hyperlink"/>
          </w:rPr>
          <w:t xml:space="preserve">https://www.sciencedirect.com/topics/materials-science/nuclear-overhauser-effect-spectroscopy</w:t>
        </w:r>
      </w:hyperlink>
    </w:p>
    <w:p>
      <w:pPr>
        <w:pStyle w:val="BodyText"/>
      </w:pPr>
      <w:hyperlink r:id="rId53">
        <w:r>
          <w:rPr>
            <w:rStyle w:val="Hyperlink"/>
          </w:rPr>
          <w:t xml:space="preserve">[29]</w:t>
        </w:r>
      </w:hyperlink>
      <w:r>
        <w:t xml:space="preserve"> </w:t>
      </w:r>
      <w:r>
        <w:t xml:space="preserve">https://zh.mindat.org/reference.php?id=14612282</w:t>
      </w:r>
    </w:p>
    <w:p>
      <w:pPr>
        <w:pStyle w:val="BodyText"/>
      </w:pPr>
      <w:hyperlink r:id="rId53">
        <w:r>
          <w:rPr>
            <w:rStyle w:val="Hyperlink"/>
          </w:rPr>
          <w:t xml:space="preserve">https://zh.mindat.org/reference.php?id=14612282</w:t>
        </w:r>
      </w:hyperlink>
    </w:p>
    <w:p>
      <w:pPr>
        <w:pStyle w:val="BodyText"/>
      </w:pPr>
      <w:hyperlink r:id="rId55">
        <w:r>
          <w:rPr>
            <w:rStyle w:val="Hyperlink"/>
          </w:rPr>
          <w:t xml:space="preserve">[30]</w:t>
        </w:r>
      </w:hyperlink>
      <w:r>
        <w:t xml:space="preserve"> </w:t>
      </w:r>
      <w:r>
        <w:t xml:space="preserve">https://kpu.pressbooks.pub/organicchemistry/chapter/6-3-ir-spectrum-and-characteristic-absorption-bands/</w:t>
      </w:r>
    </w:p>
    <w:p>
      <w:pPr>
        <w:pStyle w:val="BodyText"/>
      </w:pPr>
      <w:hyperlink r:id="rId55">
        <w:r>
          <w:rPr>
            <w:rStyle w:val="Hyperlink"/>
          </w:rPr>
          <w:t xml:space="preserve">https://kpu.pressbooks.pub/organicchemistry/chapter/6-3-ir-spectrum-and-characteristic-absorption-bands/</w:t>
        </w:r>
      </w:hyperlink>
    </w:p>
    <w:p>
      <w:pPr>
        <w:pStyle w:val="BodyText"/>
      </w:pPr>
      <w:hyperlink r:id="rId57">
        <w:r>
          <w:rPr>
            <w:rStyle w:val="Hyperlink"/>
          </w:rPr>
          <w:t xml:space="preserve">[31]</w:t>
        </w:r>
      </w:hyperlink>
      <w:r>
        <w:t xml:space="preserve"> </w:t>
      </w:r>
      <w:r>
        <w:t xml:space="preserve">HUPO-PSI/mzML: Repository for mzML and the corresponding examples - GitHub</w:t>
      </w:r>
    </w:p>
    <w:p>
      <w:pPr>
        <w:pStyle w:val="BodyText"/>
      </w:pPr>
      <w:hyperlink r:id="rId57">
        <w:r>
          <w:rPr>
            <w:rStyle w:val="Hyperlink"/>
          </w:rPr>
          <w:t xml:space="preserve">https://github.com/HUPO-PSI/mzML?utm_source=chatgpt.com</w:t>
        </w:r>
      </w:hyperlink>
    </w:p>
    <w:p>
      <w:pPr>
        <w:pStyle w:val="BodyText"/>
      </w:pPr>
      <w:hyperlink r:id="rId68">
        <w:r>
          <w:rPr>
            <w:rStyle w:val="Hyperlink"/>
          </w:rPr>
          <w:t xml:space="preserve">[32]</w:t>
        </w:r>
      </w:hyperlink>
      <w:r>
        <w:t xml:space="preserve"> </w:t>
      </w:r>
      <w:r>
        <w:t xml:space="preserve">https://deepwiki.com/rdkit/rdkit/2.4-canonicalization</w:t>
      </w:r>
    </w:p>
    <w:p>
      <w:pPr>
        <w:pStyle w:val="BodyText"/>
      </w:pPr>
      <w:hyperlink r:id="rId68">
        <w:r>
          <w:rPr>
            <w:rStyle w:val="Hyperlink"/>
          </w:rPr>
          <w:t xml:space="preserve">https://deepwiki.com/rdkit/rdkit/2.4-canonicalization</w:t>
        </w:r>
      </w:hyperlink>
    </w:p>
    <w:p>
      <w:pPr>
        <w:pStyle w:val="BodyText"/>
      </w:pPr>
      <w:hyperlink r:id="rId77">
        <w:r>
          <w:rPr>
            <w:rStyle w:val="Hyperlink"/>
          </w:rPr>
          <w:t xml:space="preserve">[33]</w:t>
        </w:r>
      </w:hyperlink>
      <w:r>
        <w:t xml:space="preserve"> </w:t>
      </w:r>
      <w:r>
        <w:t xml:space="preserve">https://nmrshiftdb.nmr.uni-koeln.de/</w:t>
      </w:r>
    </w:p>
    <w:p>
      <w:pPr>
        <w:pStyle w:val="BodyText"/>
      </w:pPr>
      <w:hyperlink r:id="rId77">
        <w:r>
          <w:rPr>
            <w:rStyle w:val="Hyperlink"/>
          </w:rPr>
          <w:t xml:space="preserve">https://nmrshiftdb.nmr.uni-koeln.de/</w:t>
        </w:r>
      </w:hyperlink>
    </w:p>
    <w:p>
      <w:pPr>
        <w:pStyle w:val="BodyText"/>
      </w:pPr>
      <w:hyperlink r:id="rId78">
        <w:r>
          <w:rPr>
            <w:rStyle w:val="Hyperlink"/>
          </w:rPr>
          <w:t xml:space="preserve">[34]</w:t>
        </w:r>
      </w:hyperlink>
      <w:r>
        <w:t xml:space="preserve"> </w:t>
      </w:r>
      <w:r>
        <w:t xml:space="preserve">https://analyticalsciencejournals.onlinelibrary.wiley.com/doi/pdf/10.1002/mrc.5418</w:t>
      </w:r>
    </w:p>
    <w:p>
      <w:pPr>
        <w:pStyle w:val="BodyText"/>
      </w:pPr>
      <w:hyperlink r:id="rId78">
        <w:r>
          <w:rPr>
            <w:rStyle w:val="Hyperlink"/>
          </w:rPr>
          <w:t xml:space="preserve">https://analyticalsciencejournals.onlinelibrary.wiley.com/doi/pdf/10.1002/mrc.5418</w:t>
        </w:r>
      </w:hyperlink>
    </w:p>
    <w:p>
      <w:pPr>
        <w:pStyle w:val="BodyText"/>
      </w:pPr>
      <w:hyperlink r:id="rId79">
        <w:r>
          <w:rPr>
            <w:rStyle w:val="Hyperlink"/>
          </w:rPr>
          <w:t xml:space="preserve">[35]</w:t>
        </w:r>
      </w:hyperlink>
      <w:r>
        <w:t xml:space="preserve"> </w:t>
      </w:r>
      <w:r>
        <w:t xml:space="preserve">https://knowledgebase.nfdi4chem.de/knowledge_base/docs/nmrxiv/</w:t>
      </w:r>
    </w:p>
    <w:p>
      <w:pPr>
        <w:pStyle w:val="BodyText"/>
      </w:pPr>
      <w:hyperlink r:id="rId79">
        <w:r>
          <w:rPr>
            <w:rStyle w:val="Hyperlink"/>
          </w:rPr>
          <w:t xml:space="preserve">https://knowledgebase.nfdi4chem.de/knowledge_base/docs/nmrxiv/</w:t>
        </w:r>
      </w:hyperlink>
    </w:p>
    <w:p>
      <w:pPr>
        <w:pStyle w:val="BodyText"/>
      </w:pPr>
      <w:hyperlink r:id="rId80">
        <w:r>
          <w:rPr>
            <w:rStyle w:val="Hyperlink"/>
          </w:rPr>
          <w:t xml:space="preserve">[36]</w:t>
        </w:r>
      </w:hyperlink>
      <w:r>
        <w:t xml:space="preserve"> </w:t>
      </w:r>
      <w:r>
        <w:t xml:space="preserve">https://nmredatainitiative.github.io/</w:t>
      </w:r>
    </w:p>
    <w:p>
      <w:pPr>
        <w:pStyle w:val="BodyText"/>
      </w:pPr>
      <w:hyperlink r:id="rId80">
        <w:r>
          <w:rPr>
            <w:rStyle w:val="Hyperlink"/>
          </w:rPr>
          <w:t xml:space="preserve">https://nmredatainitiative.github.io/</w:t>
        </w:r>
      </w:hyperlink>
    </w:p>
    <w:p>
      <w:pPr>
        <w:pStyle w:val="BodyText"/>
      </w:pPr>
      <w:hyperlink r:id="rId81">
        <w:r>
          <w:rPr>
            <w:rStyle w:val="Hyperlink"/>
          </w:rPr>
          <w:t xml:space="preserve">[37]</w:t>
        </w:r>
      </w:hyperlink>
      <w:r>
        <w:t xml:space="preserve"> </w:t>
      </w:r>
      <w:r>
        <w:t xml:space="preserve">https://pubs.acs.org/doi/pdf/10.1021/acs.analchem.7b02795</w:t>
      </w:r>
    </w:p>
    <w:p>
      <w:pPr>
        <w:pStyle w:val="BodyText"/>
      </w:pPr>
      <w:hyperlink r:id="rId81">
        <w:r>
          <w:rPr>
            <w:rStyle w:val="Hyperlink"/>
          </w:rPr>
          <w:t xml:space="preserve">https://pubs.acs.org/doi/pdf/10.1021/acs.analchem.7b02795</w:t>
        </w:r>
      </w:hyperlink>
    </w:p>
    <w:p>
      <w:pPr>
        <w:pStyle w:val="BodyText"/>
      </w:pPr>
      <w:hyperlink r:id="rId82">
        <w:r>
          <w:rPr>
            <w:rStyle w:val="Hyperlink"/>
          </w:rPr>
          <w:t xml:space="preserve">[38]</w:t>
        </w:r>
      </w:hyperlink>
      <w:r>
        <w:t xml:space="preserve"> </w:t>
      </w:r>
      <w:r>
        <w:t xml:space="preserve">https://sdbs.db.aist.go.jp/</w:t>
      </w:r>
    </w:p>
    <w:p>
      <w:pPr>
        <w:pStyle w:val="BodyText"/>
      </w:pPr>
      <w:hyperlink r:id="rId82">
        <w:r>
          <w:rPr>
            <w:rStyle w:val="Hyperlink"/>
          </w:rPr>
          <w:t xml:space="preserve">https://sdbs.db.aist.go.jp/</w:t>
        </w:r>
      </w:hyperlink>
    </w:p>
    <w:p>
      <w:pPr>
        <w:pStyle w:val="BodyText"/>
      </w:pPr>
      <w:hyperlink r:id="rId83">
        <w:r>
          <w:rPr>
            <w:rStyle w:val="Hyperlink"/>
          </w:rPr>
          <w:t xml:space="preserve">[39]</w:t>
        </w:r>
      </w:hyperlink>
      <w:r>
        <w:t xml:space="preserve"> </w:t>
      </w:r>
      <w:r>
        <w:t xml:space="preserve">PubChem</w:t>
      </w:r>
    </w:p>
    <w:p>
      <w:pPr>
        <w:pStyle w:val="BodyText"/>
      </w:pPr>
      <w:hyperlink r:id="rId83">
        <w:r>
          <w:rPr>
            <w:rStyle w:val="Hyperlink"/>
          </w:rPr>
          <w:t xml:space="preserve">https://pubchem.ncbi.nlm.nih.gov/pcfe/docs/markdown/spectral-information.md?utm_source=chatgpt.com</w:t>
        </w:r>
      </w:hyperlink>
    </w:p>
    <w:p>
      <w:pPr>
        <w:pStyle w:val="BodyText"/>
      </w:pPr>
      <w:hyperlink r:id="rId84">
        <w:r>
          <w:rPr>
            <w:rStyle w:val="Hyperlink"/>
          </w:rPr>
          <w:t xml:space="preserve">[40]</w:t>
        </w:r>
      </w:hyperlink>
      <w:r>
        <w:t xml:space="preserve"> </w:t>
      </w:r>
      <w:r>
        <w:t xml:space="preserve">MassBank</w:t>
      </w:r>
    </w:p>
    <w:p>
      <w:pPr>
        <w:pStyle w:val="BodyText"/>
      </w:pPr>
      <w:hyperlink r:id="rId84">
        <w:r>
          <w:rPr>
            <w:rStyle w:val="Hyperlink"/>
          </w:rPr>
          <w:t xml:space="preserve">https://massbank.eu/MassBank/?utm_source=chatgpt.com</w:t>
        </w:r>
      </w:hyperlink>
    </w:p>
    <w:p>
      <w:pPr>
        <w:pStyle w:val="BodyText"/>
      </w:pPr>
      <w:hyperlink r:id="rId86">
        <w:r>
          <w:rPr>
            <w:rStyle w:val="Hyperlink"/>
          </w:rPr>
          <w:t xml:space="preserve">[41]</w:t>
        </w:r>
      </w:hyperlink>
      <w:r>
        <w:t xml:space="preserve"> </w:t>
      </w:r>
      <w:r>
        <w:t xml:space="preserve">https://search.nfdi4chem.de/dataset/trans-resveratrol-annotated-nmr-400-mhz-dmsod6-data-2d2</w:t>
      </w:r>
    </w:p>
    <w:p>
      <w:pPr>
        <w:pStyle w:val="BodyText"/>
      </w:pPr>
      <w:hyperlink r:id="rId86">
        <w:r>
          <w:rPr>
            <w:rStyle w:val="Hyperlink"/>
          </w:rPr>
          <w:t xml:space="preserve">https://search.nfdi4chem.de/dataset/trans-resveratrol-annotated-nmr-400-mhz-dmsod6-data-2d2</w:t>
        </w:r>
      </w:hyperlink>
    </w:p>
    <w:p>
      <w:pPr>
        <w:pStyle w:val="BodyText"/>
      </w:pPr>
      <w:hyperlink r:id="rId87">
        <w:r>
          <w:rPr>
            <w:rStyle w:val="Hyperlink"/>
          </w:rPr>
          <w:t xml:space="preserve">[42]</w:t>
        </w:r>
      </w:hyperlink>
      <w:r>
        <w:t xml:space="preserve"> </w:t>
      </w:r>
      <w:r>
        <w:t xml:space="preserve">https://search.nfdi4chem.de/dataset/quercetin-dihydrate-annotated-nmr-400-mhz-dmsod6-data</w:t>
      </w:r>
    </w:p>
    <w:p>
      <w:pPr>
        <w:pStyle w:val="BodyText"/>
      </w:pPr>
      <w:hyperlink r:id="rId87">
        <w:r>
          <w:rPr>
            <w:rStyle w:val="Hyperlink"/>
          </w:rPr>
          <w:t xml:space="preserve">https://search.nfdi4chem.de/dataset/quercetin-dihydrate-annotated-nmr-400-mhz-dmsod6-data</w:t>
        </w:r>
      </w:hyperlink>
    </w:p>
    <w:p>
      <w:pPr>
        <w:pStyle w:val="BodyText"/>
      </w:pPr>
      <w:hyperlink r:id="rId88">
        <w:r>
          <w:rPr>
            <w:rStyle w:val="Hyperlink"/>
          </w:rPr>
          <w:t xml:space="preserve">[43]</w:t>
        </w:r>
      </w:hyperlink>
      <w:r>
        <w:t xml:space="preserve"> </w:t>
      </w:r>
      <w:r>
        <w:t xml:space="preserve">https://search.nfdi4chem.de/dataset/nmrxiv-d1120</w:t>
      </w:r>
    </w:p>
    <w:p>
      <w:pPr>
        <w:pStyle w:val="BodyText"/>
      </w:pPr>
      <w:hyperlink r:id="rId88">
        <w:r>
          <w:rPr>
            <w:rStyle w:val="Hyperlink"/>
          </w:rPr>
          <w:t xml:space="preserve">https://search.nfdi4chem.de/dataset/nmrxiv-d1120</w:t>
        </w:r>
      </w:hyperlink>
    </w:p>
    <w:p>
      <w:pPr>
        <w:pStyle w:val="BodyText"/>
      </w:pPr>
      <w:hyperlink r:id="rId89">
        <w:r>
          <w:rPr>
            <w:rStyle w:val="Hyperlink"/>
          </w:rPr>
          <w:t xml:space="preserve">[44]</w:t>
        </w:r>
      </w:hyperlink>
      <w:r>
        <w:t xml:space="preserve"> </w:t>
      </w:r>
      <w:r>
        <w:t xml:space="preserve">https://pdf.benchchem.com/13842/Application_Note_Structural_Elucidation_of_Epicatechin_C_using_NMR_Spectroscopy.pdf</w:t>
      </w:r>
    </w:p>
    <w:p>
      <w:pPr>
        <w:pStyle w:val="BodyText"/>
      </w:pPr>
      <w:hyperlink r:id="rId89">
        <w:r>
          <w:rPr>
            <w:rStyle w:val="Hyperlink"/>
          </w:rPr>
          <w:t xml:space="preserve">https://pdf.benchchem.com/13842/Application_Note_Structural_Elucidation_of_Epicatechin_C_using_NMR_Spectroscopy.pdf</w:t>
        </w:r>
      </w:hyperlink>
    </w:p>
    <w:p>
      <w:pPr>
        <w:pStyle w:val="BodyText"/>
      </w:pPr>
      <w:hyperlink r:id="rId92">
        <w:r>
          <w:rPr>
            <w:rStyle w:val="Hyperlink"/>
          </w:rPr>
          <w:t xml:space="preserve">[46]</w:t>
        </w:r>
      </w:hyperlink>
      <w:r>
        <w:t xml:space="preserve"> </w:t>
      </w:r>
      <w:r>
        <w:t xml:space="preserve">https://www.law.cornell.edu/cfr/text/21/part-11/subpart-B</w:t>
      </w:r>
    </w:p>
    <w:p>
      <w:pPr>
        <w:pStyle w:val="BodyText"/>
      </w:pPr>
      <w:hyperlink r:id="rId92">
        <w:r>
          <w:rPr>
            <w:rStyle w:val="Hyperlink"/>
          </w:rPr>
          <w:t xml:space="preserve">https://www.law.cornell.edu/cfr/text/21/part-11/subpart-B</w:t>
        </w:r>
      </w:hyperlink>
    </w:p>
    <w:p>
      <w:pPr>
        <w:pStyle w:val="BodyText"/>
      </w:pPr>
      <w:hyperlink r:id="rId95">
        <w:r>
          <w:rPr>
            <w:rStyle w:val="Hyperlink"/>
          </w:rPr>
          <w:t xml:space="preserve">[47]</w:t>
        </w:r>
      </w:hyperlink>
      <w:r>
        <w:t xml:space="preserve"> </w:t>
      </w:r>
      <w:r>
        <w:t xml:space="preserve">https://csrc.nist.gov/pubs/journal/2001/08/proposed-nist-standard-for-rolebased-access-contro/final</w:t>
      </w:r>
    </w:p>
    <w:p>
      <w:pPr>
        <w:pStyle w:val="BodyText"/>
      </w:pPr>
      <w:hyperlink r:id="rId95">
        <w:r>
          <w:rPr>
            <w:rStyle w:val="Hyperlink"/>
          </w:rPr>
          <w:t xml:space="preserve">https://csrc.nist.gov/pubs/journal/2001/08/proposed-nist-standard-for-rolebased-access-contro/final</w:t>
        </w:r>
      </w:hyperlink>
    </w:p>
    <w:p>
      <w:pPr>
        <w:pStyle w:val="BodyText"/>
      </w:pPr>
      <w:hyperlink r:id="rId98">
        <w:r>
          <w:rPr>
            <w:rStyle w:val="Hyperlink"/>
          </w:rPr>
          <w:t xml:space="preserve">[48]</w:t>
        </w:r>
      </w:hyperlink>
      <w:r>
        <w:t xml:space="preserve"> </w:t>
      </w:r>
      <w:r>
        <w:t xml:space="preserve">https://iupac.org/what-we-do/digital-standards/jcamp-dx/</w:t>
      </w:r>
    </w:p>
    <w:p>
      <w:pPr>
        <w:pStyle w:val="BodyText"/>
      </w:pPr>
      <w:hyperlink r:id="rId98">
        <w:r>
          <w:rPr>
            <w:rStyle w:val="Hyperlink"/>
          </w:rPr>
          <w:t xml:space="preserve">https://iupac.org/what-we-do/digital-standards/jcamp-dx/</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nalyticalsciencejournals.onlinelibrary.wiley.com/doi/pdf/10.1002/mrc.5418" TargetMode="External" /><Relationship Type="http://schemas.openxmlformats.org/officeDocument/2006/relationships/hyperlink" Id="rId31" Target="https://chem.libretexts.org/Ancillary_Materials/Reference/Reference_Tables/Spectroscopic_Reference_Tables/Infrared_Spectroscopy_Absorption_Table" TargetMode="External" /><Relationship Type="http://schemas.openxmlformats.org/officeDocument/2006/relationships/hyperlink" Id="rId95" Target="https://csrc.nist.gov/pubs/journal/2001/08/proposed-nist-standard-for-rolebased-access-contro/final" TargetMode="External" /><Relationship Type="http://schemas.openxmlformats.org/officeDocument/2006/relationships/hyperlink" Id="rId68" Target="https://deepwiki.com/rdkit/rdkit/2.4-canonicalization" TargetMode="External" /><Relationship Type="http://schemas.openxmlformats.org/officeDocument/2006/relationships/hyperlink" Id="rId57" Target="https://github.com/HUPO-PSI/mzML?utm_source=chatgpt.com" TargetMode="External" /><Relationship Type="http://schemas.openxmlformats.org/officeDocument/2006/relationships/hyperlink" Id="rId28" Target="https://goldbook.iupac.org/terms/view/08352" TargetMode="External" /><Relationship Type="http://schemas.openxmlformats.org/officeDocument/2006/relationships/hyperlink" Id="rId51" Target="https://goldbook.iupac.org/terms/view/08387" TargetMode="External" /><Relationship Type="http://schemas.openxmlformats.org/officeDocument/2006/relationships/hyperlink" Id="rId35" Target="https://goldbook.iupac.org/terms/view/08618" TargetMode="External" /><Relationship Type="http://schemas.openxmlformats.org/officeDocument/2006/relationships/hyperlink" Id="rId98" Target="https://iupac.org/what-we-do/digital-standards/jcamp-dx/" TargetMode="External" /><Relationship Type="http://schemas.openxmlformats.org/officeDocument/2006/relationships/hyperlink" Id="rId79" Target="https://knowledgebase.nfdi4chem.de/knowledge_base/docs/nmrxiv/" TargetMode="External" /><Relationship Type="http://schemas.openxmlformats.org/officeDocument/2006/relationships/hyperlink" Id="rId55" Target="https://kpu.pressbooks.pub/organicchemistry/chapter/6-3-ir-spectrum-and-characteristic-absorption-bands/" TargetMode="External" /><Relationship Type="http://schemas.openxmlformats.org/officeDocument/2006/relationships/hyperlink" Id="rId84" Target="https://massbank.eu/MassBank/?utm_source=chatgpt.com" TargetMode="External" /><Relationship Type="http://schemas.openxmlformats.org/officeDocument/2006/relationships/hyperlink" Id="rId38" Target="https://mestrelab.com/main-product/nmr-predict" TargetMode="External" /><Relationship Type="http://schemas.openxmlformats.org/officeDocument/2006/relationships/hyperlink" Id="rId48" Target="https://nmr.chem.columbia.edu/content/cosy" TargetMode="External" /><Relationship Type="http://schemas.openxmlformats.org/officeDocument/2006/relationships/hyperlink" Id="rId80" Target="https://nmredatainitiative.github.io/" TargetMode="External" /><Relationship Type="http://schemas.openxmlformats.org/officeDocument/2006/relationships/hyperlink" Id="rId77" Target="https://nmrshiftdb.nmr.uni-koeln.de/" TargetMode="External" /><Relationship Type="http://schemas.openxmlformats.org/officeDocument/2006/relationships/hyperlink" Id="rId40" Target="https://nmrshiftdb2.sourceforge.io/predictionhistory/history.html" TargetMode="External" /><Relationship Type="http://schemas.openxmlformats.org/officeDocument/2006/relationships/hyperlink" Id="rId46" Target="https://onlinelibrary.wiley.com/doi/epdf/10.1002/cmr.a.21232" TargetMode="External" /><Relationship Type="http://schemas.openxmlformats.org/officeDocument/2006/relationships/hyperlink" Id="rId23" Target="https://opensmiles.org/opensmiles.pdf" TargetMode="External" /><Relationship Type="http://schemas.openxmlformats.org/officeDocument/2006/relationships/hyperlink" Id="rId89" Target="https://pdf.benchchem.com/13842/Application_Note_Structural_Elucidation_of_Epicatechin_C_using_NMR_Spectroscopy.pdf" TargetMode="External" /><Relationship Type="http://schemas.openxmlformats.org/officeDocument/2006/relationships/hyperlink" Id="rId83" Target="https://pubchem.ncbi.nlm.nih.gov/pcfe/docs/markdown/spectral-information.md?utm_source=chatgpt.com" TargetMode="External" /><Relationship Type="http://schemas.openxmlformats.org/officeDocument/2006/relationships/hyperlink" Id="rId81" Target="https://pubs.acs.org/doi/pdf/10.1021/acs.analchem.7b02795" TargetMode="External" /><Relationship Type="http://schemas.openxmlformats.org/officeDocument/2006/relationships/hyperlink" Id="rId29" Target="https://pubs.aip.org/aip/jcp/article/71/11/4546/785197/Investigation-of-exchange-processes-by-two" TargetMode="External" /><Relationship Type="http://schemas.openxmlformats.org/officeDocument/2006/relationships/hyperlink" Id="rId82" Target="https://sdbs.db.aist.go.jp/" TargetMode="External" /><Relationship Type="http://schemas.openxmlformats.org/officeDocument/2006/relationships/hyperlink" Id="rId88" Target="https://search.nfdi4chem.de/dataset/nmrxiv-d1120" TargetMode="External" /><Relationship Type="http://schemas.openxmlformats.org/officeDocument/2006/relationships/hyperlink" Id="rId87" Target="https://search.nfdi4chem.de/dataset/quercetin-dihydrate-annotated-nmr-400-mhz-dmsod6-data" TargetMode="External" /><Relationship Type="http://schemas.openxmlformats.org/officeDocument/2006/relationships/hyperlink" Id="rId86" Target="https://search.nfdi4chem.de/dataset/trans-resveratrol-annotated-nmr-400-mhz-dmsod6-data-2d2" TargetMode="External" /><Relationship Type="http://schemas.openxmlformats.org/officeDocument/2006/relationships/hyperlink" Id="rId30" Target="https://support.waters.com/KB_Chem/Other/WKB67428_What_are_common_adducts_in_ESI_Mass_Spectrometry?utm_source=chatgpt.com" TargetMode="External" /><Relationship Type="http://schemas.openxmlformats.org/officeDocument/2006/relationships/hyperlink" Id="rId44" Target="https://www.acdlabs.com/products/spectrus-platform/nmr-predictors/" TargetMode="External" /><Relationship Type="http://schemas.openxmlformats.org/officeDocument/2006/relationships/hyperlink" Id="rId22" Target="https://www.ecfr.gov/current/title-21/chapter-I/subchapter-A/part-11" TargetMode="External" /><Relationship Type="http://schemas.openxmlformats.org/officeDocument/2006/relationships/hyperlink" Id="rId92" Target="https://www.law.cornell.edu/cfr/text/21/part-11/subpart-B" TargetMode="External" /><Relationship Type="http://schemas.openxmlformats.org/officeDocument/2006/relationships/hyperlink" Id="rId26" Target="https://www.mestrelabcn.com/Manual_HTML_Mnova_15/predict__verify.htm" TargetMode="External" /><Relationship Type="http://schemas.openxmlformats.org/officeDocument/2006/relationships/hyperlink" Id="rId39" Target="https://www.nmrdb.org/hmbc/index.shtml?v=v2.157.0" TargetMode="External" /><Relationship Type="http://schemas.openxmlformats.org/officeDocument/2006/relationships/hyperlink" Id="rId33" Target="https://www.periodicos.capes.gov.br/index.php/acervo/buscador.html?id=W2023688490&amp;task=detalhes" TargetMode="External" /><Relationship Type="http://schemas.openxmlformats.org/officeDocument/2006/relationships/hyperlink" Id="rId24" Target="https://www.rdkit.org/docs/RDKit_Book.html" TargetMode="External" /><Relationship Type="http://schemas.openxmlformats.org/officeDocument/2006/relationships/hyperlink" Id="rId25" Target="https://www.rdkit.org/docs/source/rdkit.Chem.MolStandardize.rdMolStandardize.html" TargetMode="External" /><Relationship Type="http://schemas.openxmlformats.org/officeDocument/2006/relationships/hyperlink" Id="rId43" Target="https://www.sciencedirect.com/science/article/pii/0009261480800418" TargetMode="External" /><Relationship Type="http://schemas.openxmlformats.org/officeDocument/2006/relationships/hyperlink" Id="rId52" Target="https://www.sciencedirect.com/topics/materials-science/nuclear-overhauser-effect-spectroscopy" TargetMode="External" /><Relationship Type="http://schemas.openxmlformats.org/officeDocument/2006/relationships/hyperlink" Id="rId49" Target="https://zh.mindat.org/reference.php?id=1289696" TargetMode="External" /><Relationship Type="http://schemas.openxmlformats.org/officeDocument/2006/relationships/hyperlink" Id="rId53" Target="https://zh.mindat.org/reference.php?id=14612282" TargetMode="External" /><Relationship Type="http://schemas.openxmlformats.org/officeDocument/2006/relationships/hyperlink" Id="rId21" Target="sandbox:/mnt/data/SpectroPlatform_DeepResearch_2026-02-21.docx" TargetMode="External" /></Relationships>
</file>

<file path=word/_rels/footnotes.xml.rels><?xml version="1.0" encoding="UTF-8"?><Relationships xmlns="http://schemas.openxmlformats.org/package/2006/relationships"><Relationship Type="http://schemas.openxmlformats.org/officeDocument/2006/relationships/hyperlink" Id="rId78" Target="https://analyticalsciencejournals.onlinelibrary.wiley.com/doi/pdf/10.1002/mrc.5418" TargetMode="External" /><Relationship Type="http://schemas.openxmlformats.org/officeDocument/2006/relationships/hyperlink" Id="rId31" Target="https://chem.libretexts.org/Ancillary_Materials/Reference/Reference_Tables/Spectroscopic_Reference_Tables/Infrared_Spectroscopy_Absorption_Table" TargetMode="External" /><Relationship Type="http://schemas.openxmlformats.org/officeDocument/2006/relationships/hyperlink" Id="rId95" Target="https://csrc.nist.gov/pubs/journal/2001/08/proposed-nist-standard-for-rolebased-access-contro/final" TargetMode="External" /><Relationship Type="http://schemas.openxmlformats.org/officeDocument/2006/relationships/hyperlink" Id="rId68" Target="https://deepwiki.com/rdkit/rdkit/2.4-canonicalization" TargetMode="External" /><Relationship Type="http://schemas.openxmlformats.org/officeDocument/2006/relationships/hyperlink" Id="rId57" Target="https://github.com/HUPO-PSI/mzML?utm_source=chatgpt.com" TargetMode="External" /><Relationship Type="http://schemas.openxmlformats.org/officeDocument/2006/relationships/hyperlink" Id="rId28" Target="https://goldbook.iupac.org/terms/view/08352" TargetMode="External" /><Relationship Type="http://schemas.openxmlformats.org/officeDocument/2006/relationships/hyperlink" Id="rId51" Target="https://goldbook.iupac.org/terms/view/08387" TargetMode="External" /><Relationship Type="http://schemas.openxmlformats.org/officeDocument/2006/relationships/hyperlink" Id="rId35" Target="https://goldbook.iupac.org/terms/view/08618" TargetMode="External" /><Relationship Type="http://schemas.openxmlformats.org/officeDocument/2006/relationships/hyperlink" Id="rId98" Target="https://iupac.org/what-we-do/digital-standards/jcamp-dx/" TargetMode="External" /><Relationship Type="http://schemas.openxmlformats.org/officeDocument/2006/relationships/hyperlink" Id="rId79" Target="https://knowledgebase.nfdi4chem.de/knowledge_base/docs/nmrxiv/" TargetMode="External" /><Relationship Type="http://schemas.openxmlformats.org/officeDocument/2006/relationships/hyperlink" Id="rId55" Target="https://kpu.pressbooks.pub/organicchemistry/chapter/6-3-ir-spectrum-and-characteristic-absorption-bands/" TargetMode="External" /><Relationship Type="http://schemas.openxmlformats.org/officeDocument/2006/relationships/hyperlink" Id="rId84" Target="https://massbank.eu/MassBank/?utm_source=chatgpt.com" TargetMode="External" /><Relationship Type="http://schemas.openxmlformats.org/officeDocument/2006/relationships/hyperlink" Id="rId38" Target="https://mestrelab.com/main-product/nmr-predict" TargetMode="External" /><Relationship Type="http://schemas.openxmlformats.org/officeDocument/2006/relationships/hyperlink" Id="rId48" Target="https://nmr.chem.columbia.edu/content/cosy" TargetMode="External" /><Relationship Type="http://schemas.openxmlformats.org/officeDocument/2006/relationships/hyperlink" Id="rId80" Target="https://nmredatainitiative.github.io/" TargetMode="External" /><Relationship Type="http://schemas.openxmlformats.org/officeDocument/2006/relationships/hyperlink" Id="rId77" Target="https://nmrshiftdb.nmr.uni-koeln.de/" TargetMode="External" /><Relationship Type="http://schemas.openxmlformats.org/officeDocument/2006/relationships/hyperlink" Id="rId40" Target="https://nmrshiftdb2.sourceforge.io/predictionhistory/history.html" TargetMode="External" /><Relationship Type="http://schemas.openxmlformats.org/officeDocument/2006/relationships/hyperlink" Id="rId46" Target="https://onlinelibrary.wiley.com/doi/epdf/10.1002/cmr.a.21232" TargetMode="External" /><Relationship Type="http://schemas.openxmlformats.org/officeDocument/2006/relationships/hyperlink" Id="rId23" Target="https://opensmiles.org/opensmiles.pdf" TargetMode="External" /><Relationship Type="http://schemas.openxmlformats.org/officeDocument/2006/relationships/hyperlink" Id="rId89" Target="https://pdf.benchchem.com/13842/Application_Note_Structural_Elucidation_of_Epicatechin_C_using_NMR_Spectroscopy.pdf" TargetMode="External" /><Relationship Type="http://schemas.openxmlformats.org/officeDocument/2006/relationships/hyperlink" Id="rId83" Target="https://pubchem.ncbi.nlm.nih.gov/pcfe/docs/markdown/spectral-information.md?utm_source=chatgpt.com" TargetMode="External" /><Relationship Type="http://schemas.openxmlformats.org/officeDocument/2006/relationships/hyperlink" Id="rId81" Target="https://pubs.acs.org/doi/pdf/10.1021/acs.analchem.7b02795" TargetMode="External" /><Relationship Type="http://schemas.openxmlformats.org/officeDocument/2006/relationships/hyperlink" Id="rId29" Target="https://pubs.aip.org/aip/jcp/article/71/11/4546/785197/Investigation-of-exchange-processes-by-two" TargetMode="External" /><Relationship Type="http://schemas.openxmlformats.org/officeDocument/2006/relationships/hyperlink" Id="rId82" Target="https://sdbs.db.aist.go.jp/" TargetMode="External" /><Relationship Type="http://schemas.openxmlformats.org/officeDocument/2006/relationships/hyperlink" Id="rId88" Target="https://search.nfdi4chem.de/dataset/nmrxiv-d1120" TargetMode="External" /><Relationship Type="http://schemas.openxmlformats.org/officeDocument/2006/relationships/hyperlink" Id="rId87" Target="https://search.nfdi4chem.de/dataset/quercetin-dihydrate-annotated-nmr-400-mhz-dmsod6-data" TargetMode="External" /><Relationship Type="http://schemas.openxmlformats.org/officeDocument/2006/relationships/hyperlink" Id="rId86" Target="https://search.nfdi4chem.de/dataset/trans-resveratrol-annotated-nmr-400-mhz-dmsod6-data-2d2" TargetMode="External" /><Relationship Type="http://schemas.openxmlformats.org/officeDocument/2006/relationships/hyperlink" Id="rId30" Target="https://support.waters.com/KB_Chem/Other/WKB67428_What_are_common_adducts_in_ESI_Mass_Spectrometry?utm_source=chatgpt.com" TargetMode="External" /><Relationship Type="http://schemas.openxmlformats.org/officeDocument/2006/relationships/hyperlink" Id="rId44" Target="https://www.acdlabs.com/products/spectrus-platform/nmr-predictors/" TargetMode="External" /><Relationship Type="http://schemas.openxmlformats.org/officeDocument/2006/relationships/hyperlink" Id="rId22" Target="https://www.ecfr.gov/current/title-21/chapter-I/subchapter-A/part-11" TargetMode="External" /><Relationship Type="http://schemas.openxmlformats.org/officeDocument/2006/relationships/hyperlink" Id="rId92" Target="https://www.law.cornell.edu/cfr/text/21/part-11/subpart-B" TargetMode="External" /><Relationship Type="http://schemas.openxmlformats.org/officeDocument/2006/relationships/hyperlink" Id="rId26" Target="https://www.mestrelabcn.com/Manual_HTML_Mnova_15/predict__verify.htm" TargetMode="External" /><Relationship Type="http://schemas.openxmlformats.org/officeDocument/2006/relationships/hyperlink" Id="rId39" Target="https://www.nmrdb.org/hmbc/index.shtml?v=v2.157.0" TargetMode="External" /><Relationship Type="http://schemas.openxmlformats.org/officeDocument/2006/relationships/hyperlink" Id="rId33" Target="https://www.periodicos.capes.gov.br/index.php/acervo/buscador.html?id=W2023688490&amp;task=detalhes" TargetMode="External" /><Relationship Type="http://schemas.openxmlformats.org/officeDocument/2006/relationships/hyperlink" Id="rId24" Target="https://www.rdkit.org/docs/RDKit_Book.html" TargetMode="External" /><Relationship Type="http://schemas.openxmlformats.org/officeDocument/2006/relationships/hyperlink" Id="rId25" Target="https://www.rdkit.org/docs/source/rdkit.Chem.MolStandardize.rdMolStandardize.html" TargetMode="External" /><Relationship Type="http://schemas.openxmlformats.org/officeDocument/2006/relationships/hyperlink" Id="rId43" Target="https://www.sciencedirect.com/science/article/pii/0009261480800418" TargetMode="External" /><Relationship Type="http://schemas.openxmlformats.org/officeDocument/2006/relationships/hyperlink" Id="rId52" Target="https://www.sciencedirect.com/topics/materials-science/nuclear-overhauser-effect-spectroscopy" TargetMode="External" /><Relationship Type="http://schemas.openxmlformats.org/officeDocument/2006/relationships/hyperlink" Id="rId49" Target="https://zh.mindat.org/reference.php?id=1289696" TargetMode="External" /><Relationship Type="http://schemas.openxmlformats.org/officeDocument/2006/relationships/hyperlink" Id="rId53" Target="https://zh.mindat.org/reference.php?id=14612282" TargetMode="External" /><Relationship Type="http://schemas.openxmlformats.org/officeDocument/2006/relationships/hyperlink" Id="rId21" Target="sandbox:/mnt/data/SpectroPlatform_DeepResearch_2026-02-21.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2026-02-21T14:33:18Z</dcterms:created>
  <dcterms:modified xsi:type="dcterms:W3CDTF">2026-02-21T14:33:18Z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