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400" w:after="120"/>
        <w:rPr/>
      </w:pPr>
      <w:bookmarkStart w:id="0" w:name="_8pd11ik69rqq"/>
      <w:bookmarkEnd w:id="0"/>
      <w:r>
        <w:rPr/>
        <w:t>Задание #1</w:t>
      </w:r>
    </w:p>
    <w:p>
      <w:pPr>
        <w:pStyle w:val="LOnormal"/>
        <w:rPr/>
      </w:pPr>
      <w:r>
        <w:rPr/>
        <w:t>Самостоятельно придумать требования для формы регистрации на сайте продажи автозапчастей. Какие поля должны быть и какие между ними могут быть зависимости? Распишите так, чтобы специалист по тестированию мог составить тест-кейсы по этим требованиям.</w:t>
      </w:r>
    </w:p>
    <w:p>
      <w:pPr>
        <w:pStyle w:val="3"/>
        <w:rPr/>
      </w:pPr>
      <w:bookmarkStart w:id="1" w:name="_asr71u5jje9q"/>
      <w:bookmarkEnd w:id="1"/>
      <w:r>
        <w:rPr>
          <w:b/>
          <w:color w:val="9900FF"/>
        </w:rPr>
        <w:t>Основные критерии:</w:t>
      </w:r>
      <w:r>
        <w:rPr/>
        <w:t xml:space="preserve"> </w:t>
      </w:r>
    </w:p>
    <w:p>
      <w:pPr>
        <w:pStyle w:val="LOnormal"/>
        <w:rPr/>
      </w:pPr>
      <w:r>
        <w:rPr/>
        <w:t>требования должны быть расписаны по пунктам с нумерацией и соответствовать свойствам качественных требований.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Requierments for the registration on the site of sale of auto parts:</w:t>
      </w:r>
    </w:p>
    <w:p>
      <w:pPr>
        <w:pStyle w:val="LO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 Phone number</w:t>
      </w:r>
    </w:p>
    <w:p>
      <w:pPr>
        <w:pStyle w:val="LOnormal"/>
        <w:rPr>
          <w:b/>
          <w:b/>
          <w:bCs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Text box.</w:t>
      </w:r>
    </w:p>
    <w:p>
      <w:pPr>
        <w:pStyle w:val="LOnormal"/>
        <w:rPr>
          <w:b/>
          <w:b/>
          <w:bCs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Character limit 13 including “+”.</w:t>
      </w:r>
    </w:p>
    <w:p>
      <w:pPr>
        <w:pStyle w:val="LOnormal"/>
        <w:rPr>
          <w:b/>
          <w:b/>
          <w:bCs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Validation1: if client enters less than 13 characters, then display red border around text box.</w:t>
      </w:r>
    </w:p>
    <w:p>
      <w:pPr>
        <w:pStyle w:val="LOnormal"/>
        <w:rPr>
          <w:b/>
          <w:b/>
          <w:bCs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Validation2: characters can be only numbers and “+” in the beginning of text box.</w:t>
      </w:r>
    </w:p>
    <w:p>
      <w:pPr>
        <w:pStyle w:val="LO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 Name</w:t>
      </w:r>
    </w:p>
    <w:p>
      <w:pPr>
        <w:pStyle w:val="LO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Text box.</w:t>
      </w:r>
    </w:p>
    <w:p>
      <w:pPr>
        <w:pStyle w:val="LO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Character limit &lt;=13.</w:t>
      </w:r>
    </w:p>
    <w:p>
      <w:pPr>
        <w:pStyle w:val="LO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The name must be uniqe.</w:t>
      </w:r>
    </w:p>
    <w:p>
      <w:pPr>
        <w:pStyle w:val="LO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Validation1: If the name already exists, then display red border around text box with text “The name is already exists”.</w:t>
      </w:r>
    </w:p>
    <w:p>
      <w:pPr>
        <w:pStyle w:val="LO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Validation2: If characters more then 13, then display red border around the text box with text “Name can’t be more then 13 characters”.</w:t>
      </w:r>
    </w:p>
    <w:p>
      <w:pPr>
        <w:pStyle w:val="LO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 Password</w:t>
      </w:r>
    </w:p>
    <w:p>
      <w:pPr>
        <w:pStyle w:val="LO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Text box.</w:t>
      </w:r>
    </w:p>
    <w:p>
      <w:pPr>
        <w:pStyle w:val="LO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Characters limit &gt;=8.</w:t>
      </w:r>
    </w:p>
    <w:p>
      <w:pPr>
        <w:pStyle w:val="LO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Password must be difficulte.</w:t>
      </w:r>
    </w:p>
    <w:p>
      <w:pPr>
        <w:pStyle w:val="LO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Validation: If password contains only letters, then display red border around text box with text “The password is too sipmple”; contains letters and numbers, then display yellow border around text box with text “The password is middle”</w:t>
      </w:r>
      <w:r>
        <w:rPr>
          <w:b w:val="false"/>
          <w:bCs w:val="false"/>
          <w:sz w:val="28"/>
          <w:szCs w:val="28"/>
          <w:lang w:val="ru-RU"/>
        </w:rPr>
        <w:t>;</w:t>
      </w:r>
      <w:r>
        <w:rPr>
          <w:b w:val="false"/>
          <w:bCs w:val="false"/>
          <w:sz w:val="28"/>
          <w:szCs w:val="28"/>
          <w:lang w:val="en-US"/>
        </w:rPr>
        <w:t xml:space="preserve"> contains letters, numbers and at least one capital letter, then display green border around the text box with text “The password is strong”.</w:t>
      </w:r>
    </w:p>
    <w:p>
      <w:pPr>
        <w:pStyle w:val="LO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 Password Confirmatiom</w:t>
      </w:r>
    </w:p>
    <w:p>
      <w:pPr>
        <w:pStyle w:val="LO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Text box.</w:t>
      </w:r>
    </w:p>
    <w:p>
      <w:pPr>
        <w:pStyle w:val="LO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Text box “Password Confirmation” must be 100% identical to Text box “Password”</w:t>
      </w:r>
    </w:p>
    <w:p>
      <w:pPr>
        <w:pStyle w:val="LO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Validation1: If text box “Password confirmation” 100% identical to text box “Password”, then display green border around text box “Password confirmation”.</w:t>
      </w:r>
    </w:p>
    <w:p>
      <w:pPr>
        <w:pStyle w:val="LO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- Validation2: If text box “Password confirmation” is not the same as text box “Password”, then display red border around text box “Password confirmation”.</w:t>
      </w:r>
    </w:p>
    <w:p>
      <w:pPr>
        <w:pStyle w:val="LO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“Save” button:</w:t>
      </w:r>
    </w:p>
    <w:p>
      <w:pPr>
        <w:pStyle w:val="LO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Validation1: If all text boxes are validated succesfully, then take you on the login page.</w:t>
      </w:r>
    </w:p>
    <w:p>
      <w:pPr>
        <w:pStyle w:val="LO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Validation2: If not all text boxes are validated succesfully, then display red border around wrong text boxes.</w:t>
      </w:r>
    </w:p>
    <w:p>
      <w:pPr>
        <w:pStyle w:val="1"/>
        <w:rPr/>
      </w:pPr>
      <w:bookmarkStart w:id="2" w:name="_wyatn86nmjgv"/>
      <w:bookmarkEnd w:id="2"/>
      <w:r>
        <w:rPr/>
        <w:t>Задание #2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Зайти на </w:t>
      </w:r>
      <w:hyperlink r:id="rId2">
        <w:r>
          <w:rPr>
            <w:color w:val="1155CC"/>
            <w:u w:val="single"/>
          </w:rPr>
          <w:t>сайт</w:t>
        </w:r>
      </w:hyperlink>
      <w:r>
        <w:rPr/>
        <w:t xml:space="preserve"> и прочитать описание (при необходимости воспользоваться переводчиком </w:t>
      </w:r>
      <w:hyperlink r:id="rId3">
        <w:r>
          <w:rPr>
            <w:color w:val="1155CC"/>
            <w:u w:val="single"/>
          </w:rPr>
          <w:t>https://translate.google.com/?hl=ru</w:t>
        </w:r>
      </w:hyperlink>
      <w:r>
        <w:rPr/>
        <w:t xml:space="preserve"> или </w:t>
      </w:r>
      <w:hyperlink r:id="rId4">
        <w:r>
          <w:rPr>
            <w:color w:val="1155CC"/>
            <w:u w:val="single"/>
          </w:rPr>
          <w:t>https://www.deepl.com/en/translator</w:t>
        </w:r>
      </w:hyperlink>
      <w:r>
        <w:rPr/>
        <w:t>)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Составить список значений для проверки описанных условий </w:t>
      </w:r>
      <w:r>
        <w:rPr>
          <w:color w:val="E69138"/>
        </w:rPr>
        <w:t>используя техники тест-дизайна.</w:t>
      </w:r>
      <w:r>
        <w:rPr/>
        <w:t xml:space="preserve"> Оформить в виде таблицы в один столбец, можно не ограничиваться 12ю значениями.</w:t>
      </w:r>
    </w:p>
    <w:p>
      <w:pPr>
        <w:pStyle w:val="3"/>
        <w:rPr/>
      </w:pPr>
      <w:bookmarkStart w:id="3" w:name="_75ljnj56wpvu"/>
      <w:bookmarkEnd w:id="3"/>
      <w:r>
        <w:rPr>
          <w:b/>
          <w:color w:val="9900FF"/>
        </w:rPr>
        <w:t>Основные критерии:</w:t>
      </w:r>
      <w:r>
        <w:rPr/>
        <w:t xml:space="preserve"> </w:t>
      </w:r>
    </w:p>
    <w:p>
      <w:pPr>
        <w:pStyle w:val="LOnormal"/>
        <w:rPr/>
      </w:pPr>
      <w:r>
        <w:rPr/>
        <w:t>Минимум 12 значений и напротив указана техника тест-дизайна использованная для каждого значения.</w:t>
      </w:r>
    </w:p>
    <w:p>
      <w:pPr>
        <w:pStyle w:val="LO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5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  <w:tc>
          <w:tcPr>
            <w:tcW w:w="4680" w:type="dxa"/>
            <w:tcBorders/>
          </w:tcPr>
          <w:p>
            <w:pPr>
              <w:pStyle w:val="Style15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design technique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1. -10000</w:t>
            </w:r>
          </w:p>
        </w:tc>
        <w:tc>
          <w:tcPr>
            <w:tcW w:w="468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Equivalence partitioning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2. -2</w:t>
            </w:r>
          </w:p>
        </w:tc>
        <w:tc>
          <w:tcPr>
            <w:tcW w:w="468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Equivalence partitioning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>
              <w:rPr>
                <w:lang w:val="en-US"/>
              </w:rPr>
              <w:t>0</w:t>
            </w:r>
          </w:p>
        </w:tc>
        <w:tc>
          <w:tcPr>
            <w:tcW w:w="468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Equivalence partitioning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4. </w:t>
            </w:r>
            <w:r>
              <w:rPr>
                <w:lang w:val="en-US"/>
              </w:rPr>
              <w:t>2</w:t>
            </w:r>
          </w:p>
        </w:tc>
        <w:tc>
          <w:tcPr>
            <w:tcW w:w="468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Equivalence partitioning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  <w:r>
              <w:rPr>
                <w:lang w:val="en-US"/>
              </w:rPr>
              <w:t>10000</w:t>
            </w:r>
          </w:p>
        </w:tc>
        <w:tc>
          <w:tcPr>
            <w:tcW w:w="4680" w:type="dxa"/>
            <w:tcBorders/>
          </w:tcPr>
          <w:p>
            <w:pPr>
              <w:pStyle w:val="Style15"/>
              <w:widowControl w:val="false"/>
              <w:rPr/>
            </w:pPr>
            <w:r>
              <w:rPr>
                <w:lang w:val="en-US"/>
              </w:rPr>
              <w:t>Equivalence partitioning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  <w:r>
              <w:rPr>
                <w:lang w:val="en-US"/>
              </w:rPr>
              <w:t xml:space="preserve">500 </w:t>
            </w:r>
          </w:p>
        </w:tc>
        <w:tc>
          <w:tcPr>
            <w:tcW w:w="4680" w:type="dxa"/>
            <w:tcBorders/>
          </w:tcPr>
          <w:p>
            <w:pPr>
              <w:pStyle w:val="Style15"/>
              <w:widowControl w:val="false"/>
              <w:rPr/>
            </w:pPr>
            <w:r>
              <w:rPr>
                <w:lang w:val="en-US"/>
              </w:rPr>
              <w:t>Equivalence partitioning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5"/>
              <w:widowControl w:val="false"/>
              <w:rPr>
                <w:lang w:val="ru-RU"/>
              </w:rPr>
            </w:pPr>
            <w:r>
              <w:rPr>
                <w:lang w:val="ru-RU"/>
              </w:rPr>
              <w:t>7. -</w:t>
            </w:r>
            <w:r>
              <w:rPr>
                <w:lang w:val="en-US"/>
              </w:rPr>
              <w:t>10001</w:t>
            </w:r>
          </w:p>
        </w:tc>
        <w:tc>
          <w:tcPr>
            <w:tcW w:w="4680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Boundary value analysis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5"/>
              <w:widowControl w:val="false"/>
              <w:rPr>
                <w:lang w:val="ru-RU"/>
              </w:rPr>
            </w:pPr>
            <w:r>
              <w:rPr>
                <w:lang w:val="ru-RU"/>
              </w:rPr>
              <w:t>8. -</w:t>
            </w:r>
            <w:r>
              <w:rPr>
                <w:lang w:val="en-US"/>
              </w:rPr>
              <w:t>9999</w:t>
            </w:r>
          </w:p>
        </w:tc>
        <w:tc>
          <w:tcPr>
            <w:tcW w:w="4680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Boundary value analysis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5"/>
              <w:widowControl w:val="false"/>
              <w:rPr/>
            </w:pPr>
            <w:r>
              <w:rPr>
                <w:lang w:val="ru-RU"/>
              </w:rPr>
              <w:t>9</w:t>
            </w:r>
            <w:r>
              <w:rPr/>
              <w:t>. -1</w:t>
            </w:r>
          </w:p>
        </w:tc>
        <w:tc>
          <w:tcPr>
            <w:tcW w:w="4680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Boundary value analysis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5"/>
              <w:widowControl w:val="false"/>
              <w:rPr/>
            </w:pPr>
            <w:r>
              <w:rPr>
                <w:lang w:val="ru-RU"/>
              </w:rPr>
              <w:t>10</w:t>
            </w:r>
            <w:r>
              <w:rPr/>
              <w:t>. 1</w:t>
            </w:r>
          </w:p>
        </w:tc>
        <w:tc>
          <w:tcPr>
            <w:tcW w:w="4680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Boundary value analysis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11. </w:t>
            </w:r>
            <w:r>
              <w:rPr>
                <w:lang w:val="en-US"/>
              </w:rPr>
              <w:t>9999</w:t>
            </w:r>
          </w:p>
        </w:tc>
        <w:tc>
          <w:tcPr>
            <w:tcW w:w="4680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Boundary value analysis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12. </w:t>
            </w:r>
            <w:r>
              <w:rPr>
                <w:lang w:val="en-US"/>
              </w:rPr>
              <w:t>10001</w:t>
            </w:r>
          </w:p>
        </w:tc>
        <w:tc>
          <w:tcPr>
            <w:tcW w:w="4680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Boundary value analysis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1"/>
        <w:rPr/>
      </w:pPr>
      <w:bookmarkStart w:id="4" w:name="_42mfqwgyrztz"/>
      <w:bookmarkEnd w:id="4"/>
      <w:r>
        <w:rPr/>
        <w:t>Задание #3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Зайти на </w:t>
      </w:r>
      <w:r>
        <w:fldChar w:fldCharType="begin"/>
      </w:r>
      <w:r>
        <w:rPr>
          <w:u w:val="single"/>
          <w:color w:val="1155CC"/>
        </w:rPr>
        <w:instrText xml:space="preserve"> HYPERLINK "https://www.globalsqa.com/angularJs-protractor/BankingProject/" \l "/login"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>сайт</w:t>
      </w:r>
      <w:r>
        <w:rPr>
          <w:u w:val="single"/>
          <w:color w:val="1155CC"/>
        </w:rPr>
        <w:fldChar w:fldCharType="end"/>
      </w:r>
      <w:r>
        <w:rPr/>
        <w:t>, проанализировать, изучить функционал и цели приложения.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Написать Тест-кейсы на функционал “</w:t>
      </w:r>
      <w:r>
        <w:fldChar w:fldCharType="begin"/>
      </w:r>
      <w:r>
        <w:rPr>
          <w:u w:val="single"/>
          <w:color w:val="1155CC"/>
        </w:rPr>
        <w:instrText xml:space="preserve"> HYPERLINK "https://www.globalsqa.com/angularJs-protractor/BankingProject/" \l "/customer"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>Customer Login</w:t>
      </w:r>
      <w:r>
        <w:rPr>
          <w:u w:val="single"/>
          <w:color w:val="1155CC"/>
        </w:rPr>
        <w:fldChar w:fldCharType="end"/>
      </w:r>
      <w:r>
        <w:rPr/>
        <w:t>”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Bank Manager Login” можно не трогать</w:t>
      </w:r>
    </w:p>
    <w:p>
      <w:pPr>
        <w:pStyle w:val="3"/>
        <w:rPr/>
      </w:pPr>
      <w:bookmarkStart w:id="5" w:name="_18ax94fou8xq"/>
      <w:bookmarkEnd w:id="5"/>
      <w:r>
        <w:rPr/>
        <w:t>Файл с примером оформления тест-кейсов:</w:t>
      </w:r>
    </w:p>
    <w:p>
      <w:pPr>
        <w:pStyle w:val="LOnormal"/>
        <w:rPr/>
      </w:pPr>
      <w:hyperlink r:id="rId5">
        <w:r>
          <w:rPr>
            <w:color w:val="1155CC"/>
            <w:u w:val="single"/>
          </w:rPr>
          <w:t>https://docs.google.com/spreadsheets/d/1j9Hzkkpv36FxQnQV__GEd7ZC6C-gBrUVu-musQUm5jM/edit?usp=sharing</w:t>
        </w:r>
      </w:hyperlink>
    </w:p>
    <w:p>
      <w:pPr>
        <w:pStyle w:val="3"/>
        <w:rPr>
          <w:b/>
          <w:b/>
          <w:color w:val="9900FF"/>
        </w:rPr>
      </w:pPr>
      <w:bookmarkStart w:id="6" w:name="_r4j4jfy4tvsi"/>
      <w:bookmarkEnd w:id="6"/>
      <w:r>
        <w:rPr>
          <w:b/>
          <w:color w:val="9900FF"/>
        </w:rPr>
        <w:t>Основные критерии:</w:t>
      </w:r>
    </w:p>
    <w:p>
      <w:pPr>
        <w:pStyle w:val="LOnormal"/>
        <w:rPr/>
      </w:pPr>
      <w:r>
        <w:rPr/>
        <w:t xml:space="preserve">Тест-кейсы оформить в виде таблицы, шаблон можно использовать любой какой понравится. </w:t>
      </w:r>
      <w:r>
        <w:rPr>
          <w:color w:val="FF0000"/>
        </w:rPr>
        <w:t>Обязательные</w:t>
      </w:r>
      <w:r>
        <w:rPr/>
        <w:t xml:space="preserve"> поля тест-кейсов: </w:t>
      </w:r>
      <w:r>
        <w:rPr>
          <w:b/>
        </w:rPr>
        <w:t>Название, Приоритет, Роль(кем выполняется), Шаги, Ожидаемый результат, Используемая техника ТД.</w:t>
      </w:r>
      <w:r>
        <w:rPr/>
        <w:t xml:space="preserve"> При написании тест-кейсов использовать техники тест-дизайна и записывать в графу “</w:t>
      </w:r>
      <w:r>
        <w:rPr>
          <w:b/>
        </w:rPr>
        <w:t>Используемая техника ТД”</w:t>
      </w:r>
      <w:r>
        <w:rPr/>
        <w:t>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 </w:t>
      </w:r>
      <w:r>
        <w:rPr>
          <w:b/>
          <w:bCs/>
          <w:sz w:val="30"/>
          <w:szCs w:val="30"/>
          <w:lang w:val="en-US"/>
        </w:rPr>
        <w:t>Application functionality:</w:t>
      </w:r>
    </w:p>
    <w:p>
      <w:pPr>
        <w:pStyle w:val="LOnormal"/>
        <w:rPr/>
      </w:pPr>
      <w:r>
        <w:rPr/>
        <w:t xml:space="preserve">- </w:t>
      </w:r>
      <w:r>
        <w:rPr>
          <w:lang w:val="en-US"/>
        </w:rPr>
        <w:t>deposit money;</w:t>
      </w:r>
    </w:p>
    <w:p>
      <w:pPr>
        <w:pStyle w:val="LOnormal"/>
        <w:rPr/>
      </w:pPr>
      <w:r>
        <w:rPr/>
        <w:t>- withdrawl money;</w:t>
      </w:r>
    </w:p>
    <w:p>
      <w:pPr>
        <w:pStyle w:val="LOnormal"/>
        <w:rPr/>
      </w:pPr>
      <w:r>
        <w:rPr/>
        <w:t>- track transactions by date;</w:t>
      </w:r>
    </w:p>
    <w:p>
      <w:pPr>
        <w:pStyle w:val="LOnormal"/>
        <w:rPr/>
      </w:pPr>
      <w:r>
        <w:rPr/>
        <w:t>- have different currency in use such as dollar, pound, rupee.</w:t>
      </w:r>
    </w:p>
    <w:p>
      <w:pPr>
        <w:pStyle w:val="LO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Aplication goals:</w:t>
      </w:r>
    </w:p>
    <w:p>
      <w:pPr>
        <w:pStyle w:val="LOnormal"/>
        <w:rPr/>
      </w:pPr>
      <w:r>
        <w:rPr/>
        <w:t>- deposit or withdrawl money in different currency;</w:t>
      </w:r>
    </w:p>
    <w:p>
      <w:pPr>
        <w:pStyle w:val="LOnormal"/>
        <w:rPr/>
      </w:pPr>
      <w:r>
        <w:rPr/>
        <w:t>- track transactions.</w:t>
      </w:r>
    </w:p>
    <w:p>
      <w:pPr>
        <w:pStyle w:val="LO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</w:p>
    <w:tbl>
      <w:tblPr>
        <w:tblW w:w="106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690"/>
        <w:gridCol w:w="960"/>
        <w:gridCol w:w="1364"/>
        <w:gridCol w:w="1696"/>
        <w:gridCol w:w="2445"/>
        <w:gridCol w:w="1635"/>
        <w:gridCol w:w="1138"/>
      </w:tblGrid>
      <w:tr>
        <w:trPr/>
        <w:tc>
          <w:tcPr>
            <w:tcW w:w="675" w:type="dxa"/>
            <w:tcBorders/>
          </w:tcPr>
          <w:p>
            <w:pPr>
              <w:pStyle w:val="Style15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0" w:type="dxa"/>
            <w:tcBorders/>
          </w:tcPr>
          <w:p>
            <w:pPr>
              <w:pStyle w:val="Style15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960" w:type="dxa"/>
            <w:tcBorders/>
          </w:tcPr>
          <w:p>
            <w:pPr>
              <w:pStyle w:val="Style15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1364" w:type="dxa"/>
            <w:tcBorders/>
          </w:tcPr>
          <w:p>
            <w:pPr>
              <w:pStyle w:val="Style15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1696" w:type="dxa"/>
            <w:tcBorders/>
          </w:tcPr>
          <w:p>
            <w:pPr>
              <w:pStyle w:val="Style15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2445" w:type="dxa"/>
            <w:tcBorders/>
          </w:tcPr>
          <w:p>
            <w:pPr>
              <w:pStyle w:val="Style15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1635" w:type="dxa"/>
            <w:tcBorders/>
          </w:tcPr>
          <w:p>
            <w:pPr>
              <w:pStyle w:val="Style15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138" w:type="dxa"/>
            <w:tcBorders/>
          </w:tcPr>
          <w:p>
            <w:pPr>
              <w:pStyle w:val="Style15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TD Technique used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Test1</w:t>
            </w:r>
          </w:p>
        </w:tc>
        <w:tc>
          <w:tcPr>
            <w:tcW w:w="69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High</w:t>
            </w:r>
          </w:p>
        </w:tc>
        <w:tc>
          <w:tcPr>
            <w:tcW w:w="96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Customer</w:t>
            </w:r>
          </w:p>
        </w:tc>
        <w:tc>
          <w:tcPr>
            <w:tcW w:w="1364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 xml:space="preserve">To be registrated </w:t>
            </w:r>
            <w:r>
              <w:rPr/>
              <w:t>in “XYZ Bank”</w:t>
            </w:r>
          </w:p>
        </w:tc>
        <w:tc>
          <w:tcPr>
            <w:tcW w:w="1696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Validate that customer login using his name</w:t>
            </w:r>
          </w:p>
        </w:tc>
        <w:tc>
          <w:tcPr>
            <w:tcW w:w="244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 xml:space="preserve"> </w:t>
            </w:r>
            <w:r>
              <w:rPr/>
              <w:t>Open site “XYZ Bank” → click the button “Customer login” → Chose neccessary name → click the button “login”</w:t>
            </w:r>
          </w:p>
        </w:tc>
        <w:tc>
          <w:tcPr>
            <w:tcW w:w="1635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Customer must </w:t>
            </w:r>
            <w:r>
              <w:rPr>
                <w:lang w:val="en-US"/>
              </w:rPr>
              <w:t>take</w:t>
            </w:r>
            <w:r>
              <w:rPr>
                <w:lang w:val="en-US"/>
              </w:rPr>
              <w:t xml:space="preserve"> to his account page</w:t>
            </w:r>
          </w:p>
        </w:tc>
        <w:tc>
          <w:tcPr>
            <w:tcW w:w="1138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Equivalence partitioning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Test2</w:t>
            </w:r>
          </w:p>
        </w:tc>
        <w:tc>
          <w:tcPr>
            <w:tcW w:w="69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high</w:t>
            </w:r>
          </w:p>
        </w:tc>
        <w:tc>
          <w:tcPr>
            <w:tcW w:w="96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customer</w:t>
            </w:r>
          </w:p>
        </w:tc>
        <w:tc>
          <w:tcPr>
            <w:tcW w:w="1364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Login in account page</w:t>
            </w:r>
          </w:p>
        </w:tc>
        <w:tc>
          <w:tcPr>
            <w:tcW w:w="1696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Validate that customer take to transaction page</w:t>
            </w:r>
          </w:p>
        </w:tc>
        <w:tc>
          <w:tcPr>
            <w:tcW w:w="244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Click the button “Transaction”</w:t>
            </w:r>
          </w:p>
        </w:tc>
        <w:tc>
          <w:tcPr>
            <w:tcW w:w="163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Customer must take to his transaction page</w:t>
            </w:r>
          </w:p>
        </w:tc>
        <w:tc>
          <w:tcPr>
            <w:tcW w:w="1138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Equivalence partitioning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Test3</w:t>
            </w:r>
          </w:p>
        </w:tc>
        <w:tc>
          <w:tcPr>
            <w:tcW w:w="69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high</w:t>
            </w:r>
          </w:p>
        </w:tc>
        <w:tc>
          <w:tcPr>
            <w:tcW w:w="96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customer</w:t>
            </w:r>
          </w:p>
        </w:tc>
        <w:tc>
          <w:tcPr>
            <w:tcW w:w="1364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Take to customer’s transaction page</w:t>
            </w:r>
          </w:p>
        </w:tc>
        <w:tc>
          <w:tcPr>
            <w:tcW w:w="1696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 xml:space="preserve">Validate that customer </w:t>
            </w:r>
            <w:r>
              <w:rPr>
                <w:lang w:val="en-US"/>
              </w:rPr>
              <w:t>chose any date and see date time, amount and transaction type of all transactions on that day</w:t>
            </w:r>
          </w:p>
        </w:tc>
        <w:tc>
          <w:tcPr>
            <w:tcW w:w="244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Click on the calendar → chose any date</w:t>
            </w:r>
          </w:p>
        </w:tc>
        <w:tc>
          <w:tcPr>
            <w:tcW w:w="163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suctomer must see date time, amount and transaction time of his transactions on that day</w:t>
            </w:r>
          </w:p>
        </w:tc>
        <w:tc>
          <w:tcPr>
            <w:tcW w:w="1138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Equivalence partitioning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Test4</w:t>
            </w:r>
          </w:p>
        </w:tc>
        <w:tc>
          <w:tcPr>
            <w:tcW w:w="69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low</w:t>
            </w:r>
          </w:p>
        </w:tc>
        <w:tc>
          <w:tcPr>
            <w:tcW w:w="96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customer</w:t>
            </w:r>
          </w:p>
        </w:tc>
        <w:tc>
          <w:tcPr>
            <w:tcW w:w="1364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Take to customer’s transaction page</w:t>
            </w:r>
          </w:p>
        </w:tc>
        <w:tc>
          <w:tcPr>
            <w:tcW w:w="1696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Validate that customer can clear his transactions data</w:t>
            </w:r>
          </w:p>
        </w:tc>
        <w:tc>
          <w:tcPr>
            <w:tcW w:w="244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Click the button “Reset”</w:t>
            </w:r>
          </w:p>
        </w:tc>
        <w:tc>
          <w:tcPr>
            <w:tcW w:w="163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All data were cleared</w:t>
            </w:r>
          </w:p>
        </w:tc>
        <w:tc>
          <w:tcPr>
            <w:tcW w:w="1138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Equivalence partitioning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Test5</w:t>
            </w:r>
          </w:p>
        </w:tc>
        <w:tc>
          <w:tcPr>
            <w:tcW w:w="69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high</w:t>
            </w:r>
          </w:p>
        </w:tc>
        <w:tc>
          <w:tcPr>
            <w:tcW w:w="96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customer</w:t>
            </w:r>
          </w:p>
        </w:tc>
        <w:tc>
          <w:tcPr>
            <w:tcW w:w="1364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Login in account page</w:t>
            </w:r>
          </w:p>
        </w:tc>
        <w:tc>
          <w:tcPr>
            <w:tcW w:w="1696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Validate that customer take to deposit page.</w:t>
            </w:r>
          </w:p>
        </w:tc>
        <w:tc>
          <w:tcPr>
            <w:tcW w:w="244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Click the button “Deposit”</w:t>
            </w:r>
          </w:p>
        </w:tc>
        <w:tc>
          <w:tcPr>
            <w:tcW w:w="163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Customer must take to deposit page</w:t>
            </w:r>
          </w:p>
        </w:tc>
        <w:tc>
          <w:tcPr>
            <w:tcW w:w="1138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Equivalence partitioning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Test6</w:t>
            </w:r>
          </w:p>
        </w:tc>
        <w:tc>
          <w:tcPr>
            <w:tcW w:w="69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high</w:t>
            </w:r>
          </w:p>
        </w:tc>
        <w:tc>
          <w:tcPr>
            <w:tcW w:w="96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customer</w:t>
            </w:r>
          </w:p>
        </w:tc>
        <w:tc>
          <w:tcPr>
            <w:tcW w:w="1364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Take to customer’s deposit page</w:t>
            </w:r>
          </w:p>
        </w:tc>
        <w:tc>
          <w:tcPr>
            <w:tcW w:w="1696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Validate that customer make a deposit.</w:t>
            </w:r>
          </w:p>
        </w:tc>
        <w:tc>
          <w:tcPr>
            <w:tcW w:w="244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Input</w:t>
            </w:r>
            <w:r>
              <w:rPr>
                <w:lang w:val="en-US"/>
              </w:rPr>
              <w:t xml:space="preserve"> in </w:t>
            </w:r>
            <w:r>
              <w:rPr/>
              <w:t>text box amount of deposit → click the button “Deposit”</w:t>
            </w:r>
          </w:p>
        </w:tc>
        <w:tc>
          <w:tcPr>
            <w:tcW w:w="163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Deposit successful</w:t>
            </w:r>
          </w:p>
        </w:tc>
        <w:tc>
          <w:tcPr>
            <w:tcW w:w="1138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Equivalence partitioning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Test7</w:t>
            </w:r>
          </w:p>
        </w:tc>
        <w:tc>
          <w:tcPr>
            <w:tcW w:w="69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medium</w:t>
            </w:r>
          </w:p>
        </w:tc>
        <w:tc>
          <w:tcPr>
            <w:tcW w:w="96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customer</w:t>
            </w:r>
          </w:p>
        </w:tc>
        <w:tc>
          <w:tcPr>
            <w:tcW w:w="1364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Take to customer’s deposit page</w:t>
            </w:r>
          </w:p>
        </w:tc>
        <w:tc>
          <w:tcPr>
            <w:tcW w:w="1696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Validate that customer make a negative deposit</w:t>
            </w:r>
          </w:p>
        </w:tc>
        <w:tc>
          <w:tcPr>
            <w:tcW w:w="244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Input</w:t>
            </w:r>
            <w:r>
              <w:rPr>
                <w:lang w:val="en-US"/>
              </w:rPr>
              <w:t xml:space="preserve"> in </w:t>
            </w:r>
            <w:r>
              <w:rPr/>
              <w:t>text box negative amount of deposit → click the button “Deposit”</w:t>
            </w:r>
          </w:p>
        </w:tc>
        <w:tc>
          <w:tcPr>
            <w:tcW w:w="163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Red border around text box</w:t>
            </w:r>
          </w:p>
        </w:tc>
        <w:tc>
          <w:tcPr>
            <w:tcW w:w="1138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Boundary value analysis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/>
              <w:t>Test8</w:t>
            </w:r>
          </w:p>
        </w:tc>
        <w:tc>
          <w:tcPr>
            <w:tcW w:w="69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high</w:t>
            </w:r>
          </w:p>
        </w:tc>
        <w:tc>
          <w:tcPr>
            <w:tcW w:w="96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customer</w:t>
            </w:r>
          </w:p>
        </w:tc>
        <w:tc>
          <w:tcPr>
            <w:tcW w:w="1364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Login in account page</w:t>
            </w:r>
          </w:p>
        </w:tc>
        <w:tc>
          <w:tcPr>
            <w:tcW w:w="1696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Validate that customer take to withdrawl page.</w:t>
            </w:r>
          </w:p>
        </w:tc>
        <w:tc>
          <w:tcPr>
            <w:tcW w:w="244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Click the button “Withdrawl”</w:t>
            </w:r>
          </w:p>
        </w:tc>
        <w:tc>
          <w:tcPr>
            <w:tcW w:w="163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Customer must take to withdrawl page</w:t>
            </w:r>
          </w:p>
        </w:tc>
        <w:tc>
          <w:tcPr>
            <w:tcW w:w="1138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Equivalence partitioning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Test9</w:t>
            </w:r>
          </w:p>
        </w:tc>
        <w:tc>
          <w:tcPr>
            <w:tcW w:w="69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high</w:t>
            </w:r>
          </w:p>
        </w:tc>
        <w:tc>
          <w:tcPr>
            <w:tcW w:w="96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customer</w:t>
            </w:r>
          </w:p>
        </w:tc>
        <w:tc>
          <w:tcPr>
            <w:tcW w:w="1364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Take to customer’s withdrawl page</w:t>
            </w:r>
          </w:p>
        </w:tc>
        <w:tc>
          <w:tcPr>
            <w:tcW w:w="1696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Validate that customer withdrawl amount</w:t>
            </w:r>
          </w:p>
        </w:tc>
        <w:tc>
          <w:tcPr>
            <w:tcW w:w="244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Input</w:t>
            </w:r>
            <w:r>
              <w:rPr>
                <w:lang w:val="en-US"/>
              </w:rPr>
              <w:t xml:space="preserve"> in </w:t>
            </w:r>
            <w:r>
              <w:rPr/>
              <w:t>text box amount of withdrawl→ click the button “Withdrawl”</w:t>
            </w:r>
          </w:p>
        </w:tc>
        <w:tc>
          <w:tcPr>
            <w:tcW w:w="163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Withdrawl successful</w:t>
            </w:r>
          </w:p>
        </w:tc>
        <w:tc>
          <w:tcPr>
            <w:tcW w:w="1138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Equivalence partitioning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Test10</w:t>
            </w:r>
          </w:p>
        </w:tc>
        <w:tc>
          <w:tcPr>
            <w:tcW w:w="69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medium</w:t>
            </w:r>
          </w:p>
        </w:tc>
        <w:tc>
          <w:tcPr>
            <w:tcW w:w="96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customer</w:t>
            </w:r>
          </w:p>
        </w:tc>
        <w:tc>
          <w:tcPr>
            <w:tcW w:w="1364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Take to customer’s withdrawl page</w:t>
            </w:r>
          </w:p>
        </w:tc>
        <w:tc>
          <w:tcPr>
            <w:tcW w:w="1696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Validate that customer withdrawl a negative amount</w:t>
            </w:r>
          </w:p>
        </w:tc>
        <w:tc>
          <w:tcPr>
            <w:tcW w:w="244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Input</w:t>
            </w:r>
            <w:r>
              <w:rPr>
                <w:lang w:val="en-US"/>
              </w:rPr>
              <w:t xml:space="preserve"> in </w:t>
            </w:r>
            <w:r>
              <w:rPr/>
              <w:t>text box negative amount of withdrawl→ click the button “Withdrawl”</w:t>
            </w:r>
          </w:p>
        </w:tc>
        <w:tc>
          <w:tcPr>
            <w:tcW w:w="163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Red border around text box</w:t>
            </w:r>
          </w:p>
        </w:tc>
        <w:tc>
          <w:tcPr>
            <w:tcW w:w="1138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Boundary value analysis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Test11</w:t>
            </w:r>
          </w:p>
        </w:tc>
        <w:tc>
          <w:tcPr>
            <w:tcW w:w="69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medium</w:t>
            </w:r>
          </w:p>
        </w:tc>
        <w:tc>
          <w:tcPr>
            <w:tcW w:w="96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customer</w:t>
            </w:r>
          </w:p>
        </w:tc>
        <w:tc>
          <w:tcPr>
            <w:tcW w:w="1364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Take to customer’s withdrawl page</w:t>
            </w:r>
          </w:p>
        </w:tc>
        <w:tc>
          <w:tcPr>
            <w:tcW w:w="1696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Validate that customer withdrawl more amount than there’s in the balance</w:t>
            </w:r>
          </w:p>
        </w:tc>
        <w:tc>
          <w:tcPr>
            <w:tcW w:w="244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Input in text box more amount than there’s in the balance → click the button “Withdrawl”</w:t>
            </w:r>
          </w:p>
        </w:tc>
        <w:tc>
          <w:tcPr>
            <w:tcW w:w="163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Red border around text box</w:t>
            </w:r>
          </w:p>
        </w:tc>
        <w:tc>
          <w:tcPr>
            <w:tcW w:w="1138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Boundary value analysis</w:t>
            </w:r>
          </w:p>
        </w:tc>
      </w:tr>
      <w:tr>
        <w:trPr>
          <w:trHeight w:val="1500" w:hRule="atLeast"/>
        </w:trPr>
        <w:tc>
          <w:tcPr>
            <w:tcW w:w="67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Test 12</w:t>
            </w:r>
          </w:p>
        </w:tc>
        <w:tc>
          <w:tcPr>
            <w:tcW w:w="69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high</w:t>
            </w:r>
          </w:p>
        </w:tc>
        <w:tc>
          <w:tcPr>
            <w:tcW w:w="96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customer</w:t>
            </w:r>
          </w:p>
        </w:tc>
        <w:tc>
          <w:tcPr>
            <w:tcW w:w="1364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Login in account page</w:t>
            </w:r>
          </w:p>
        </w:tc>
        <w:tc>
          <w:tcPr>
            <w:tcW w:w="1696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Validate that customer make a choice of currency dollar, pound and rupee</w:t>
            </w:r>
          </w:p>
        </w:tc>
        <w:tc>
          <w:tcPr>
            <w:tcW w:w="244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Click text box near “Welcome Customer” → chose any currency</w:t>
            </w:r>
          </w:p>
        </w:tc>
        <w:tc>
          <w:tcPr>
            <w:tcW w:w="163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 xml:space="preserve">Take to page </w:t>
            </w:r>
            <w:r>
              <w:rPr>
                <w:lang w:val="en-US"/>
              </w:rPr>
              <w:t>of chosen currency</w:t>
            </w:r>
          </w:p>
        </w:tc>
        <w:tc>
          <w:tcPr>
            <w:tcW w:w="1138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Equivalence partitioning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Test 13</w:t>
            </w:r>
          </w:p>
        </w:tc>
        <w:tc>
          <w:tcPr>
            <w:tcW w:w="69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high</w:t>
            </w:r>
          </w:p>
        </w:tc>
        <w:tc>
          <w:tcPr>
            <w:tcW w:w="960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 xml:space="preserve">customer </w:t>
            </w:r>
          </w:p>
        </w:tc>
        <w:tc>
          <w:tcPr>
            <w:tcW w:w="1364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Take to customer’s deposit page</w:t>
            </w:r>
          </w:p>
        </w:tc>
        <w:tc>
          <w:tcPr>
            <w:tcW w:w="1696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Validate that customer change his balance from 0 to 100</w:t>
            </w:r>
          </w:p>
        </w:tc>
        <w:tc>
          <w:tcPr>
            <w:tcW w:w="2445" w:type="dxa"/>
            <w:tcBorders/>
          </w:tcPr>
          <w:p>
            <w:pPr>
              <w:pStyle w:val="Style15"/>
              <w:widowControl w:val="false"/>
              <w:rPr/>
            </w:pPr>
            <w:r>
              <w:rPr/>
              <w:t>Input</w:t>
            </w:r>
            <w:r>
              <w:rPr>
                <w:lang w:val="en-US"/>
              </w:rPr>
              <w:t xml:space="preserve"> in </w:t>
            </w:r>
            <w:r>
              <w:rPr/>
              <w:t>text box “100” → click the button “Deposit”</w:t>
            </w:r>
          </w:p>
        </w:tc>
        <w:tc>
          <w:tcPr>
            <w:tcW w:w="1635" w:type="dxa"/>
            <w:tcBorders/>
          </w:tcPr>
          <w:p>
            <w:pPr>
              <w:pStyle w:val="Style15"/>
              <w:widowControl w:val="false"/>
              <w:rPr/>
            </w:pPr>
            <w:r>
              <w:rPr>
                <w:lang w:val="en-US"/>
              </w:rPr>
              <w:t>Balance</w:t>
            </w:r>
            <w:r>
              <w:rPr/>
              <w:t xml:space="preserve"> has changed from 0 to 100</w:t>
            </w:r>
          </w:p>
        </w:tc>
        <w:tc>
          <w:tcPr>
            <w:tcW w:w="1138" w:type="dxa"/>
            <w:tcBorders/>
          </w:tcPr>
          <w:p>
            <w:pPr>
              <w:pStyle w:val="Style15"/>
              <w:widowControl w:val="false"/>
              <w:rPr>
                <w:lang w:val="en-US"/>
              </w:rPr>
            </w:pPr>
            <w:r>
              <w:rPr>
                <w:lang w:val="en-US"/>
              </w:rPr>
              <w:t>State &amp; Transition Diagram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72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Hyperlink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0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qa-ep-bva-practice-assignment.vercel.app/" TargetMode="External"/><Relationship Id="rId3" Type="http://schemas.openxmlformats.org/officeDocument/2006/relationships/hyperlink" Target="https://translate.google.com/?hl=ru" TargetMode="External"/><Relationship Id="rId4" Type="http://schemas.openxmlformats.org/officeDocument/2006/relationships/hyperlink" Target="https://www.deepl.com/en/translator" TargetMode="External"/><Relationship Id="rId5" Type="http://schemas.openxmlformats.org/officeDocument/2006/relationships/hyperlink" Target="https://docs.google.com/spreadsheets/d/1j9Hzkkpv36FxQnQV__GEd7ZC6C-gBrUVu-musQUm5jM/edit?usp=sharin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Edit_Docx_PLUS/7.4.0.3$Windows_X86_64 LibreOffice_project/</Application>
  <AppVersion>15.0000</AppVersion>
  <Pages>5</Pages>
  <Words>1027</Words>
  <Characters>5928</Characters>
  <CharactersWithSpaces>6766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2023-05-09T13:36:14Z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