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preview · Unit 7</w:t>
      </w:r>
    </w:p>
    <w:p>
      <w:r>
        <w:t>Read the short passage before starting the test. Your teacher will tell you when to begin.</w:t>
      </w:r>
    </w:p>
    <w:p>
      <w:r>
        <w:t>An ancestor may leave a relic that connects us to our heritage.</w:t>
      </w:r>
    </w:p>
    <w:p>
      <w:r>
        <w:t>Genealogy helps us explore ancestry without reducing identity to ethnicity.</w:t>
      </w:r>
    </w:p>
    <w:p>
      <w:r>
        <w:t>A feast can reinvigorate a tradition, and its significance may become a beacon for younger generations.</w:t>
      </w:r>
    </w:p>
    <w:p>
      <w:r>
        <w:t>Adoptive families also build shared traditions, even when disagreements cause friction.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preview · Unit 7 · Group 213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