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инструкция по бумажному эксперименту</w:t>
      </w:r>
    </w:p>
    <w:p>
      <w:pPr>
        <w:pStyle w:val="Heading1"/>
      </w:pPr>
      <w:r>
        <w:t>Что печатать</w:t>
      </w:r>
    </w:p>
    <w:p>
      <w:r>
        <w:t>Для 213 (Evolve 6) и 215 (Evolve 5): With-Reading-Preview.docx — первая страница содержит текст, остальные страницы тест. Для 214, 216 и 217: обычный Group-…-ZipGrade.docx. Бланки ZipGrade и эссе печатаются отдельно.</w:t>
      </w:r>
    </w:p>
    <w:p>
      <w:pPr>
        <w:pStyle w:val="Heading1"/>
      </w:pPr>
      <w:r>
        <w:t>Кто получает чтение</w:t>
      </w:r>
    </w:p>
    <w:p>
      <w:r>
        <w:t>Только согласившиеся на исследование студенты групп 213 и 215. Отказавшиеся выполняют обычный тест без чтения. Они не становятся контрольной группой: просто исключаются из исследовательской выборки.</w:t>
      </w:r>
    </w:p>
    <w:p>
      <w:pPr>
        <w:pStyle w:val="Heading1"/>
      </w:pPr>
      <w:r>
        <w:t>Порядок выдачи</w:t>
      </w:r>
    </w:p>
    <w:p>
      <w:r>
        <w:t>Не выдавайте весь пакет сразу. Отделите первую страницу, раздайте её участникам, предложите прочитать текст. Не просите учить слова и не выделяйте целевую лексику. Перед выдачей теста соберите листы с текстом. Можно печатать отдельный Reading-Preview.pdf вместо первой страницы пакета.</w:t>
      </w:r>
    </w:p>
    <w:p>
      <w:pPr>
        <w:pStyle w:val="Heading1"/>
      </w:pPr>
      <w:r>
        <w:t>Одинаковые условия</w:t>
      </w:r>
    </w:p>
    <w:p>
      <w:r>
        <w:t>Используйте одинаковую процедуру чтения для участников. Запишите фактическое время чтения и любые отклонения; новый фиксированный лимит здесь не вводится. Чтение не оценивается, письменные задания и максимум 3 балла за весь RT1 сохраняются.</w:t>
      </w:r>
    </w:p>
    <w:p>
      <w:pPr>
        <w:pStyle w:val="Heading1"/>
      </w:pPr>
      <w:r>
        <w:t>Эссе и устная часть</w:t>
      </w:r>
    </w:p>
    <w:p>
      <w:r>
        <w:t>Эссе пишется на отдельном двустороннем листе; вопросы speaking выдаются по команде преподавателя. Не требуйте обязательного употребления слов из текста. Самостоятельное употребление лексики оценивается отдельно.</w:t>
      </w:r>
    </w:p>
    <w:p>
      <w:pPr>
        <w:pStyle w:val="Heading1"/>
      </w:pPr>
      <w:r>
        <w:t>Что фиксировать</w:t>
      </w:r>
    </w:p>
    <w:p>
      <w:r>
        <w:t>Группу, согласие, бумажный формат, фактическую выдачу/прочтение preview, начало/конец теста, результат по разделам, эссе и speaking. У бумажного формата нет электронных времён реакции по вопросам; не приписывайте ему такие данные.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