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Moon Campus: бриф для дальнейшей разработки</w:t>
      </w:r>
    </w:p>
    <w:p>
      <w:r>
        <w:t>Версия: 12 октября 2026. Владелец продукта — преподаватель. Платформа обслуживает восемь учебных групп; основной контекст — грамматика первого курса и практика речи второго. Цель — вести занятия, задания и посещаемость, проводить revision tests, проверять работы и исследовать влияние предварительного чтения на использование изученной лексики и грамматики.</w:t>
      </w:r>
    </w:p>
    <w:p>
      <w:r>
        <w:t>Этот документ фиксирует решения из рабочей переписки и реализацию в репозитории на указанную дату. Он не подтверждает, что последний коммит уже установлен на VPS. Статус производственного сервера необходимо проверять отдельно. Документация ранних этапов местами описывает scaffold и демоверсии: не принимать её за текущий статус подключённого кабинета.</w:t>
      </w:r>
    </w:p>
    <w:p>
      <w:pPr>
        <w:pStyle w:val="Heading1"/>
      </w:pPr>
      <w:r>
        <w:t>1. Пользователи и реальные условия</w:t>
      </w:r>
    </w:p>
    <w:p>
      <w:r>
        <w:t>Преподаватель работает с разных компьютеров, включая рабочий; записи и оценки должны жить на сервере. Студенты преимущественно проходят тесты с телефонов. Интернет слабый, иногда преподаватель раздаёт его через роутер с SIM-картой. Поэтому важнее надёжное сохранение, небольшой трафик и понятный экран, чем анимации и тяжёлые компоненты.</w:t>
      </w:r>
    </w:p>
    <w:p>
      <w:r>
        <w:t>Публичные revision tests открываются без входа на платформу. Общая ссылка для всех: https://mooncampus.ru/revision-test.html. Студент выбирает группу и доступный тест. Поле имени имеет пример Ivan Ivanov; согласие на исследование выбирается явно. Для нового старта обязательны имя и выбор согласия. Списки студентов преподаватель вводит приватно сам; публичный экспорт ФИО не разрешён.</w:t>
      </w:r>
    </w:p>
    <w:p>
      <w:r>
        <w:t>Сохранённая попытка сначала показывает свою принадлежность и кнопку продолжения. Новая попытка не должна возникать до заполнения обязательных полей. Потеря связи не должна стирать ответ или выдавать ложное сообщение об успешной серверной записи.</w:t>
      </w:r>
    </w:p>
    <w:p>
      <w:pPr>
        <w:pStyle w:val="Heading1"/>
      </w:pPr>
      <w:r>
        <w:t>2. Техническая карта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Область</w:t>
            </w:r>
          </w:p>
        </w:tc>
        <w:tc>
          <w:tcPr>
            <w:tcW w:type="dxa" w:w="4320"/>
          </w:tcPr>
          <w:p>
            <w:r>
              <w:t>Реализация / точка входа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Python 3.12, FastAPI, SQLAlchemy, backend/app/</w:t>
            </w:r>
          </w:p>
        </w:tc>
      </w:tr>
      <w:tr>
        <w:tc>
          <w:tcPr>
            <w:tcW w:type="dxa" w:w="4320"/>
          </w:tcPr>
          <w:p>
            <w:r>
              <w:t>База</w:t>
            </w:r>
          </w:p>
        </w:tc>
        <w:tc>
          <w:tcPr>
            <w:tcW w:type="dxa" w:w="4320"/>
          </w:tcPr>
          <w:p>
            <w:r>
              <w:t>PostgreSQL 16, миграции Alembic</w:t>
            </w:r>
          </w:p>
        </w:tc>
      </w:tr>
      <w:tr>
        <w:tc>
          <w:tcPr>
            <w:tcW w:type="dxa" w:w="4320"/>
          </w:tcPr>
          <w:p>
            <w:r>
              <w:t>Клиент</w:t>
            </w:r>
          </w:p>
        </w:tc>
        <w:tc>
          <w:tcPr>
            <w:tcW w:type="dxa" w:w="4320"/>
          </w:tcPr>
          <w:p>
            <w:r>
              <w:t>Статические HTML/CSS/JS, frontend/</w:t>
            </w:r>
          </w:p>
        </w:tc>
      </w:tr>
      <w:tr>
        <w:tc>
          <w:tcPr>
            <w:tcW w:type="dxa" w:w="4320"/>
          </w:tcPr>
          <w:p>
            <w:r>
              <w:t>Подключённый кабинет</w:t>
            </w:r>
          </w:p>
        </w:tc>
        <w:tc>
          <w:tcPr>
            <w:tcW w:type="dxa" w:w="4320"/>
          </w:tcPr>
          <w:p>
            <w:r>
              <w:t>frontend/learning.html</w:t>
            </w:r>
          </w:p>
        </w:tc>
      </w:tr>
      <w:tr>
        <w:tc>
          <w:tcPr>
            <w:tcW w:type="dxa" w:w="4320"/>
          </w:tcPr>
          <w:p>
            <w:r>
              <w:t>Кабинет revision tests</w:t>
            </w:r>
          </w:p>
        </w:tc>
        <w:tc>
          <w:tcPr>
            <w:tcW w:type="dxa" w:w="4320"/>
          </w:tcPr>
          <w:p>
            <w:r>
              <w:t>frontend/revision-session.js</w:t>
            </w:r>
          </w:p>
        </w:tc>
      </w:tr>
      <w:tr>
        <w:tc>
          <w:tcPr>
            <w:tcW w:type="dxa" w:w="4320"/>
          </w:tcPr>
          <w:p>
            <w:r>
              <w:t>Студенческий тест и результат</w:t>
            </w:r>
          </w:p>
        </w:tc>
        <w:tc>
          <w:tcPr>
            <w:tcW w:type="dxa" w:w="4320"/>
          </w:tcPr>
          <w:p>
            <w:r>
              <w:t>frontend/revision-test.html, revision-test.js</w:t>
            </w:r>
          </w:p>
        </w:tc>
      </w:tr>
      <w:tr>
        <w:tc>
          <w:tcPr>
            <w:tcW w:type="dxa" w:w="4320"/>
          </w:tcPr>
          <w:p>
            <w:r>
              <w:t>Общие стили тестов</w:t>
            </w:r>
          </w:p>
        </w:tc>
        <w:tc>
          <w:tcPr>
            <w:tcW w:type="dxa" w:w="4320"/>
          </w:tcPr>
          <w:p>
            <w:r>
              <w:t>frontend/revision-tests.css</w:t>
            </w:r>
          </w:p>
        </w:tc>
      </w:tr>
      <w:tr>
        <w:tc>
          <w:tcPr>
            <w:tcW w:type="dxa" w:w="4320"/>
          </w:tcPr>
          <w:p>
            <w:r>
              <w:t>API тестов</w:t>
            </w:r>
          </w:p>
        </w:tc>
        <w:tc>
          <w:tcPr>
            <w:tcW w:type="dxa" w:w="4320"/>
          </w:tcPr>
          <w:p>
            <w:r>
              <w:t>backend/app/revisions.py</w:t>
            </w:r>
          </w:p>
        </w:tc>
      </w:tr>
      <w:tr>
        <w:tc>
          <w:tcPr>
            <w:tcW w:type="dxa" w:w="4320"/>
          </w:tcPr>
          <w:p>
            <w:r>
              <w:t>Базовые материалы</w:t>
            </w:r>
          </w:p>
        </w:tc>
        <w:tc>
          <w:tcPr>
            <w:tcW w:type="dxa" w:w="4320"/>
          </w:tcPr>
          <w:p>
            <w:r>
              <w:t>backend/revision_materials/unit7-b2.json, unit7-c1.json</w:t>
            </w:r>
          </w:p>
        </w:tc>
      </w:tr>
      <w:tr>
        <w:tc>
          <w:tcPr>
            <w:tcW w:type="dxa" w:w="4320"/>
          </w:tcPr>
          <w:p>
            <w:r>
              <w:t>Печатные материалы</w:t>
            </w:r>
          </w:p>
        </w:tc>
        <w:tc>
          <w:tcPr>
            <w:tcW w:type="dxa" w:w="4320"/>
          </w:tcPr>
          <w:p>
            <w:r>
              <w:t>frontend/templates/</w:t>
            </w:r>
          </w:p>
        </w:tc>
      </w:tr>
      <w:tr>
        <w:tc>
          <w:tcPr>
            <w:tcW w:type="dxa" w:w="4320"/>
          </w:tcPr>
          <w:p>
            <w:r>
              <w:t>Развёртывание</w:t>
            </w:r>
          </w:p>
        </w:tc>
        <w:tc>
          <w:tcPr>
            <w:tcW w:type="dxa" w:w="4320"/>
          </w:tcPr>
          <w:p>
            <w:r>
              <w:t>Docker Compose, compose.beget.yml, Caddy</w:t>
            </w:r>
          </w:p>
        </w:tc>
      </w:tr>
      <w:tr>
        <w:tc>
          <w:tcPr>
            <w:tcW w:type="dxa" w:w="4320"/>
          </w:tcPr>
          <w:p>
            <w:r>
              <w:t>Проверки</w:t>
            </w:r>
          </w:p>
        </w:tc>
        <w:tc>
          <w:tcPr>
            <w:tcW w:type="dxa" w:w="4320"/>
          </w:tcPr>
          <w:p>
            <w:r>
              <w:t>backend/tests/, tests/frontend/ — Node + Playwright</w:t>
            </w:r>
          </w:p>
        </w:tc>
      </w:tr>
    </w:tbl>
    <w:p>
      <w:r>
        <w:t>Репозиторий: https://github.com/alyonazerg/university-learning-hub. Рабочая ветка доставки — sprint-2-registration. Сайт — mooncampus.ru; API — api.mooncampus.ru; рабочий каталог Beget — /opt/moon-campus. Локальный каталог или название локальной ветки могут отличаться в следующей сессии.</w:t>
      </w:r>
    </w:p>
    <w:p>
      <w:r>
        <w:t>Некоторые отдельные страницы и Telegram/worker-компоненты исторически были демо или заготовками. Перед расширением проверять конкретный маршрут, клиент и серверное хранение. Нельзя считать весь проект React-приложением или переносить его на другой стек без задачи и обоснования.</w:t>
      </w:r>
    </w:p>
    <w:p>
      <w:pPr>
        <w:pStyle w:val="Heading1"/>
      </w:pPr>
      <w:r>
        <w:t>3. Учебная терминология и календарь</w:t>
      </w:r>
    </w:p>
    <w:p>
      <w:pPr>
        <w:pStyle w:val="ListBullet"/>
      </w:pPr>
      <w:r>
        <w:t>Срез называется Assessment Test; тест перед срезом — Midcheck. Credit остаётся Credit; в конце учебного года предусмотрен Exam.</w:t>
      </w:r>
    </w:p>
    <w:p>
      <w:pPr>
        <w:pStyle w:val="ListBullet"/>
      </w:pPr>
      <w:r>
        <w:t>Assessment Test длится 90 минут, дату задаёт преподаватель.</w:t>
      </w:r>
    </w:p>
    <w:p>
      <w:pPr>
        <w:pStyle w:val="ListBullet"/>
      </w:pPr>
      <w:r>
        <w:t>IMT quiz presentations — обычное занятие, студенты представляют свои квизы.</w:t>
      </w:r>
    </w:p>
    <w:p>
      <w:pPr>
        <w:pStyle w:val="ListBullet"/>
      </w:pPr>
      <w:r>
        <w:t>Для второго курса по практике речи два среза в семестре. Четыре revision tests: RT1 после Unit 7, RT2 после Unit 8 — первый срез, RT3 после Unit 9, Final RT общий Units 7–9 — второй срез. Каждый даёт максимум 3 рейтинговых балла, всего 12.</w:t>
      </w:r>
    </w:p>
    <w:p>
      <w:pPr>
        <w:pStyle w:val="ListBullet"/>
      </w:pPr>
      <w:r>
        <w:t>Первый срез примерно в середине семестра. Не фиксировать автоматически даты по прежнему ориентиру «середина октября» без проверки актуального расписания.</w:t>
      </w:r>
    </w:p>
    <w:p>
      <w:pPr>
        <w:pStyle w:val="ListBullet"/>
      </w:pPr>
      <w:r>
        <w:t>Расписание должно охватывать все восемь групп, грамматику и практику речи. Время — Europe/Moscow. Особые совместные занятия нельзя дублировать как три одновременных события.</w:t>
      </w:r>
    </w:p>
    <w:p>
      <w:pPr>
        <w:pStyle w:val="ListBullet"/>
      </w:pPr>
      <w:r>
        <w:t>Lesson topics: импорт CSV/XLS/XLSX с явным описанием колонок и примером. Mark as taught имеет заметный статус; массовая отметка присутствия должна реально сохраняться.</w:t>
      </w:r>
    </w:p>
    <w:p>
      <w:r>
        <w:t>Часть этих пожеланий реализована в существующих модулях, но следующему разработчику нужно сверять каждый пункт по коду и данным, а не считать переписку доказательством завершения.</w:t>
      </w:r>
    </w:p>
    <w:p>
      <w:pPr>
        <w:pStyle w:val="Heading1"/>
      </w:pPr>
      <w:r>
        <w:t>4. Материалы и группы RT1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Учебник</w:t>
            </w:r>
          </w:p>
        </w:tc>
        <w:tc>
          <w:tcPr>
            <w:tcW w:type="dxa" w:w="2880"/>
          </w:tcPr>
          <w:p>
            <w:r>
              <w:t>Условие исследования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Evolve 6</w:t>
            </w:r>
          </w:p>
        </w:tc>
        <w:tc>
          <w:tcPr>
            <w:tcW w:type="dxa" w:w="2880"/>
          </w:tcPr>
          <w:p>
            <w:r>
              <w:t>experimental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Evolve 6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Evolve 5</w:t>
            </w:r>
          </w:p>
        </w:tc>
        <w:tc>
          <w:tcPr>
            <w:tcW w:type="dxa" w:w="2880"/>
          </w:tcPr>
          <w:p>
            <w:r>
              <w:t>experimental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Evolve 5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Evolve 5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</w:tbl>
    <w:p>
      <w:r>
        <w:t>Emergent vocabulary различается по группам: фильтровать задания, AI targets и аналитические метки по группе конкретной попытки. Грамматика Evolve 6: limiting/negative adverbial fronting и place/movement fronting. Evolve 5: infinitives/gerunds после разных частей речи, another/other и подобные формы, conditionals и if + will, articles. У 216 another/other не проходили: избегать такого акцента, текущий вариант компенсирует артиклями.</w:t>
      </w:r>
    </w:p>
    <w:p>
      <w:r>
        <w:t>Вопросы должны проверять смысл, сочетаемость и использование. Нежелательны изолированные определения с требованием вспомнить одно слово без опоры, варианты с единственным знакомым словом, очевидные auxiliary gaps. Для strike a chord проверять значение и контекст, не предлог. В C1 онлайн-грамматике вводится целая конструкция или переписывается предложение; учитывать, где инверсия обязательна, а где обычный порядок грамматически допустим.</w:t>
      </w:r>
    </w:p>
    <w:p>
      <w:r>
        <w:t>Ситуации для диалогов: общая Situation и различающиеся задачи Student A/B. Индивидуальные вопросы — развёрнутые, как в присланном экзаменационном образце. Для Units 7–9 подготовлены отдельные разрезные банки обоих учебников. RT1 использует Unit 7. Новые темы сверять с учебником и материалами преподавателя, не выдумывать названия юнитов.</w:t>
      </w:r>
    </w:p>
    <w:p>
      <w:pPr>
        <w:pStyle w:val="Heading1"/>
      </w:pPr>
      <w:r>
        <w:t>5. Оценки: обязательный контракт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Максимум</w:t>
            </w:r>
          </w:p>
        </w:tc>
      </w:tr>
      <w:tr>
        <w:tc>
          <w:tcPr>
            <w:tcW w:type="dxa" w:w="4320"/>
          </w:tcPr>
          <w:p>
            <w:r>
              <w:t>Vocabulary and collocations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Grammar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Group emergent vocabulary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Vocabulary and grammar вместе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Essay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Individual speaking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Dialogue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Speaking overall — среднее двух частей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Written result — 80-компонент + эссе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Рейтинг за весь RT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t>Формула рейтинга: (vocabulary_and_grammar + essay + speaking_overall) / 120 × 3, округление до двух знаков. Это рассчитанный вклад, не автоматическое изменение внешнего университетского журнала. Неоценённое, неявка и незавершённая попытка — не ноль; финальный результат ждёт обеих частей Speaking и эссе.</w:t>
      </w:r>
    </w:p>
    <w:p>
      <w:r>
        <w:t>Эссе: Content, Organisation, Grammar, Vocabulary, каждый 0–5. Индивидуальный ответ: Vocabulary, Grammar, Coherence, Content, каждый 0–5. Диалог: Vocabulary, Grammar, Coherence, Communication strategies, каждый 0–5. Критерии — только целые числа; нельзя менять оценку колесом мыши/спиннером. Speaking overall — среднее целых итогов, округление .5 вверх.</w:t>
      </w:r>
    </w:p>
    <w:p>
      <w:r>
        <w:t>Исторические данные могут содержать прежние пять устных критериев, общий балл без разбивки или неполные новые поля. Сохранять их как есть; не выдумывать баллы критериев и не скрывать уже имеющийся диалог. Частичное сохранение одной части не стирает другую.</w:t>
      </w:r>
    </w:p>
    <w:p>
      <w:pPr>
        <w:pStyle w:val="Heading1"/>
      </w:pPr>
      <w:r>
        <w:t>6. Устная часть: точная последовательность</w:t>
      </w:r>
    </w:p>
    <w:p>
      <w:r>
        <w:t>1. После письменной сдачи преподаватель вызывает студента. Тот открывает индивидуальный вопрос при вызове и отвечает сразу 60–90 секунд, без подготовки.</w:t>
      </w:r>
    </w:p>
    <w:p>
      <w:r>
        <w:t>2. Преподаватель сохраняет все четыре индивидуальных критерия. Повторяет для второго студента. Одновременное окончание письменной части не требуется.</w:t>
      </w:r>
    </w:p>
    <w:p>
      <w:r>
        <w:t>3. В Results → Pair students выбирает группу и двух уже индивидуально оценённых студентов. Первый не доступен во втором списке. Для нечётного участника предусмотрен Teacher.</w:t>
      </w:r>
    </w:p>
    <w:p>
      <w:r>
        <w:t>4. Назначение открывает Speaking с двумя диалоговыми блоками рядом на большом экране и вертикально на телефоне. У каждого свои критерии, feedback и отметки использования preview targets; одна кнопка сохраняет обе оценки атомарно.</w:t>
      </w:r>
    </w:p>
    <w:p>
      <w:r>
        <w:t>5. Обеим сторонам выдаётся одна ситуация, но сервер передаёт каждому только его роль. Таймер общий: после открытия обеими сторонами 30 секунд чтения, затем 60 подготовки, затем 2–3 минуты диалога.</w:t>
      </w:r>
    </w:p>
    <w:p>
      <w:r>
        <w:t>6. Статус после reload берётся с сервера. Оценённый индивидуальный ответ не раскрывается заново; общий балл Speaking означает завершение устной части. Завершённый диалог не предлагается повторно.</w:t>
      </w:r>
    </w:p>
    <w:p>
      <w:r>
        <w:t>Ограничение «сначала индивидуальные оценки» применяется к новому назначению. У существующих пар диалоговые оценки должны оставаться видимыми даже при старом формате индивидуального итога. Удаление партнёра освобождает назначение, но не стирает чужие уже выставленные баллы.</w:t>
      </w:r>
    </w:p>
    <w:p>
      <w:pPr>
        <w:pStyle w:val="Heading1"/>
      </w:pPr>
      <w:r>
        <w:t>7. Эссе и AI</w:t>
      </w:r>
    </w:p>
    <w:p>
      <w:r>
        <w:t>Около 250 слов, ориентир 225–275. Четыре выбираемых темы на учебник; тема заметно выделена, счётчик слов обновляется при вводе, критерии доступны студенту. Тексты тем во всех бумажных версиях должны совпадать с сайтом.</w:t>
      </w:r>
    </w:p>
    <w:p>
      <w:r>
        <w:t>AI подключается приватными переменными REVISION_AI_API_KEY, REVISION_AI_MODEL, REVISION_AI_BASE_URL на сервере. Провайдер OpenAI-compatible. Не отправлять ключ в клиент или переписку. AI получает учебный контекст и текст, без имени/списков студентов; использование внешнего провайдера требует корректной информации для пользователей.</w:t>
      </w:r>
    </w:p>
    <w:p>
      <w:r>
        <w:t>AI возвращает предварительные критерии и feedback; только сохранение преподавателем делает оценку финальной. Проверять изученную лексику и грамматику данной группы, точные цитаты и качество употребления. Три разных естественно использованных единицы — сильное свидетельство для высокой Vocabulary; аналогично разнообразные корректные грамматические конструкции. Число единиц не заменяет рубрику. Бессмысленный ввод не должен получать высокий балл только за наличие текста. Короткие содержательные ответы нельзя механически обнулять по длине.</w:t>
      </w:r>
    </w:p>
    <w:p>
      <w:r>
        <w:t>Вставка и перетаскивание в поле эссе блокируются с предупреждением о самостоятельном написании без ИИ. События потери фокуса/смены вкладки учитываются, но мобильные звонки, уведомления и системные действия могут давать те же события. Не назначать автоматические штрафы и не называть эту телеметрию доказательством использования ИИ.</w:t>
      </w:r>
    </w:p>
    <w:p>
      <w:pPr>
        <w:pStyle w:val="Heading1"/>
      </w:pPr>
      <w:r>
        <w:t>8. Исследование и согласие</w:t>
      </w:r>
    </w:p>
    <w:p>
      <w:r>
        <w:t>Выбор добровольный и не предвыбран. Отказ не влияет на оценку и не переводит студента в исследовательский контроль. Учебные данные и проверка сохраняются; исследовательская выгрузка включает только согласившихся. После выбора не повторять назойливую кнопку отказа внутри каждой задачи. Предусмотренный отдельный отзыв участия исключает из будущих исследовательских выгрузок; уже скачанные копии преподаватель должен обработать отдельно.</w:t>
      </w:r>
    </w:p>
    <w:p>
      <w:r>
        <w:t>Experimental preview — естественный короткий связный текст, не механический набор целевых слов. Его показывают только соответствующим согласившимся участникам перед тестом, затем убирают. Состав snapshot и фактические условия не менять задним числом.</w:t>
      </w:r>
    </w:p>
    <w:p>
      <w:r>
        <w:t>В эссе подсвечивается возможное употребление preview vocabulary/grammar; преподаватель подтверждает наблюдения. Для индивидуального ответа и диалога есть отдельные чек-листы. Пустой подтверждённый список означает «проверено, не обнаружено», отсутствие проверки — missing, не ноль. Автообнаружение и предложение AI не считать подтверждённой продукцией или причинным эффектом прайминга. Для контроля допустим сопоставимый список targets, но без ложной отметки exposure.</w:t>
      </w:r>
    </w:p>
    <w:p>
      <w:r>
        <w:t>Метрики: начало/сдача, длительности теста/эссе/вопросов, первое взаимодействие, посещения вопроса, события ввода, связь/offline, возобновления, word count, языковые показатели, ответы, оценки, condition, версия/формат, preview exposure и наблюдения. Это клиентские измерения, не лабораторное время обработки; отсутствие старой метрики — missing. Бумажный и онлайн-формат, разные уровни, версии и объём выборки учитывать отдельно. Сравнение средних само по себе не доказывает эффективность вмешательства.</w:t>
      </w:r>
    </w:p>
    <w:p>
      <w:pPr>
        <w:pStyle w:val="Heading1"/>
      </w:pPr>
      <w:r>
        <w:t>9. UX и результаты</w:t>
      </w:r>
    </w:p>
    <w:p>
      <w:r>
        <w:t>Кабинет тестов: Tests / Results / Analytics / Settings. В Results один выбранный студент, внутри Essay / Speaking / Answers / Research. Разделять основные действия и редкие административные операции; не увеличивать количество кнопок и вложенных раскрывашек с каждым улучшением.</w:t>
      </w:r>
    </w:p>
    <w:p>
      <w:r>
        <w:t>Answers — таблица с границами. Analytics — группы/все группы и один/все тесты, разделы и слабые задания с числом наблюдений. Цвета описательные: &lt;50% красный, 50–74% янтарный, ≥75% зелёный, pending серый. Малую выборку явно обозначать. Не смешивать missing с неверными ответами.</w:t>
      </w:r>
    </w:p>
    <w:p>
      <w:r>
        <w:t>Студенческий финальный экран компактный: submitted, рейтинг/pending, refresh и необходимое действие Speaking; подробности отдельно. После завершения — зелёный статус без пустых карточек и инструкций о будущей паре. Критерии эссе, индива и диалога отдельно в фиксированном порядке; на мобильном вертикально. Между subtotal, кнопкой приватной ссылки и ссылкой на кабинет есть отступы.</w:t>
      </w:r>
    </w:p>
    <w:p>
      <w:pPr>
        <w:pStyle w:val="Heading1"/>
      </w:pPr>
      <w:r>
        <w:t>10. Сессии, возврат и удаление</w:t>
      </w:r>
    </w:p>
    <w:p>
      <w:r>
        <w:t>Учительская сессия сохраняется при reload в sessionStorage на срок серверного токена — восемь часов. Ключ доступа туда не записывается. Logout/недействительный токен очищают запись; закрытие вкладки завершает её браузерное сохранение. С другого компьютера вход выполняется обычным способом, данные берутся с сервера.</w:t>
      </w:r>
    </w:p>
    <w:p>
      <w:r>
        <w:t>Студент имеет секретный token отдельной попытки, локальный список My results и приватную ссылку с token во fragment. Это не сквозная синхронизация с аккаунтом; владелец полной ссылки имеет доступ. Потеря и браузерного хранения, и ссылки требует поддержки преподавателя.</w:t>
      </w:r>
    </w:p>
    <w:p>
      <w:r>
        <w:t>Удаление попытки требует подтверждения и удаляет её ответы, оценки и исследовательские данные. Защищённые API должны отвергать старый token, клиент очищает соответствующие drafts/results. Видимая онлайн-страница проверяет статус каждые 30 секунд и при focus. Мгновенное обнаружение удаления offline невозможно; после связи удалённая работа не может сохраниться или сдаться.</w:t>
      </w:r>
    </w:p>
    <w:p>
      <w:pPr>
        <w:pStyle w:val="Heading1"/>
      </w:pPr>
      <w:r>
        <w:t>11. Бумажный резерв</w:t>
      </w:r>
    </w:p>
    <w:p>
      <w:r>
        <w:t>Текущий основной ZIP содержит 11 файлов: пять DOCX групп, два A4 duplex PDF эссе (по учебнику), официальный 20-question ZipGrade PDF, DOCX-инструкцию и два зашифрованных файла преподавательских ключей. Пароль передаётся отдельно; не помещать его или открытые ключи в публичный репозиторий. Дубли question papers, отдельные preview, альтернативные A5 и банки speaking исключены из основного ZIP, доступны отдельными файлами.</w:t>
      </w:r>
    </w:p>
    <w:p>
      <w:r>
        <w:t>Для 213 и 215 preview встроено после блока согласия; отказавшиеся пропускают. Отделить первую страницу и собрать после чтения до выдачи заданий. Контрольные 214/216/217 без preview. На листах заданий ответы не пишут: 1–20 отмечают A–E на официальном ZipGrade. 8 лексических/коллокационных, 8 грамматических, 4 emergent; считать разделы с весами 40/25/15, не использовать сырой /20 как рейтинг.</w:t>
      </w:r>
    </w:p>
    <w:p>
      <w:r>
        <w:t>Эссе отдельное двустороннее A5: печатать A4 landscape, 100%, переворот по короткому краю, затем разрезать — два бланка на лист. Сначала пробная печать. Сохранить четыре актуальных темы сайта и поле выбора номера темы. При обновлении задания синхронно обновлять ключи и оба распространяемых ZIP; проверять сохранение шифрования ключей.</w:t>
      </w:r>
    </w:p>
    <w:p>
      <w:pPr>
        <w:pStyle w:val="Heading1"/>
      </w:pPr>
      <w:r>
        <w:t>12. Надёжная разработка и доставка</w:t>
      </w:r>
    </w:p>
    <w:p>
      <w:pPr>
        <w:pStyle w:val="ListBullet"/>
      </w:pPr>
      <w:r>
        <w:t>Изучить скилл, бриф и соответствующий код. Изолировать изменения, не коммитить временные файлы, virtualenv, node_modules и реальную учебную информацию.</w:t>
      </w:r>
    </w:p>
    <w:p>
      <w:pPr>
        <w:pStyle w:val="ListBullet"/>
      </w:pPr>
      <w:r>
        <w:t>Новое содержание — для новых попыток. Начатые/сданные сохраняют snapshot. Миграции обновляют только нетронутые defaults и не начатые попытки, сохраняют ручные правки, проходят повторный запуск. Alembic revision не длиннее 32 символов.</w:t>
      </w:r>
    </w:p>
    <w:p>
      <w:pPr>
        <w:pStyle w:val="ListBullet"/>
      </w:pPr>
      <w:r>
        <w:t>Для оценивания проверить partial/full, zero/pending, сохранность второй части, legacy marks, разные consent, связь пары и атомарное сохранение.</w:t>
      </w:r>
    </w:p>
    <w:p>
      <w:pPr>
        <w:pStyle w:val="ListBullet"/>
      </w:pPr>
      <w:r>
        <w:t>Для клиента проверить 320/390 px и desktop, reload, сетевой сбой, отсутствие пустых блоков/overflow, серверный статус. Обновлять query-version JS/CSS в HTML.</w:t>
      </w:r>
    </w:p>
    <w:p>
      <w:pPr>
        <w:pStyle w:val="ListBullet"/>
      </w:pPr>
      <w:r>
        <w:t>Не добавлять тесты ради зеркалирования реализации, но изменения жизненного цикла, доступа, оценивания и миграций требуют содержательной проверки.</w:t>
      </w:r>
    </w:p>
    <w:p>
      <w:r>
        <w:t>Пример проверок для revision changes:</w:t>
      </w:r>
    </w:p>
    <w:p>
      <w:r>
        <w:rPr>
          <w:rFonts w:ascii="Consolas" w:hAnsi="Consolas"/>
          <w:sz w:val="18"/>
        </w:rPr>
        <w:t>PYTHONPATH=backend .venv/bin/python -m pytest backend/tests/test_revisions.py backend/tests/test_revision_preview_migration.py -q</w:t>
      </w:r>
    </w:p>
    <w:p>
      <w:r>
        <w:rPr>
          <w:rFonts w:ascii="Consolas" w:hAnsi="Consolas"/>
          <w:sz w:val="18"/>
        </w:rPr>
        <w:t>node --test tests/frontend/revision-test.test.cjs tests/frontend/revision-dashboard.test.cjs</w:t>
      </w:r>
    </w:p>
    <w:p>
      <w:r>
        <w:t>Путь Python/Chromium зависит от окружения: подготовить зависимости по requirements и package.json, не предполагать наличие .venv. OCR assets собираются отдельным frontend build; не загружать OCR в публичный revision test без необходимости.</w:t>
      </w:r>
    </w:p>
    <w:p>
      <w:r>
        <w:t>Команда пользователя на VPS:</w:t>
      </w:r>
    </w:p>
    <w:p>
      <w:r>
        <w:rPr>
          <w:rFonts w:ascii="Consolas" w:hAnsi="Consolas"/>
          <w:sz w:val="18"/>
        </w:rPr>
        <w:t>cd /opt/moon-campus</w:t>
      </w:r>
    </w:p>
    <w:p>
      <w:r>
        <w:rPr>
          <w:rFonts w:ascii="Consolas" w:hAnsi="Consolas"/>
          <w:sz w:val="18"/>
        </w:rPr>
        <w:t>git pull --ff-only origin sprint-2-registration</w:t>
      </w:r>
    </w:p>
    <w:p>
      <w:r>
        <w:rPr>
          <w:rFonts w:ascii="Consolas" w:hAnsi="Consolas"/>
          <w:sz w:val="18"/>
        </w:rPr>
        <w:t>docker compose -f docker-compose.yml -f compose.beget.yml up -d --build</w:t>
      </w:r>
    </w:p>
    <w:p>
      <w:r>
        <w:t>После реального деплоя проверить health, логи запуска миграций, вход, новый/сохранённый тест и результат. Push и успешные локальные тесты не доказывают успешный deploy. Не выполнять разрушительный reset данных для исправления интерфейса.</w:t>
      </w:r>
    </w:p>
    <w:p>
      <w:pPr>
        <w:pStyle w:val="Heading1"/>
      </w:pPr>
      <w:r>
        <w:t>13. Приоритеты следующих итераций</w:t>
      </w:r>
    </w:p>
    <w:p>
      <w:r>
        <w:t>1. Реальная проверка актуальной версии на VPS с согласившимися/отказавшимися, двумя телефонами, повторным входом и уже выставленными оценками. Проверить CORS и используемые HTTP-методы на производственном маршруте: конфигурации разных частей проекта могут отличаться.</w:t>
      </w:r>
    </w:p>
    <w:p>
      <w:r>
        <w:t>2. Продолжать упрощение кабинета без потери оценок; поддержать старые данные и отдельные feedback каждой устной части. При загрузке по Attempt ID обеспечить загрузку партнёра без дубликатов.</w:t>
      </w:r>
    </w:p>
    <w:p>
      <w:r>
        <w:t>3. Подготовить RT2, RT3, Final RT по фактически пройденным материалам; группы, даты и экспериментальную процедуру сверять с преподавателем. Вопросы Unit 8/9 не считать готовыми revision tests только потому, что есть speaking bank.</w:t>
      </w:r>
    </w:p>
    <w:p>
      <w:r>
        <w:t>4. Уточнить межустройственный возврат результатов: сейчас приватные ссылки, а не полноценная привязка к учебному аккаунту. Не обещать автоматическую синхронизацию без реализации.</w:t>
      </w:r>
    </w:p>
    <w:p>
      <w:r>
        <w:t>5. Аудит исследования: версия preview, группа, формат, согласие, missing, независимость наблюдений и адекватность метрик после перехода лексики на MCQ. Составить план анализа до утверждений об эффекте.</w:t>
      </w:r>
    </w:p>
    <w:p>
      <w:r>
        <w:t>6. Расширение Midcheck/Assessment Test внешними тестами, включая Grammar Lab и Beget: проверить существующие adapters, авторизацию, идентификаторы попыток, передачу результатов и условия обработки данных. Ссылка сама по себе не является интеграцией backend.</w:t>
      </w:r>
    </w:p>
    <w:p>
      <w:r>
        <w:t>7. Проверить актуальность календарных импортов, тем занятий, массовой посещаемости и статуса taught. Сохранить favicon и доступ с рабочего компьютера.</w:t>
      </w:r>
    </w:p>
    <w:p>
      <w:r>
        <w:t>Не включать в новые документы реальные ФИО и фактические оценки. Этот бриф — контракт разработки, а не исследовательское заключение или обещание реализации всех задач из списка.</w:t>
      </w:r>
    </w:p>
    <w:p>
      <w:pPr>
        <w:pStyle w:val="Heading2"/>
      </w:pPr>
      <w:r>
        <w:t>Актуализация печати — 12 октября 2026</w:t>
      </w:r>
    </w:p>
    <w:p>
      <w:r>
        <w:t>Компактные задания: группы 214/216/217 — 3 страницы A4; 213/215 — 4, включая отдельную страницу preview (ранее 5 и 7 соответственно). Arial 11 pt, одинарный интервал, поля 11,5 мм сверху/снизу и 12,5 мм по бокам. Формулировки, варианты, согласие и темы эссе сохранены; каждый вопрос остаётся вместе с A–E. Основные два архива остаются редактируемыми DOCX-комплектами по 11 файлов. Для готовой печати отдельный Revision-Unit-7-Compact-PDF-Pack.zip, также 11 файлов, с PDF вместо DOCX заданий. PDF фиксирует пагинацию; DOCX может немного отличаться между версиями Word/LibreOffice. Не добавлять дубли обоих форматов в один комплект. Официальный ZipGrade и двусторонние эссе не уменьшать. Форматирование повторяется через scripts/compact_revision_papers.py; после изменения содержания обязательно заново проверить рендер и ключи.</w:t>
      </w:r>
    </w:p>
    <w:p>
      <w:pPr>
        <w:pStyle w:val="Heading2"/>
      </w:pPr>
      <w:r>
        <w:t>Проверка платформы и дальнейший UX</w:t>
      </w:r>
    </w:p>
    <w:p>
      <w:r>
        <w:t>Подробности аудита: docs/platform-audit-2026-10-12.md. Исправлены CORS DELETE, защита ключей разных версий при regrade и 19 заданий на контекст/явные субъекты. Начатые попытки и ручные правки сохраняются. Следующий UX-приоритет: очередь устной части и постоянная панель пары; затем компактный итог с причиной pending и переход от слабых заданий к ответам. Эти UX-функции пока являются планом.</w:t>
      </w:r>
    </w:p>
    <w:p>
      <w:pPr>
        <w:pStyle w:val="Heading2"/>
      </w:pPr>
      <w:r>
        <w:t>Обратная связь действий и диалог с преподавателем</w:t>
      </w:r>
    </w:p>
    <w:p>
      <w:r>
        <w:t>Для student–teacher показываются ситуация и роли, преподаватель — B. Студенческий экран благодарит за участие. Общий action-feedback.js отображает загрузку, успех или ошибку сохранения/обновления в подключённом кабинете и revision tests; повторные отправки блокируются. Очередь устной части остаётся планом.</w:t>
      </w:r>
    </w:p>
    <w:p>
      <w:pPr>
        <w:pStyle w:val="Heading2"/>
      </w:pPr>
      <w:r>
        <w:t>Учебный язык и поддерживающий AI feedback</w:t>
      </w:r>
    </w:p>
    <w:p>
      <w:r>
        <w:t>Инструкции сайта и бумаги требуют естественно использовать пройденные лексику и грамматику. AI даёт умеренно щадящую учебную оценку без фиксированной прибавки и двойных штрафов; отзыв доброжелательный. До трёх примеров (ошибка → исправление — объяснение) проверяются по реальным цитатам. Старые AI-предложения требуют повторной проверки; оценки преподавателя не меняются автоматически.</w:t>
      </w:r>
    </w:p>
    <w:p>
      <w:pPr>
        <w:pStyle w:val="Heading2"/>
      </w:pPr>
      <w:r>
        <w:t>Сохранность эссе при перезагрузке</w:t>
      </w:r>
    </w:p>
    <w:p>
      <w:r>
        <w:t>Draft восстанавливается до экрана Continue. Сохраняются текст с абзацами и выбранная тема, даже если на сервере старая версия и PUT недоступен. Проверено три reload подряд до продолжения. pagehide читает текущие поля. Сохранение локальное в том же браузере; загрузка страницы без связи и перенос несохранённого текста между устройствами не гарантируются.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