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RT1 · Unit 7 · бумажный резерв</w:t>
      </w:r>
    </w:p>
    <w:p>
      <w:pPr>
        <w:pStyle w:val="Heading1"/>
      </w:pPr>
      <w:r>
        <w:t>1. Выберите комплект группы</w:t>
      </w:r>
    </w:p>
    <w:p>
      <w:r>
        <w:t>213 и 214 — Evolve 6; 215, 216, 217 — Evolve 5. Для каждой группы свой Group-…-ZipGrade.docx: общая часть и отдельная групповая лексика. Не заменяйте вариант другой группой. На листах заданий ответы не пишут.</w:t>
      </w:r>
    </w:p>
    <w:p>
      <w:pPr>
        <w:pStyle w:val="Heading1"/>
      </w:pPr>
      <w:r>
        <w:t>2. Что печатать</w:t>
      </w:r>
    </w:p>
    <w:p>
      <w:r>
        <w:t>На студента: один файл заданий своей группы (PDF для печати или DOCX для редактирования), официальный бланк ZipGrade на 20 вопросов и двусторонний бланк эссе своего учебника. Задания групп 213 и 215 занимают 4 страницы, включая отделяемое превью; остальные — 3. Формат A4, масштаб 100%; можно печатать задания двусторонне с переворотом по длинному краю. Превью отделить до чтения и собрать до выдачи заданий. Карточки speaking доступны отдельно.</w:t>
      </w:r>
    </w:p>
    <w:p>
      <w:pPr>
        <w:pStyle w:val="Heading1"/>
      </w:pPr>
      <w:r>
        <w:t>3. Бланк эссе</w:t>
      </w:r>
    </w:p>
    <w:p>
      <w:r>
        <w:t>Печатайте Essay-A4-duplex.pdf своего учебника: A4, альбомная ориентация, масштаб 100%, двусторонняя печать с переворотом по короткому краю; затем разрежьте пополам. На одном листе — два двусторонних бланка A5. Сначала проверьте один пробный лист.</w:t>
      </w:r>
    </w:p>
    <w:p>
      <w:pPr>
        <w:pStyle w:val="Heading1"/>
      </w:pPr>
      <w:r>
        <w:t>4. Сначала добровольное согласие</w:t>
      </w:r>
    </w:p>
    <w:p>
      <w:r>
        <w:t>До начала работы предложите отметить согласие или отказ в блоке Research participation в начале теста. В группах 213 и 215 блок стоит перед встроенным превью. Достаточно одного ясного выбора; повторять согласие на эссе не нужно. Отказ не влияет на оценку и не переводит студента автоматически в контрольную исследовательскую группу.</w:t>
      </w:r>
    </w:p>
    <w:p>
      <w:pPr>
        <w:pStyle w:val="Heading1"/>
      </w:pPr>
      <w:r>
        <w:t>5. Эксперимент и контроль</w:t>
      </w:r>
    </w:p>
    <w:p>
      <w:r>
        <w:t>213 и 215 — experimental: превью уже встроено в файл группы. Для согласившихся используйте первую страницу; отказавшиеся пропускают её. 214, 216, 217 — control: превью в их файлах нет. Перед раздачей отделите страницу превью, чтобы после чтения собрать её и выдать задания. Для отказавшихся выдайте сразу страницы с заданиями.</w:t>
      </w:r>
    </w:p>
    <w:p>
      <w:pPr>
        <w:pStyle w:val="Heading1"/>
      </w:pPr>
      <w:r>
        <w:t>6. Чтение перед тестом</w:t>
      </w:r>
    </w:p>
    <w:p>
      <w:r>
        <w:t>Используйте одинаковую процедуру чтения для участников исследования и фиксируйте фактическое время. Не просите запоминать слова и не выделяйте целевую лексику. Соберите preview до выдачи заданий. Чтение не оценивается. Отдельных дополнительных оцениваемых заданий для experimental нет: отличие состоит в предварительном чтении.</w:t>
      </w:r>
    </w:p>
    <w:p>
      <w:pPr>
        <w:pStyle w:val="Heading1"/>
      </w:pPr>
      <w:r>
        <w:t>7. ZipGrade</w:t>
      </w:r>
    </w:p>
    <w:p>
      <w:r>
        <w:t>Создайте пять отдельных quizzes по 20 вопросов, с вариантами A–E, и внесите ключ своей группы. На всех бланках Test Version A, если поле используется: номера групп не являются буквами вариантов. Студенты заполняют Name, дату и номер группы в Period; отмечают один ответ на вопрос. Официальный бланк печатайте целиком, без изменения маркеров и обрезки.</w:t>
      </w:r>
    </w:p>
    <w:p>
      <w:pPr>
        <w:pStyle w:val="Heading1"/>
      </w:pPr>
      <w:r>
        <w:t>8. Эссе</w:t>
      </w:r>
    </w:p>
    <w:p>
      <w:r>
        <w:t>Выбрать одну из четырёх тем своего учебника; темы совпадают с сайтом. На бланке эссе отметить номер темы. Около 250 слов, ориентир 225–275. Писать самостоятельно, без ИИ и копирования preview или заданий. Оценить Content, Organisation, Grammar, Vocabulary — каждый 0–5, только целые баллы. Отмечать фактическое употребление целевой лексики и грамматики отдельно.</w:t>
      </w:r>
    </w:p>
    <w:p>
      <w:pPr>
        <w:pStyle w:val="Heading1"/>
      </w:pPr>
      <w:r>
        <w:t>9. Speaking</w:t>
      </w:r>
    </w:p>
    <w:p>
      <w:r>
        <w:t>Вызывать студентов после письменной части. Индивидуальный вопрос: открыть/выдать при вызове, сразу ответить 60–90 секунд без подготовки. После двух индивидуальных ответов назначить пару; одновременное завершение письменной части не требуется. Выдать одну ситуацию с ролями A/B: 30 секунд на чтение, затем 60 секунд на подготовку и 2–3 минуты диалога. При нечётном количестве диалог возможен с преподавателем.</w:t>
      </w:r>
    </w:p>
    <w:p>
      <w:pPr>
        <w:pStyle w:val="Heading1"/>
      </w:pPr>
      <w:r>
        <w:t>10. Две оценки за устную часть</w:t>
      </w:r>
    </w:p>
    <w:p>
      <w:r>
        <w:t>Индивидуальный ответ: Vocabulary, Grammar, Coherence, Content — каждый 0–5; отдельный итог /20. Диалог: Vocabulary, Grammar, Coherence, Communication strategies — каждый 0–5; отдельный итог /20. Оба итога целые, половина балла округляется вверх. Общий speaking = среднее двух итогов /20, округлённое до целого вверх при .5. Не состоявшийся ответ оставьте неоценённым, не ставьте автоматически ноль.</w:t>
      </w:r>
    </w:p>
    <w:p>
      <w:pPr>
        <w:pStyle w:val="Heading1"/>
      </w:pPr>
      <w:r>
        <w:t>11. Подсчёт рейтинга</w:t>
      </w:r>
    </w:p>
    <w:p>
      <w:r>
        <w:t>V = число верных ответов 1–8; G = число верных 9–16; E = число верных 17–20. Лексика/грамматика из 80: 40×V/8 + 25×G/8 + 15×E/4. Письменный итог из 100 = результат из 80 + эссе из 20. Рейтинг за весь RT1 = (результат из 80 + эссе из 20 + общий speaking из 20) /120 ×3, округление до двух знаков. Максимум 3 балла. Не подменяйте эту формулу сырым результатом ZipGrade из 20. Если эссе или speaking не оценены, финальный рейтинг пока не рассчитывается.</w:t>
      </w:r>
    </w:p>
    <w:p>
      <w:pPr>
        <w:pStyle w:val="Heading1"/>
      </w:pPr>
      <w:r>
        <w:t>12. Данные исследования</w:t>
      </w:r>
    </w:p>
    <w:p>
      <w:r>
        <w:t>Зафиксируйте группу, согласие, формат paper, фактическое получение preview, время начала/окончания, оценки по разделам и двум устным частям, эссе и отклонения от процедуры. Не смешивайте бумажные и онлайн-результаты без отметки формата. Бумага не даёт времени реакции по каждому вопросу или данных о переключении вкладок. Отказавшиеся сохраняются в учебном учёте, но исключаются из исследовательской выборки.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