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26 Insight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Nourish yourself with each bite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How often do you think of what you eat as nourishing? Whether you eat to live or live to eat, your food is meant to nourish your body. Choose your foods with this in mind.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