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34 Insight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You can overcome the world’s temptations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world may be set up for indulging in all the food you don't need, but you've got the knowledge and the skills to succeed. Look for the healthy foods wherever they may be.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