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8B9FB" w14:textId="1C590FB6" w:rsidR="006B3F11" w:rsidRPr="00EB31E2" w:rsidRDefault="00A7147F" w:rsidP="009D26BA">
      <w:pPr>
        <w:rPr>
          <w:rFonts w:ascii="Times New Roman" w:hAnsi="Times New Roman" w:cs="Times New Roman"/>
          <w:b/>
          <w:sz w:val="22"/>
          <w:szCs w:val="22"/>
        </w:rPr>
      </w:pPr>
      <w:r w:rsidRPr="00EB31E2">
        <w:rPr>
          <w:rFonts w:ascii="Times New Roman" w:hAnsi="Times New Roman" w:cs="Times New Roman"/>
          <w:b/>
          <w:sz w:val="22"/>
          <w:szCs w:val="22"/>
        </w:rPr>
        <w:t>References</w:t>
      </w:r>
    </w:p>
    <w:p w14:paraId="0A074A48" w14:textId="55E2839F" w:rsidR="00F41885" w:rsidRPr="00EB31E2" w:rsidRDefault="00F41885" w:rsidP="00F41885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ASM2 (2018). Joint Statement of Ministers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o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n the occasion of the Second Arctic Science Ministerial. 26 October 2018, Berlin, Federal Republic of Germany. https://www.arcticscienceministerial.org/en/</w:t>
      </w:r>
    </w:p>
    <w:p w14:paraId="71E37446" w14:textId="3767640B" w:rsidR="006B3F11" w:rsidRPr="00EB31E2" w:rsidRDefault="006B3F11" w:rsidP="00722EE9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Bendixen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, M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.,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I. 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Overeem,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M. T.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Rosing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A. A.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Bjørk</w:t>
      </w:r>
      <w:proofErr w:type="spellEnd"/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K. H.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Kjær</w:t>
      </w:r>
      <w:proofErr w:type="spellEnd"/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Kroon,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G.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Zeitz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and L. L.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Iversen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2019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).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Promises and perils of sand exploitation in Greenland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Nature Sustainability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98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104</w:t>
      </w:r>
      <w:r w:rsidR="00722EE9"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), 2.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https://doi.org/10.1038/s41893-018-0218-6</w:t>
      </w:r>
    </w:p>
    <w:p w14:paraId="3DF09412" w14:textId="218F0186" w:rsidR="009740E2" w:rsidRPr="00EB31E2" w:rsidRDefault="009740E2" w:rsidP="006B3F11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Bevis, M.,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C.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Harig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S. A.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Khan,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Brown,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F. J.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Simons,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M.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Willis,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X.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Fettweis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M. R.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van den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Broeke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F. B.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Madsen,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E.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Kendrick,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D. J.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Caccamise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T.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van Dam,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P.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Knudsen,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and T.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Nylen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(2019). Accelerating changes in ice mass within Greenland, and the ice sheet’s sensitivity to atmospheric forcing.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Proceedings of the National Academy of Sciences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, 116 (6) 1934-1939. https://doi.org/10.1073/pnas.1806562116</w:t>
      </w:r>
    </w:p>
    <w:p w14:paraId="516D4D15" w14:textId="10C46F20" w:rsidR="00722EE9" w:rsidRPr="00EB31E2" w:rsidRDefault="00722EE9" w:rsidP="00722EE9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Boersma, T. </w:t>
      </w:r>
      <w:r w:rsidR="00F41885">
        <w:rPr>
          <w:rFonts w:ascii="Times New Roman" w:hAnsi="Times New Roman" w:cs="Times New Roman"/>
          <w:bCs/>
          <w:color w:val="000000"/>
          <w:sz w:val="22"/>
          <w:szCs w:val="22"/>
        </w:rPr>
        <w:t>and K.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Foley (2016). The Greenland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g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old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r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ush: Promise and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p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itfalls of Greenland's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e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nergy and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m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ineral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r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esources.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Oil, Gas &amp; Energy Law 2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. www.ogel.org/article.asp?key=3619</w:t>
      </w:r>
    </w:p>
    <w:p w14:paraId="3FD5EFFA" w14:textId="503162B8" w:rsidR="00CB09DD" w:rsidRDefault="00CB09DD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IASC (2015). Integrating Arctic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r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esearch - a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r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oadmap for the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f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uture 3rd International Conference on Arctic Research Planning. </w:t>
      </w:r>
      <w:hyperlink r:id="rId6" w:history="1">
        <w:r w:rsidRPr="00EB31E2">
          <w:rPr>
            <w:rStyle w:val="Hyperlink"/>
            <w:rFonts w:ascii="Times New Roman" w:hAnsi="Times New Roman" w:cs="Times New Roman"/>
            <w:bCs/>
            <w:color w:val="000000" w:themeColor="text1"/>
            <w:sz w:val="22"/>
            <w:szCs w:val="22"/>
            <w:u w:val="none"/>
          </w:rPr>
          <w:t>https://icarp.iasc.info/</w:t>
        </w:r>
      </w:hyperlink>
      <w:r w:rsidRPr="00EB31E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5036A21A" w14:textId="210BDC08" w:rsidR="00F41885" w:rsidRDefault="00F41885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 w:themeColor="text1"/>
          <w:sz w:val="22"/>
          <w:szCs w:val="22"/>
        </w:rPr>
      </w:pP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Moon, T., A. </w:t>
      </w:r>
      <w:proofErr w:type="spellStart"/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Ahlstrøm</w:t>
      </w:r>
      <w:proofErr w:type="spellEnd"/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H. </w:t>
      </w:r>
      <w:proofErr w:type="spellStart"/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Goelzer</w:t>
      </w:r>
      <w:proofErr w:type="spellEnd"/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W. Lipscomb, and S. Nowicki (2018), Rising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o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ceans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g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uaranteed: Arctic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and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i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ce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oss and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s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ea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l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evel </w:t>
      </w:r>
      <w:r w:rsidR="00E93148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r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ise, </w:t>
      </w:r>
      <w:proofErr w:type="spellStart"/>
      <w:r w:rsidRPr="00F41885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Curr</w:t>
      </w:r>
      <w:proofErr w:type="spellEnd"/>
      <w:r w:rsidRPr="00F41885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F41885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Clim</w:t>
      </w:r>
      <w:proofErr w:type="spellEnd"/>
      <w:r w:rsidRPr="00F41885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 xml:space="preserve"> Change Rep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, </w:t>
      </w:r>
      <w:r w:rsidRPr="00F41885">
        <w:rPr>
          <w:rFonts w:ascii="Times New Roman" w:hAnsi="Times New Roman" w:cs="Times New Roman"/>
          <w:bCs/>
          <w:i/>
          <w:iCs/>
          <w:color w:val="000000" w:themeColor="text1"/>
          <w:sz w:val="22"/>
          <w:szCs w:val="22"/>
        </w:rPr>
        <w:t>44</w:t>
      </w:r>
      <w:r w:rsidRPr="00F41885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>(11), 11051–12, doi:10.1007/s40641-018-0107-0.</w:t>
      </w:r>
    </w:p>
    <w:p w14:paraId="64889330" w14:textId="1FF25886" w:rsidR="00F41885" w:rsidRDefault="00F41885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Moon, T., D. A. Sutherland, D. Carroll, D. </w:t>
      </w:r>
      <w:proofErr w:type="spellStart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Felikson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L. </w:t>
      </w:r>
      <w:proofErr w:type="spellStart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Kehrl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and F. </w:t>
      </w:r>
      <w:proofErr w:type="spellStart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Straneo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(2017), Subsurface iceberg melt key to Greenland fjord freshwater budget, </w:t>
      </w:r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Nat </w:t>
      </w:r>
      <w:proofErr w:type="spellStart"/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Geosci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11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(1), 49–54, doi:10.1038/s41561-017-0018-z.</w:t>
      </w:r>
    </w:p>
    <w:p w14:paraId="2F3ACB2C" w14:textId="3F7BF07C" w:rsidR="00F41885" w:rsidRPr="00EB31E2" w:rsidRDefault="00F41885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Morlighem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, M.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C. N. Williams, E.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Rignot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L. An, J. E. Arndt, J. L. Bamber, G. Catania, N.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Chauché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J. A.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Dowdeswell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B.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Dorschel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I. Fenty, K. Hogan, I. Howat, A. Hubbard, M. Jakobsson, T. M. Jordan, K. K.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Kjeldsen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R. Millan, L. Mayer, J.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Mouginot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B. P. Y. Noël, C.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O’Cofaigh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S. Palmer, S.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Rysgaard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H.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Seroussi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M. J.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Siegert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P.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Slabon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F.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Straneo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M. R. van den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Broeke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W.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Weinrebe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M. Wood, and K. B. </w:t>
      </w:r>
      <w:proofErr w:type="spellStart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Zinglersen</w:t>
      </w:r>
      <w:proofErr w:type="spellEnd"/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(2017), </w:t>
      </w:r>
      <w:proofErr w:type="spellStart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BedMachine</w:t>
      </w:r>
      <w:proofErr w:type="spellEnd"/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v3: Complete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b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t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opography and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o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cean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b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athymetry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m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apping of Greenland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f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rom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m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ultibeam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e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cho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s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ounding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c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ombined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w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ith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m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ass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c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onservation, </w:t>
      </w:r>
      <w:proofErr w:type="spellStart"/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Geophys</w:t>
      </w:r>
      <w:proofErr w:type="spellEnd"/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 xml:space="preserve"> Res Lett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Pr="00F41885">
        <w:rPr>
          <w:rFonts w:ascii="Times New Roman" w:hAnsi="Times New Roman" w:cs="Times New Roman"/>
          <w:bCs/>
          <w:i/>
          <w:iCs/>
          <w:color w:val="000000"/>
          <w:sz w:val="22"/>
          <w:szCs w:val="22"/>
        </w:rPr>
        <w:t>44</w:t>
      </w:r>
      <w:r w:rsidRPr="00F41885">
        <w:rPr>
          <w:rFonts w:ascii="Times New Roman" w:hAnsi="Times New Roman" w:cs="Times New Roman"/>
          <w:bCs/>
          <w:color w:val="000000"/>
          <w:sz w:val="22"/>
          <w:szCs w:val="22"/>
        </w:rPr>
        <w:t>(21), 11051–11061, doi:10.1002/2017GL074954.</w:t>
      </w:r>
    </w:p>
    <w:p w14:paraId="720B21D0" w14:textId="2FD39C93" w:rsidR="00CB09DD" w:rsidRDefault="00CB09DD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National Research Council (2015). </w:t>
      </w:r>
      <w:r w:rsidRPr="00EB31E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Arctic </w:t>
      </w:r>
      <w:r w:rsidR="00E9314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M</w:t>
      </w:r>
      <w:r w:rsidRPr="00EB31E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atters: The </w:t>
      </w:r>
      <w:r w:rsidR="00E9314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g</w:t>
      </w:r>
      <w:r w:rsidRPr="00EB31E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lobal </w:t>
      </w:r>
      <w:r w:rsidR="00E9314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</w:t>
      </w:r>
      <w:r w:rsidRPr="00EB31E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 xml:space="preserve">onnection to </w:t>
      </w:r>
      <w:r w:rsidR="00E93148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c</w:t>
      </w:r>
      <w:r w:rsidRPr="00EB31E2">
        <w:rPr>
          <w:rFonts w:ascii="Times New Roman" w:hAnsi="Times New Roman" w:cs="Times New Roman"/>
          <w:bCs/>
          <w:iCs/>
          <w:color w:val="000000"/>
          <w:sz w:val="22"/>
          <w:szCs w:val="22"/>
        </w:rPr>
        <w:t>hanges in the Arctic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. Washington, DC: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 xml:space="preserve"> The National Academies Press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. https://doi.org/10.17226/21717.</w:t>
      </w:r>
    </w:p>
    <w:p w14:paraId="3345A893" w14:textId="7DA98D14" w:rsidR="00EA04AC" w:rsidRPr="00EB31E2" w:rsidRDefault="00EA04AC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NSF Advisory Committee for Geosciences (2014). Dynamic Earth: GEO imperatives and frontiers 2015-2020. </w:t>
      </w:r>
      <w:r w:rsidRPr="00EA04AC">
        <w:rPr>
          <w:rFonts w:ascii="Times New Roman" w:hAnsi="Times New Roman" w:cs="Times New Roman"/>
          <w:bCs/>
          <w:color w:val="000000"/>
          <w:sz w:val="22"/>
          <w:szCs w:val="22"/>
        </w:rPr>
        <w:t>https://www.nsf.gov/geo/acgeo/geovision/nsf_acgeo_dynamic-earth-2015-20.pdf</w:t>
      </w:r>
      <w:r>
        <w:rPr>
          <w:rFonts w:ascii="Times New Roman" w:hAnsi="Times New Roman" w:cs="Times New Roman"/>
          <w:bCs/>
          <w:color w:val="000000"/>
          <w:sz w:val="22"/>
          <w:szCs w:val="22"/>
        </w:rPr>
        <w:t>.</w:t>
      </w:r>
    </w:p>
    <w:p w14:paraId="6932F099" w14:textId="74BD719A" w:rsidR="00722EE9" w:rsidRPr="00EB31E2" w:rsidRDefault="00722EE9" w:rsidP="00722EE9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Thrane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K. (2018). Uranium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p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otential in Greenland: An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u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pdate (IAEA-CN--261).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International Atomic Energy Agency (IAEA)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. https://inis.iaea.org/search/search.aspx?orig_q=RN:49097564</w:t>
      </w:r>
    </w:p>
    <w:p w14:paraId="4CB4A98E" w14:textId="7F1A1A92" w:rsidR="00CB09DD" w:rsidRPr="00EB31E2" w:rsidRDefault="00CB09DD" w:rsidP="00CB09DD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USARC (2017). Report on the Goals and Objectives for Arctic Research.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For the United States Arctic Research Program Plan – United States Arctic Research Commission.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hyperlink r:id="rId7" w:history="1">
        <w:r w:rsidRPr="00EB31E2">
          <w:rPr>
            <w:rStyle w:val="Hyperlink"/>
            <w:rFonts w:ascii="Times New Roman" w:hAnsi="Times New Roman" w:cs="Times New Roman"/>
            <w:bCs/>
            <w:color w:val="000000" w:themeColor="text1"/>
            <w:sz w:val="22"/>
            <w:szCs w:val="22"/>
            <w:u w:val="none"/>
          </w:rPr>
          <w:t>https://www.arctic.gov/reports_goals.html</w:t>
        </w:r>
      </w:hyperlink>
      <w:r w:rsidRPr="00EB31E2">
        <w:rPr>
          <w:rFonts w:ascii="Times New Roman" w:hAnsi="Times New Roman" w:cs="Times New Roman"/>
          <w:bCs/>
          <w:color w:val="000000" w:themeColor="text1"/>
          <w:sz w:val="22"/>
          <w:szCs w:val="22"/>
        </w:rPr>
        <w:t xml:space="preserve"> </w:t>
      </w:r>
    </w:p>
    <w:p w14:paraId="2CFD8B72" w14:textId="19250979" w:rsidR="00787ADD" w:rsidRPr="00EA04AC" w:rsidRDefault="009C4C18" w:rsidP="00EA04AC">
      <w:pPr>
        <w:widowControl w:val="0"/>
        <w:overflowPunct w:val="0"/>
        <w:autoSpaceDE w:val="0"/>
        <w:autoSpaceDN w:val="0"/>
        <w:adjustRightInd w:val="0"/>
        <w:spacing w:before="120" w:line="240" w:lineRule="atLeast"/>
        <w:ind w:left="720" w:hanging="720"/>
        <w:textAlignment w:val="baseline"/>
        <w:rPr>
          <w:rFonts w:ascii="Times New Roman" w:hAnsi="Times New Roman" w:cs="Times New Roman"/>
          <w:bCs/>
          <w:color w:val="000000"/>
          <w:sz w:val="22"/>
          <w:szCs w:val="22"/>
        </w:rPr>
      </w:pP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Wyngaard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J.,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H.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Lynch,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J.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proofErr w:type="spellStart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Nabrzyski</w:t>
      </w:r>
      <w:proofErr w:type="spellEnd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Pope, 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>and S.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Jha</w:t>
      </w:r>
      <w:r w:rsidR="00C207B3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 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(2017). Hacking </w:t>
      </w:r>
      <w:bookmarkStart w:id="0" w:name="_GoBack"/>
      <w:bookmarkEnd w:id="0"/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at the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d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ivide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b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etween Polar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s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cience and HPC: Using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h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ackathons as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t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raining </w:t>
      </w:r>
      <w:r w:rsidR="00E93148">
        <w:rPr>
          <w:rFonts w:ascii="Times New Roman" w:hAnsi="Times New Roman" w:cs="Times New Roman"/>
          <w:bCs/>
          <w:color w:val="000000"/>
          <w:sz w:val="22"/>
          <w:szCs w:val="22"/>
        </w:rPr>
        <w:t>t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 xml:space="preserve">ools. </w:t>
      </w:r>
      <w:r w:rsidRPr="00EB31E2">
        <w:rPr>
          <w:rFonts w:ascii="Times New Roman" w:hAnsi="Times New Roman" w:cs="Times New Roman"/>
          <w:bCs/>
          <w:i/>
          <w:color w:val="000000"/>
          <w:sz w:val="22"/>
          <w:szCs w:val="22"/>
        </w:rPr>
        <w:t>IEEE International Parallel and Distributed Processing Symposium Workshops</w:t>
      </w:r>
      <w:r w:rsidRPr="00EB31E2">
        <w:rPr>
          <w:rFonts w:ascii="Times New Roman" w:hAnsi="Times New Roman" w:cs="Times New Roman"/>
          <w:bCs/>
          <w:color w:val="000000"/>
          <w:sz w:val="22"/>
          <w:szCs w:val="22"/>
        </w:rPr>
        <w:t>. https://doi.org/10.1109/ipdpsw.2017.177</w:t>
      </w:r>
      <w:r w:rsidR="00844549" w:rsidRPr="00EB31E2">
        <w:rPr>
          <w:rFonts w:ascii="Times New Roman" w:hAnsi="Times New Roman" w:cs="Times New Roman"/>
          <w:color w:val="000000" w:themeColor="text1"/>
          <w:sz w:val="22"/>
          <w:szCs w:val="22"/>
          <w:lang w:val="en"/>
        </w:rPr>
        <w:t xml:space="preserve"> </w:t>
      </w:r>
    </w:p>
    <w:sectPr w:rsidR="00787ADD" w:rsidRPr="00EA04AC" w:rsidSect="00EB14CD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4AB95" w14:textId="77777777" w:rsidR="00353428" w:rsidRDefault="00353428" w:rsidP="0014398F">
      <w:r>
        <w:separator/>
      </w:r>
    </w:p>
  </w:endnote>
  <w:endnote w:type="continuationSeparator" w:id="0">
    <w:p w14:paraId="36A2AEB7" w14:textId="77777777" w:rsidR="00353428" w:rsidRDefault="00353428" w:rsidP="0014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7640906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8568500" w14:textId="1AC09339" w:rsidR="0014398F" w:rsidRDefault="0014398F" w:rsidP="00F324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E2FBC46" w14:textId="77777777" w:rsidR="0014398F" w:rsidRDefault="0014398F" w:rsidP="001439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8503782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036B7E0" w14:textId="072EDD54" w:rsidR="0014398F" w:rsidRDefault="0014398F" w:rsidP="00F3241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30ACBBC" w14:textId="77777777" w:rsidR="0014398F" w:rsidRDefault="0014398F" w:rsidP="0014398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A0B86" w14:textId="77777777" w:rsidR="00353428" w:rsidRDefault="00353428" w:rsidP="0014398F">
      <w:r>
        <w:separator/>
      </w:r>
    </w:p>
  </w:footnote>
  <w:footnote w:type="continuationSeparator" w:id="0">
    <w:p w14:paraId="3EDFBF03" w14:textId="77777777" w:rsidR="00353428" w:rsidRDefault="00353428" w:rsidP="00143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47F"/>
    <w:rsid w:val="00012D38"/>
    <w:rsid w:val="0014398F"/>
    <w:rsid w:val="00353428"/>
    <w:rsid w:val="006B3F11"/>
    <w:rsid w:val="00722EE9"/>
    <w:rsid w:val="00787ADD"/>
    <w:rsid w:val="00844549"/>
    <w:rsid w:val="008B7C3B"/>
    <w:rsid w:val="009740E2"/>
    <w:rsid w:val="009C4C18"/>
    <w:rsid w:val="009D26BA"/>
    <w:rsid w:val="00A7147F"/>
    <w:rsid w:val="00C207B3"/>
    <w:rsid w:val="00CB09DD"/>
    <w:rsid w:val="00CD5DD6"/>
    <w:rsid w:val="00D91BA8"/>
    <w:rsid w:val="00E93148"/>
    <w:rsid w:val="00EA04AC"/>
    <w:rsid w:val="00EB14CD"/>
    <w:rsid w:val="00EB31E2"/>
    <w:rsid w:val="00ED5F5B"/>
    <w:rsid w:val="00F03F66"/>
    <w:rsid w:val="00F4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F11AEC"/>
  <w15:chartTrackingRefBased/>
  <w15:docId w15:val="{22051609-689C-A343-A9EB-A7C345111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09D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A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7AD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B09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er">
    <w:name w:val="footer"/>
    <w:basedOn w:val="Normal"/>
    <w:link w:val="FooterChar"/>
    <w:uiPriority w:val="99"/>
    <w:unhideWhenUsed/>
    <w:rsid w:val="001439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398F"/>
  </w:style>
  <w:style w:type="character" w:styleId="PageNumber">
    <w:name w:val="page number"/>
    <w:basedOn w:val="DefaultParagraphFont"/>
    <w:uiPriority w:val="99"/>
    <w:semiHidden/>
    <w:unhideWhenUsed/>
    <w:rsid w:val="001439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840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16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4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19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36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787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08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735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287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6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59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0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5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0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19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6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2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8789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5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0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3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7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arctic.gov/reports_goal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arp.iasc.info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Twila Moon</dc:creator>
  <cp:keywords/>
  <dc:description/>
  <cp:lastModifiedBy>Twila Moon</cp:lastModifiedBy>
  <cp:revision>17</cp:revision>
  <dcterms:created xsi:type="dcterms:W3CDTF">2019-01-31T20:44:00Z</dcterms:created>
  <dcterms:modified xsi:type="dcterms:W3CDTF">2019-03-04T16:34:00Z</dcterms:modified>
</cp:coreProperties>
</file>