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0" w:before="0"/>
            </w:pPr>
            <w:r>
              <w:t xml:space="preserve"/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VISORE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D4AF37"/>
                <w:sz w:val="32"/>
                <w:szCs w:val="32"/>
              </w:rPr>
              <w:t xml:space="preserve">Gestão Financeira Inteligente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D4AF37"/>
                <w:sz w:val="22"/>
                <w:szCs w:val="22"/>
              </w:rPr>
              <w:t xml:space="preserve">━━━━━━━━━━━━━━━━━━━━━━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MANUAL DO USUÁRIO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A0B0C8"/>
                <w:sz w:val="22"/>
                <w:szCs w:val="22"/>
              </w:rPr>
              <w:t xml:space="preserve">Guia Completo de Uso e Orientação de Funcionalidades</w:t>
            </w:r>
          </w:p>
          <w:p>
            <w:pPr>
              <w:spacing w:after="300" w:before="0"/>
            </w:pPr>
            <w:r>
              <w:t xml:space="preserve"/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color w:val="A0B0C8"/>
                <w:sz w:val="20"/>
                <w:szCs w:val="20"/>
              </w:rPr>
              <w:t xml:space="preserve">Versão 1.0  |  Abril 2026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color w:val="A0B0C8"/>
                <w:sz w:val="20"/>
                <w:szCs w:val="20"/>
              </w:rPr>
              <w:t xml:space="preserve">Gestão Financeira Inteligente para Empresas Brasileiras</w:t>
            </w:r>
          </w:p>
          <w:p>
            <w:pPr>
              <w:spacing w:after="200" w:before="0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F37" w:sz="8"/>
        </w:pBdr>
        <w:shd w:fill="00285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ÍNDICE</w:t>
      </w:r>
    </w:p>
    <w:tbl>
      <w:tblPr>
        <w:tblW w:type="dxa" w:w="9360"/>
        <w:tblBorders>
          <w:top w:val="none"/>
          <w:left w:val="none"/>
          <w:bottom w:val="single" w:color="EEEEEE" w:sz="1"/>
          <w:right w:val="none"/>
          <w:insideH w:val="single" w:color="auto" w:sz="4"/>
          <w:insideV w:val="single" w:color="auto" w:sz="4"/>
        </w:tblBorders>
      </w:tblPr>
      <w:tblGrid>
        <w:gridCol w:w="540"/>
        <w:gridCol w:w="7920"/>
        <w:gridCol w:w="900"/>
      </w:tblGrid>
      <w:tr>
        <w:tc>
          <w:tcPr>
            <w:tcW w:type="dxa" w:w="5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1.</w:t>
            </w:r>
          </w:p>
        </w:tc>
        <w:tc>
          <w:tcPr>
            <w:tcW w:type="dxa" w:w="79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 que é o Visore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3</w:t>
            </w:r>
          </w:p>
        </w:tc>
      </w:tr>
    </w:tbl>
    <w:tbl>
      <w:tblPr>
        <w:tblW w:type="dxa" w:w="9360"/>
        <w:tblBorders>
          <w:top w:val="none"/>
          <w:left w:val="none"/>
          <w:bottom w:val="single" w:color="EEEEEE" w:sz="1"/>
          <w:right w:val="none"/>
          <w:insideH w:val="single" w:color="auto" w:sz="4"/>
          <w:insideV w:val="single" w:color="auto" w:sz="4"/>
        </w:tblBorders>
      </w:tblPr>
      <w:tblGrid>
        <w:gridCol w:w="540"/>
        <w:gridCol w:w="7920"/>
        <w:gridCol w:w="900"/>
      </w:tblGrid>
      <w:tr>
        <w:tc>
          <w:tcPr>
            <w:tcW w:type="dxa" w:w="5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2.</w:t>
            </w:r>
          </w:p>
        </w:tc>
        <w:tc>
          <w:tcPr>
            <w:tcW w:type="dxa" w:w="79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Por onde começar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4</w:t>
            </w:r>
          </w:p>
        </w:tc>
      </w:tr>
    </w:tbl>
    <w:tbl>
      <w:tblPr>
        <w:tblW w:type="dxa" w:w="9360"/>
        <w:tblBorders>
          <w:top w:val="none"/>
          <w:left w:val="none"/>
          <w:bottom w:val="single" w:color="EEEEEE" w:sz="1"/>
          <w:right w:val="none"/>
          <w:insideH w:val="single" w:color="auto" w:sz="4"/>
          <w:insideV w:val="single" w:color="auto" w:sz="4"/>
        </w:tblBorders>
      </w:tblPr>
      <w:tblGrid>
        <w:gridCol w:w="540"/>
        <w:gridCol w:w="7920"/>
        <w:gridCol w:w="900"/>
      </w:tblGrid>
      <w:tr>
        <w:tc>
          <w:tcPr>
            <w:tcW w:type="dxa" w:w="5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3.</w:t>
            </w:r>
          </w:p>
        </w:tc>
        <w:tc>
          <w:tcPr>
            <w:tcW w:type="dxa" w:w="79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Visão geral — estrutura do app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5</w:t>
            </w:r>
          </w:p>
        </w:tc>
      </w:tr>
    </w:tbl>
    <w:tbl>
      <w:tblPr>
        <w:tblW w:type="dxa" w:w="9360"/>
        <w:tblBorders>
          <w:top w:val="none"/>
          <w:left w:val="none"/>
          <w:bottom w:val="single" w:color="EEEEEE" w:sz="1"/>
          <w:right w:val="none"/>
          <w:insideH w:val="single" w:color="auto" w:sz="4"/>
          <w:insideV w:val="single" w:color="auto" w:sz="4"/>
        </w:tblBorders>
      </w:tblPr>
      <w:tblGrid>
        <w:gridCol w:w="540"/>
        <w:gridCol w:w="7920"/>
        <w:gridCol w:w="900"/>
      </w:tblGrid>
      <w:tr>
        <w:tc>
          <w:tcPr>
            <w:tcW w:type="dxa" w:w="5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4.</w:t>
            </w:r>
          </w:p>
        </w:tc>
        <w:tc>
          <w:tcPr>
            <w:tcW w:type="dxa" w:w="79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Módulo: Dashboard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6</w:t>
            </w:r>
          </w:p>
        </w:tc>
      </w:tr>
    </w:tbl>
    <w:tbl>
      <w:tblPr>
        <w:tblW w:type="dxa" w:w="9360"/>
        <w:tblBorders>
          <w:top w:val="none"/>
          <w:left w:val="none"/>
          <w:bottom w:val="single" w:color="EEEEEE" w:sz="1"/>
          <w:right w:val="none"/>
          <w:insideH w:val="single" w:color="auto" w:sz="4"/>
          <w:insideV w:val="single" w:color="auto" w:sz="4"/>
        </w:tblBorders>
      </w:tblPr>
      <w:tblGrid>
        <w:gridCol w:w="540"/>
        <w:gridCol w:w="7920"/>
        <w:gridCol w:w="900"/>
      </w:tblGrid>
      <w:tr>
        <w:tc>
          <w:tcPr>
            <w:tcW w:type="dxa" w:w="5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5.</w:t>
            </w:r>
          </w:p>
        </w:tc>
        <w:tc>
          <w:tcPr>
            <w:tcW w:type="dxa" w:w="79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Módulo: Lançamentos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7</w:t>
            </w:r>
          </w:p>
        </w:tc>
      </w:tr>
    </w:tbl>
    <w:tbl>
      <w:tblPr>
        <w:tblW w:type="dxa" w:w="9360"/>
        <w:tblBorders>
          <w:top w:val="none"/>
          <w:left w:val="none"/>
          <w:bottom w:val="single" w:color="EEEEEE" w:sz="1"/>
          <w:right w:val="none"/>
          <w:insideH w:val="single" w:color="auto" w:sz="4"/>
          <w:insideV w:val="single" w:color="auto" w:sz="4"/>
        </w:tblBorders>
      </w:tblPr>
      <w:tblGrid>
        <w:gridCol w:w="540"/>
        <w:gridCol w:w="7920"/>
        <w:gridCol w:w="900"/>
      </w:tblGrid>
      <w:tr>
        <w:tc>
          <w:tcPr>
            <w:tcW w:type="dxa" w:w="5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6.</w:t>
            </w:r>
          </w:p>
        </w:tc>
        <w:tc>
          <w:tcPr>
            <w:tcW w:type="dxa" w:w="79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Módulo: Contas a Pagar / Receber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9</w:t>
            </w:r>
          </w:p>
        </w:tc>
      </w:tr>
    </w:tbl>
    <w:tbl>
      <w:tblPr>
        <w:tblW w:type="dxa" w:w="9360"/>
        <w:tblBorders>
          <w:top w:val="none"/>
          <w:left w:val="none"/>
          <w:bottom w:val="single" w:color="EEEEEE" w:sz="1"/>
          <w:right w:val="none"/>
          <w:insideH w:val="single" w:color="auto" w:sz="4"/>
          <w:insideV w:val="single" w:color="auto" w:sz="4"/>
        </w:tblBorders>
      </w:tblPr>
      <w:tblGrid>
        <w:gridCol w:w="540"/>
        <w:gridCol w:w="7920"/>
        <w:gridCol w:w="900"/>
      </w:tblGrid>
      <w:tr>
        <w:tc>
          <w:tcPr>
            <w:tcW w:type="dxa" w:w="5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7.</w:t>
            </w:r>
          </w:p>
        </w:tc>
        <w:tc>
          <w:tcPr>
            <w:tcW w:type="dxa" w:w="79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Módulo: Conciliação Bancária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11</w:t>
            </w:r>
          </w:p>
        </w:tc>
      </w:tr>
    </w:tbl>
    <w:tbl>
      <w:tblPr>
        <w:tblW w:type="dxa" w:w="9360"/>
        <w:tblBorders>
          <w:top w:val="none"/>
          <w:left w:val="none"/>
          <w:bottom w:val="single" w:color="EEEEEE" w:sz="1"/>
          <w:right w:val="none"/>
          <w:insideH w:val="single" w:color="auto" w:sz="4"/>
          <w:insideV w:val="single" w:color="auto" w:sz="4"/>
        </w:tblBorders>
      </w:tblPr>
      <w:tblGrid>
        <w:gridCol w:w="540"/>
        <w:gridCol w:w="7920"/>
        <w:gridCol w:w="900"/>
      </w:tblGrid>
      <w:tr>
        <w:tc>
          <w:tcPr>
            <w:tcW w:type="dxa" w:w="5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8.</w:t>
            </w:r>
          </w:p>
        </w:tc>
        <w:tc>
          <w:tcPr>
            <w:tcW w:type="dxa" w:w="79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Módulo: Fluxo de Caixa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12</w:t>
            </w:r>
          </w:p>
        </w:tc>
      </w:tr>
    </w:tbl>
    <w:tbl>
      <w:tblPr>
        <w:tblW w:type="dxa" w:w="9360"/>
        <w:tblBorders>
          <w:top w:val="none"/>
          <w:left w:val="none"/>
          <w:bottom w:val="single" w:color="EEEEEE" w:sz="1"/>
          <w:right w:val="none"/>
          <w:insideH w:val="single" w:color="auto" w:sz="4"/>
          <w:insideV w:val="single" w:color="auto" w:sz="4"/>
        </w:tblBorders>
      </w:tblPr>
      <w:tblGrid>
        <w:gridCol w:w="540"/>
        <w:gridCol w:w="7920"/>
        <w:gridCol w:w="900"/>
      </w:tblGrid>
      <w:tr>
        <w:tc>
          <w:tcPr>
            <w:tcW w:type="dxa" w:w="5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9.</w:t>
            </w:r>
          </w:p>
        </w:tc>
        <w:tc>
          <w:tcPr>
            <w:tcW w:type="dxa" w:w="79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Módulo: DRE — Demonstração de Resultado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13</w:t>
            </w:r>
          </w:p>
        </w:tc>
      </w:tr>
    </w:tbl>
    <w:tbl>
      <w:tblPr>
        <w:tblW w:type="dxa" w:w="9360"/>
        <w:tblBorders>
          <w:top w:val="none"/>
          <w:left w:val="none"/>
          <w:bottom w:val="single" w:color="EEEEEE" w:sz="1"/>
          <w:right w:val="none"/>
          <w:insideH w:val="single" w:color="auto" w:sz="4"/>
          <w:insideV w:val="single" w:color="auto" w:sz="4"/>
        </w:tblBorders>
      </w:tblPr>
      <w:tblGrid>
        <w:gridCol w:w="540"/>
        <w:gridCol w:w="7920"/>
        <w:gridCol w:w="900"/>
      </w:tblGrid>
      <w:tr>
        <w:tc>
          <w:tcPr>
            <w:tcW w:type="dxa" w:w="5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10.</w:t>
            </w:r>
          </w:p>
        </w:tc>
        <w:tc>
          <w:tcPr>
            <w:tcW w:type="dxa" w:w="79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Módulo: Indicadores Operacionais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14</w:t>
            </w:r>
          </w:p>
        </w:tc>
      </w:tr>
    </w:tbl>
    <w:tbl>
      <w:tblPr>
        <w:tblW w:type="dxa" w:w="9360"/>
        <w:tblBorders>
          <w:top w:val="none"/>
          <w:left w:val="none"/>
          <w:bottom w:val="single" w:color="EEEEEE" w:sz="1"/>
          <w:right w:val="none"/>
          <w:insideH w:val="single" w:color="auto" w:sz="4"/>
          <w:insideV w:val="single" w:color="auto" w:sz="4"/>
        </w:tblBorders>
      </w:tblPr>
      <w:tblGrid>
        <w:gridCol w:w="540"/>
        <w:gridCol w:w="7920"/>
        <w:gridCol w:w="900"/>
      </w:tblGrid>
      <w:tr>
        <w:tc>
          <w:tcPr>
            <w:tcW w:type="dxa" w:w="5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11.</w:t>
            </w:r>
          </w:p>
        </w:tc>
        <w:tc>
          <w:tcPr>
            <w:tcW w:type="dxa" w:w="79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Módulo: Plano de Contas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15</w:t>
            </w:r>
          </w:p>
        </w:tc>
      </w:tr>
    </w:tbl>
    <w:tbl>
      <w:tblPr>
        <w:tblW w:type="dxa" w:w="9360"/>
        <w:tblBorders>
          <w:top w:val="none"/>
          <w:left w:val="none"/>
          <w:bottom w:val="single" w:color="EEEEEE" w:sz="1"/>
          <w:right w:val="none"/>
          <w:insideH w:val="single" w:color="auto" w:sz="4"/>
          <w:insideV w:val="single" w:color="auto" w:sz="4"/>
        </w:tblBorders>
      </w:tblPr>
      <w:tblGrid>
        <w:gridCol w:w="540"/>
        <w:gridCol w:w="7920"/>
        <w:gridCol w:w="900"/>
      </w:tblGrid>
      <w:tr>
        <w:tc>
          <w:tcPr>
            <w:tcW w:type="dxa" w:w="5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12.</w:t>
            </w:r>
          </w:p>
        </w:tc>
        <w:tc>
          <w:tcPr>
            <w:tcW w:type="dxa" w:w="79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Módulo: Simulador Tributário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16</w:t>
            </w:r>
          </w:p>
        </w:tc>
      </w:tr>
    </w:tbl>
    <w:tbl>
      <w:tblPr>
        <w:tblW w:type="dxa" w:w="9360"/>
        <w:tblBorders>
          <w:top w:val="none"/>
          <w:left w:val="none"/>
          <w:bottom w:val="single" w:color="EEEEEE" w:sz="1"/>
          <w:right w:val="none"/>
          <w:insideH w:val="single" w:color="auto" w:sz="4"/>
          <w:insideV w:val="single" w:color="auto" w:sz="4"/>
        </w:tblBorders>
      </w:tblPr>
      <w:tblGrid>
        <w:gridCol w:w="540"/>
        <w:gridCol w:w="7920"/>
        <w:gridCol w:w="900"/>
      </w:tblGrid>
      <w:tr>
        <w:tc>
          <w:tcPr>
            <w:tcW w:type="dxa" w:w="5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13.</w:t>
            </w:r>
          </w:p>
        </w:tc>
        <w:tc>
          <w:tcPr>
            <w:tcW w:type="dxa" w:w="79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Módulo: Análise Histórica — Balanço &amp; DRE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17</w:t>
            </w:r>
          </w:p>
        </w:tc>
      </w:tr>
    </w:tbl>
    <w:tbl>
      <w:tblPr>
        <w:tblW w:type="dxa" w:w="9360"/>
        <w:tblBorders>
          <w:top w:val="none"/>
          <w:left w:val="none"/>
          <w:bottom w:val="single" w:color="EEEEEE" w:sz="1"/>
          <w:right w:val="none"/>
          <w:insideH w:val="single" w:color="auto" w:sz="4"/>
          <w:insideV w:val="single" w:color="auto" w:sz="4"/>
        </w:tblBorders>
      </w:tblPr>
      <w:tblGrid>
        <w:gridCol w:w="540"/>
        <w:gridCol w:w="7920"/>
        <w:gridCol w:w="900"/>
      </w:tblGrid>
      <w:tr>
        <w:tc>
          <w:tcPr>
            <w:tcW w:type="dxa" w:w="5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14.</w:t>
            </w:r>
          </w:p>
        </w:tc>
        <w:tc>
          <w:tcPr>
            <w:tcW w:type="dxa" w:w="79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Módulo: Indicadores Históricos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18</w:t>
            </w:r>
          </w:p>
        </w:tc>
      </w:tr>
    </w:tbl>
    <w:tbl>
      <w:tblPr>
        <w:tblW w:type="dxa" w:w="9360"/>
        <w:tblBorders>
          <w:top w:val="none"/>
          <w:left w:val="none"/>
          <w:bottom w:val="single" w:color="EEEEEE" w:sz="1"/>
          <w:right w:val="none"/>
          <w:insideH w:val="single" w:color="auto" w:sz="4"/>
          <w:insideV w:val="single" w:color="auto" w:sz="4"/>
        </w:tblBorders>
      </w:tblPr>
      <w:tblGrid>
        <w:gridCol w:w="540"/>
        <w:gridCol w:w="7920"/>
        <w:gridCol w:w="900"/>
      </w:tblGrid>
      <w:tr>
        <w:tc>
          <w:tcPr>
            <w:tcW w:type="dxa" w:w="5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15.</w:t>
            </w:r>
          </w:p>
        </w:tc>
        <w:tc>
          <w:tcPr>
            <w:tcW w:type="dxa" w:w="79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Módulo: Relatório Executivo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19</w:t>
            </w:r>
          </w:p>
        </w:tc>
      </w:tr>
    </w:tbl>
    <w:tbl>
      <w:tblPr>
        <w:tblW w:type="dxa" w:w="9360"/>
        <w:tblBorders>
          <w:top w:val="none"/>
          <w:left w:val="none"/>
          <w:bottom w:val="single" w:color="EEEEEE" w:sz="1"/>
          <w:right w:val="none"/>
          <w:insideH w:val="single" w:color="auto" w:sz="4"/>
          <w:insideV w:val="single" w:color="auto" w:sz="4"/>
        </w:tblBorders>
      </w:tblPr>
      <w:tblGrid>
        <w:gridCol w:w="540"/>
        <w:gridCol w:w="7920"/>
        <w:gridCol w:w="900"/>
      </w:tblGrid>
      <w:tr>
        <w:tc>
          <w:tcPr>
            <w:tcW w:type="dxa" w:w="5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16.</w:t>
            </w:r>
          </w:p>
        </w:tc>
        <w:tc>
          <w:tcPr>
            <w:tcW w:type="dxa" w:w="79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Módulo: Multi-Empresas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21</w:t>
            </w:r>
          </w:p>
        </w:tc>
      </w:tr>
    </w:tbl>
    <w:tbl>
      <w:tblPr>
        <w:tblW w:type="dxa" w:w="9360"/>
        <w:tblBorders>
          <w:top w:val="none"/>
          <w:left w:val="none"/>
          <w:bottom w:val="single" w:color="EEEEEE" w:sz="1"/>
          <w:right w:val="none"/>
          <w:insideH w:val="single" w:color="auto" w:sz="4"/>
          <w:insideV w:val="single" w:color="auto" w:sz="4"/>
        </w:tblBorders>
      </w:tblPr>
      <w:tblGrid>
        <w:gridCol w:w="540"/>
        <w:gridCol w:w="7920"/>
        <w:gridCol w:w="900"/>
      </w:tblGrid>
      <w:tr>
        <w:tc>
          <w:tcPr>
            <w:tcW w:type="dxa" w:w="5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17.</w:t>
            </w:r>
          </w:p>
        </w:tc>
        <w:tc>
          <w:tcPr>
            <w:tcW w:type="dxa" w:w="79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Fluxo de trabalho do consultor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22</w:t>
            </w:r>
          </w:p>
        </w:tc>
      </w:tr>
    </w:tbl>
    <w:tbl>
      <w:tblPr>
        <w:tblW w:type="dxa" w:w="9360"/>
        <w:tblBorders>
          <w:top w:val="none"/>
          <w:left w:val="none"/>
          <w:bottom w:val="single" w:color="EEEEEE" w:sz="1"/>
          <w:right w:val="none"/>
          <w:insideH w:val="single" w:color="auto" w:sz="4"/>
          <w:insideV w:val="single" w:color="auto" w:sz="4"/>
        </w:tblBorders>
      </w:tblPr>
      <w:tblGrid>
        <w:gridCol w:w="540"/>
        <w:gridCol w:w="7920"/>
        <w:gridCol w:w="900"/>
      </w:tblGrid>
      <w:tr>
        <w:tc>
          <w:tcPr>
            <w:tcW w:type="dxa" w:w="5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18.</w:t>
            </w:r>
          </w:p>
        </w:tc>
        <w:tc>
          <w:tcPr>
            <w:tcW w:type="dxa" w:w="79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Quando usar cada módulo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23</w:t>
            </w:r>
          </w:p>
        </w:tc>
      </w:tr>
    </w:tbl>
    <w:tbl>
      <w:tblPr>
        <w:tblW w:type="dxa" w:w="9360"/>
        <w:tblBorders>
          <w:top w:val="none"/>
          <w:left w:val="none"/>
          <w:bottom w:val="single" w:color="EEEEEE" w:sz="1"/>
          <w:right w:val="none"/>
          <w:insideH w:val="single" w:color="auto" w:sz="4"/>
          <w:insideV w:val="single" w:color="auto" w:sz="4"/>
        </w:tblBorders>
      </w:tblPr>
      <w:tblGrid>
        <w:gridCol w:w="540"/>
        <w:gridCol w:w="7920"/>
        <w:gridCol w:w="900"/>
      </w:tblGrid>
      <w:tr>
        <w:tc>
          <w:tcPr>
            <w:tcW w:type="dxa" w:w="5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19.</w:t>
            </w:r>
          </w:p>
        </w:tc>
        <w:tc>
          <w:tcPr>
            <w:tcW w:type="dxa" w:w="79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Dicas e boas práticas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24</w:t>
            </w:r>
          </w:p>
        </w:tc>
      </w:tr>
    </w:tbl>
    <w:tbl>
      <w:tblPr>
        <w:tblW w:type="dxa" w:w="9360"/>
        <w:tblBorders>
          <w:top w:val="none"/>
          <w:left w:val="none"/>
          <w:bottom w:val="single" w:color="EEEEEE" w:sz="1"/>
          <w:right w:val="none"/>
          <w:insideH w:val="single" w:color="auto" w:sz="4"/>
          <w:insideV w:val="single" w:color="auto" w:sz="4"/>
        </w:tblBorders>
      </w:tblPr>
      <w:tblGrid>
        <w:gridCol w:w="540"/>
        <w:gridCol w:w="7920"/>
        <w:gridCol w:w="900"/>
      </w:tblGrid>
      <w:tr>
        <w:tc>
          <w:tcPr>
            <w:tcW w:type="dxa" w:w="5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20.</w:t>
            </w:r>
          </w:p>
        </w:tc>
        <w:tc>
          <w:tcPr>
            <w:tcW w:type="dxa" w:w="79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Glossário financeiro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25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F37" w:sz="8"/>
        </w:pBdr>
        <w:shd w:fill="00285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O QUE É O VISORE</w:t>
      </w:r>
    </w:p>
    <w:p>
      <w:pPr>
        <w:spacing w:after="10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Visore é uma plataforma de gestão financeira inteligente desenvolvida para pequenas e médias empresas brasileiras e para consultores financeiros que atendem esse público.</w:t>
      </w:r>
    </w:p>
    <w:p>
      <w:pPr>
        <w:spacing w:after="10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nome vem do italiano visore — aquele que enxerga, o instrumento de visão. A filosofia por trás do produto é simples: não basta ter dados financeiros; é preciso enxergar o que eles significam e agir com base neles.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Para quem é o Visore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36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Gestor Responsável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o Visore como ferramenta de trabalho nas consultorias. Você alimenta os dados, gera o relatório executivo e apresenta ao empresário.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Dono de PME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diretamente para controlar o dia a dia financeiro: lançamentos, contas a pagar, fluxo de caixa e DRE.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Controller interno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para análise histórica, conciliação bancária e simulação tributária.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O que o Visore entrega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DRE gerencial completa com regime de Competência e Caixa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EBITDA calculado automaticamente em todos os módulos relevantes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Importação de extratos bancários por Inteligência Artificial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Análise histórica comparativa com dados do contador (multi-ano)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Relatório Executivo profissional — Dia a Dia, Histórico e Comparativo Multi-Ano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Simulador tributário: Simples Nacional × Lucro Presumido × Lucro Real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Contas a Pagar/Receber com projeção de caixa para 60 dias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Conciliação bancária com confronto de saldos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Gestão de múltiplas empresas em um único app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Plano de contas específico para 8 segmentos de mercado</w:t>
      </w:r>
    </w:p>
    <w:p>
      <w:r>
        <w:br w:type="page"/>
      </w:r>
    </w:p>
    <w:p>
      <w:pPr>
        <w:pStyle w:val="Heading1"/>
        <w:pBdr>
          <w:bottom w:val="single" w:color="D4AF37" w:sz="8"/>
        </w:pBdr>
        <w:shd w:fill="00285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POR ONDE COMEÇAR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0CC" w:sz="4"/>
              <w:left w:val="single" w:color="0070CC" w:sz="4"/>
              <w:bottom w:val="single" w:color="0070CC" w:sz="4"/>
              <w:right w:val="single" w:color="0070CC" w:sz="4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70CC"/>
                <w:sz w:val="22"/>
                <w:szCs w:val="22"/>
              </w:rPr>
              <w:t xml:space="preserve">🚀  Primeira vez usando o Visore?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Siga este roteiro na ordem indicada. Ele foi desenhado para que você tenha valor nas primeiras 2 horas de uso.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Roteiro de onboarding — Passo a passo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Acesse o Visore pelo link fornecido pelo seu consultor ou diretamente via navegador no celular ou computador.</w:t>
            </w:r>
          </w:p>
        </w:tc>
      </w:tr>
      <w:tr>
        <w:tc>
          <w:tcPr>
            <w:tcW w:type="dxa" w:w="72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Cadastre a empresa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Clique em "Empresas" no topo da sidebar → "+ Nova Empresa". Preencha: nome, CNPJ, segmento e regime tributário. Esses dados aparecem automaticamente no Relatório Executivo.</w:t>
            </w:r>
          </w:p>
        </w:tc>
      </w:tr>
      <w:tr>
        <w:tc>
          <w:tcPr>
            <w:tcW w:type="dxa" w:w="72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Importe os primeiros lançamentos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Vá em Lançamentos → Importar com IA. Baixe o extrato bancário no formato OFX ou CSV no app do seu banco. Suba o arquivo e aguarde a IA categorizar os lançamentos. Revise e confirme.</w:t>
            </w:r>
          </w:p>
        </w:tc>
      </w:tr>
      <w:tr>
        <w:tc>
          <w:tcPr>
            <w:tcW w:type="dxa" w:w="72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Ou lance manualmente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 não tiver extrato disponível, use o modo Manual em Lançamentos. Preencha: data, descrição, categoria, tipo (entrada/saída) e valor.</w:t>
            </w:r>
          </w:p>
        </w:tc>
      </w:tr>
      <w:tr>
        <w:tc>
          <w:tcPr>
            <w:tcW w:type="dxa" w:w="72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Verifique o Dashboard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 os primeiros lançamentos, o Dashboard já mostra: Receita, EBITDA, Despesas, Saldo e Margem Líquida do período selecionado. O gráfico de Receitas × Despesas é gerado automaticamente.</w:t>
            </w:r>
          </w:p>
        </w:tc>
      </w:tr>
      <w:tr>
        <w:tc>
          <w:tcPr>
            <w:tcW w:type="dxa" w:w="72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Gere o primeiro Relatório Executivo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Vá em Relatório Executivo (Bloco 4). Selecione "Dia a Dia". Clique em "Atualizar com dados do sistema" e em seguida "Imprimir / PDF" para salvar ou compartilhar.</w:t>
            </w:r>
          </w:p>
        </w:tc>
      </w:tr>
      <w:tr>
        <w:tc>
          <w:tcPr>
            <w:tcW w:type="dxa" w:w="72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Insira dados históricos (quando disponível)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Vá em Análise Histórica → Balanço &amp; DRE. Insira os dados do contador dos anos anteriores. Isso habilita o Relatório Comparativo Multi-Ano — a ferramenta mais poderosa para reuniões com o empresário.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F37" w:sz="8"/>
        </w:pBdr>
        <w:shd w:fill="00285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VISÃO GERAL — ESTRUTURA DO APP</w:t>
      </w:r>
    </w:p>
    <w:p>
      <w:pPr>
        <w:spacing w:after="10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Visore é organizado em 4 blocos temáticos na sidebar (menu lateral), mais o Dashboard e a gestão de Empresas no topo.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Bloco</w:t>
            </w:r>
          </w:p>
        </w:tc>
        <w:tc>
          <w:tcPr>
            <w:tcW w:type="dxa" w:w="300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Módulos</w:t>
            </w:r>
          </w:p>
        </w:tc>
        <w:tc>
          <w:tcPr>
            <w:tcW w:type="dxa" w:w="416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que serve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Home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Dashboard + Empresas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Visão geral do período e gestão da carteira de clientes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Bloco 1 — Dia a Dia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Lançamentos, Contas a P/R, Conciliação, Fluxo de Caixa, DRE, Indicadores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Operação diária e mensal da empresa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Bloco 2 — Estrutura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Plano de Contas, Simulador Tributário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Referências e planejamento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Bloco 3 — Análise Histórica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Balanço &amp; DRE, Indicadores Históricos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Análise de múltiplos anos com dados do contador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Bloco 4 — Relatório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Relatório Executivo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Geração de relatório para reunião com o cliente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Barra de período global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topo do app há um seletor de ANO e MÊS. Ele filtra todos os módulos do Bloco 1 simultaneamente. Por padrão filtra pelo mês e ano atuais. Selecione "Todos" para ver o histórico completo de lançamentos.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D4AF37"/>
                <w:sz w:val="22"/>
                <w:szCs w:val="22"/>
              </w:rPr>
              <w:t xml:space="preserve">💡  Dica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Os dados são salvos automaticamente no navegador (localStorage). Sempre que você abrir o Visore, os dados do último acesso são restaurados automaticamente. Não é necessário fazer login.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F37" w:sz="8"/>
        </w:pBdr>
        <w:shd w:fill="00285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MÓDULO: DASHBOARD</w:t>
      </w:r>
    </w:p>
    <w:p>
      <w:pPr>
        <w:spacing w:after="10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Dashboard é a primeira tela do Visore. Ele oferece uma visão instantânea da saúde financeira da empresa no período selecionado.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KPIs do topo (5 indicadores)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36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Receita Total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Soma de todos os lançamentos de entrada no período. Subtítulo mostra a variação % vs. período anterior.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EBITDA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Resultado antes de juros, impostos e depreciação. Calculado a partir dos lançamentos categorizados. Cor verde = positivo.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Despesa Total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Soma de todas as saídas do período, com variação % vs. período anterior.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Saldo do Período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Receita menos Despesa. Verde = positivo, vermelho = negativo.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Margem Líquida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Saldo ÷ Receita × 100. Verde ≥ 10%, amarelo entre 0% e 10%, vermelho negativo.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Painel Executivo — Gráfico de barras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Card escuro mostrando Receitas (barras verdes) e Despesas (barras vermelhas) mês a mês. Hover sobre as barras mostra os valores exatos. O gráfico se atualiza automaticamente ao mudar o filtro de período.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Projeção do próximo mês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Barra azul escura que aparece quando há dados de pelo menos 2 meses. Mostra a receita projetada (média dos últimos 3 meses) e a tendência percentual vs. o mês atual.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Top Despesas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Lista das categorias de despesas mais relevantes do período, com barras proporcionais. Identifica rapidamente onde está concentrado o custo da empresa.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Últimos Lançamentos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Tabela com os lançamentos mais recentes. Clique em qualquer linha para editar o lançamento diretamente sem sair do Dashboard.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Contas — Próximos 30 dias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Resumo das contas a pagar e receber com vencimento nos próximos 30 dias. Alerta vermelho quando há contas vencidas. Botão "Ver todas" leva ao módulo completo.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7A45" w:sz="4"/>
              <w:left w:val="single" w:color="0E7A45" w:sz="4"/>
              <w:bottom w:val="single" w:color="0E7A45" w:sz="4"/>
              <w:right w:val="single" w:color="0E7A45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E7A45"/>
                <w:sz w:val="22"/>
                <w:szCs w:val="22"/>
              </w:rPr>
              <w:t xml:space="preserve">📌  Quando usar o Dashboard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o Dashboard toda vez que abrir o Visore. Ele dá o diagnóstico rápido do período. Se algo chamar atenção (margem baixa, despesa alta), navegue para o módulo específico para investigar.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F37" w:sz="8"/>
        </w:pBdr>
        <w:shd w:fill="00285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MÓDULO: LANÇAMENTOS</w:t>
      </w:r>
    </w:p>
    <w:p>
      <w:pPr>
        <w:spacing w:after="10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Central de entrada de dados do Visore. Todos os lançamentos — manuais ou importados por IA — alimentam os demais módulos: DRE, Fluxo de Caixa, Indicadores e Relatório Executivo.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Modo Manual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quando precisar registrar um lançamento específico sem ter o extrato disponível.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Selecione "Manual" na alternância de modo no topo do módulo.</w:t>
            </w:r>
          </w:p>
        </w:tc>
      </w:tr>
      <w:tr>
        <w:tc>
          <w:tcPr>
            <w:tcW w:type="dxa" w:w="72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Preencha: Data, Descrição, Categoria, Tipo (Entrada ou Saída), Centro de Custo, Forma de Pagamento e Valor.</w:t>
            </w:r>
          </w:p>
        </w:tc>
      </w:tr>
      <w:tr>
        <w:tc>
          <w:tcPr>
            <w:tcW w:type="dxa" w:w="72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Clique em "Salvar". O lançamento aparece na tabela e atualiza todos os módulos.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Campos importantes no lançamento manual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36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Data de Competência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Quando o fato econômico ocorreu (ex: data da compra, do serviço prestado). Usada na DRE de Competência.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Data de Caixa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Quando o dinheiro efetivamente saiu ou entrou. Usada na DRE de Caixa e na Conciliação Bancária.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Categoria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Define em qual linha da DRE o lançamento aparece. Escolha sempre a categoria mais específica possível.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Centro de Custo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Permite análise por departamento (Comercial, Operações, Financeiro, RH, Administrativo).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Modo Importação com IA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quando tiver o extrato bancário disponível. A IA lê o arquivo, extrai os lançamentos, classifica as categorias e separa competência de caixa automaticamente.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Selecione "Importar com IA" na alternância de modo.</w:t>
            </w:r>
          </w:p>
        </w:tc>
      </w:tr>
      <w:tr>
        <w:tc>
          <w:tcPr>
            <w:tcW w:type="dxa" w:w="72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Escolha o tipo de documento: Extrato Bancário, Fatura de Cartão, Planilha, Nota Fiscal ou Outro.</w:t>
            </w:r>
          </w:p>
        </w:tc>
      </w:tr>
      <w:tr>
        <w:tc>
          <w:tcPr>
            <w:tcW w:type="dxa" w:w="72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Clique em "Selecionar arquivo" e suba o PDF, Excel, CSV ou OFX do banco.</w:t>
            </w:r>
          </w:p>
        </w:tc>
      </w:tr>
      <w:tr>
        <w:tc>
          <w:tcPr>
            <w:tcW w:type="dxa" w:w="72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Aguarde a IA processar (5-30 segundos dependendo do tamanho do arquivo).</w:t>
            </w:r>
          </w:p>
        </w:tc>
      </w:tr>
      <w:tr>
        <w:tc>
          <w:tcPr>
            <w:tcW w:type="dxa" w:w="72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Revise os lançamentos na tabela de pré-visualização. Ajuste categorias se necessário.</w:t>
            </w:r>
          </w:p>
        </w:tc>
      </w:tr>
      <w:tr>
        <w:tc>
          <w:tcPr>
            <w:tcW w:type="dxa" w:w="72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Clique em "Confirmar importação". Os dados são mesclados com os existentes.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Como baixar o extrato em cada banco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Banco</w:t>
            </w:r>
          </w:p>
        </w:tc>
        <w:tc>
          <w:tcPr>
            <w:tcW w:type="dxa" w:w="180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516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Caminho no app/internet banking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Itaú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E7A45"/>
                <w:sz w:val="19"/>
                <w:szCs w:val="19"/>
              </w:rPr>
              <w:t xml:space="preserve">OFX / CSV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 Itaú → Extrato → Exportar → OFX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Bradesco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E7A45"/>
                <w:sz w:val="19"/>
                <w:szCs w:val="19"/>
              </w:rPr>
              <w:t xml:space="preserve">OFX / CSV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 Bradesco → Extrato → Baixar em OFX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Banco do Brasil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E7A45"/>
                <w:sz w:val="19"/>
                <w:szCs w:val="19"/>
              </w:rPr>
              <w:t xml:space="preserve">OFX / CSV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 BB → Extrato → Exportar → OFX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Santander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E7A45"/>
                <w:sz w:val="19"/>
                <w:szCs w:val="19"/>
              </w:rPr>
              <w:t xml:space="preserve">CSV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 Santander → Extrato → Exportar CSV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Caixa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E7A45"/>
                <w:sz w:val="19"/>
                <w:szCs w:val="19"/>
              </w:rPr>
              <w:t xml:space="preserve">CSV / PDF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Internet Banking CEF → Extrato → Exportar CSV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Nubank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E7A45"/>
                <w:sz w:val="19"/>
                <w:szCs w:val="19"/>
              </w:rPr>
              <w:t xml:space="preserve">CSV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 Nubank → Perfil → Extrato → Exportar CSV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E7A45"/>
                <w:sz w:val="19"/>
                <w:szCs w:val="19"/>
              </w:rPr>
              <w:t xml:space="preserve">OFX / CSV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 Inter → Extrato → Download → OFX ou CSV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C6 Bank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E7A45"/>
                <w:sz w:val="19"/>
                <w:szCs w:val="19"/>
              </w:rPr>
              <w:t xml:space="preserve">CSV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 C6 → Extrato → Exportar CSV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Sicoob/Sicredi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E7A45"/>
                <w:sz w:val="19"/>
                <w:szCs w:val="19"/>
              </w:rPr>
              <w:t xml:space="preserve">OFX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Internet Banking → Extrato → Exportar OFX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Edição de lançamentos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Clique em qualquer linha da tabela de lançamentos para expandir um formulário de edição inline. Altere data, descrição, categoria, tipo e valor sem sair da tela. Clique "Salvar" ou "Cancelar".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07800" w:sz="4"/>
              <w:left w:val="single" w:color="A07800" w:sz="4"/>
              <w:bottom w:val="single" w:color="A07800" w:sz="4"/>
              <w:right w:val="single" w:color="A07800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A07800"/>
                <w:sz w:val="22"/>
                <w:szCs w:val="22"/>
              </w:rPr>
              <w:t xml:space="preserve">⚠️  Atenção — Fatura de Cartão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Para faturas de cartão de crédito, a IA separa automaticamente: data de competência = data da compra, data de caixa = vencimento estimado da fatura. Isso garante que a DRE e o Fluxo de Caixa mostrem os valores nos momentos corretos.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F37" w:sz="8"/>
        </w:pBdr>
        <w:shd w:fill="00285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MÓDULO: CONTAS A PAGAR / RECEBER</w:t>
      </w:r>
    </w:p>
    <w:p>
      <w:pPr>
        <w:spacing w:after="10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Agenda financeira futura da empresa. Registre compromissos que ainda vão vencer e visualize a projeção do saldo de caixa para os próximos 60 dias.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KPIs do topo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36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Vence em 7 dias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de contas a pagar com vencimento nos próximos 7 dias. Alerta de urgência.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Vence em 30 dias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a pagar nos próximos 30 dias. Planejamento de capital de giro.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A Receber em 30d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a receber nos próximos 30 dias. Visão do fluxo futuro.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Saldo Projetado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Receber menos A Pagar nos próximos 30 dias. Verde = superávit, vermelho = déficit.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Como adicionar uma conta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Clique em "+ A Pagar" ou "+ A Receber" no canto superior direito.</w:t>
            </w:r>
          </w:p>
        </w:tc>
      </w:tr>
      <w:tr>
        <w:tc>
          <w:tcPr>
            <w:tcW w:type="dxa" w:w="72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Preencha: descrição, valor, data de vencimento, categoria e observação.</w:t>
            </w:r>
          </w:p>
        </w:tc>
      </w:tr>
      <w:tr>
        <w:tc>
          <w:tcPr>
            <w:tcW w:type="dxa" w:w="72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Escolha a recorrência: Única, Mensal (gera 6 parcelas automaticamente), Quinzenal ou Semanal.</w:t>
            </w:r>
          </w:p>
        </w:tc>
      </w:tr>
      <w:tr>
        <w:tc>
          <w:tcPr>
            <w:tcW w:type="dxa" w:w="72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Clique "Salvar". A conta aparece na lista e na projeção de caixa.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Tabs de visualização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36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📤 A Pagar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Todas as contas a pagar pendentes, ordenadas por vencimento.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📥 A Receber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Todas as contas a receber pendentes, ordenadas por vencimento.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🔴 Vencidos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Contas que já passaram da data de vencimento sem baixa. Badge de alerta na sidebar.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Baixar uma conta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Clique no botão "✓" ao lado de qualquer conta. O sistema pergunta se deseja criar um lançamento automático na data de pagamento. Se confirmar, o lançamento é gerado no módulo de Lançamentos e atualiza a DRE e o Fluxo de Caixa.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Projeção de caixa — 60 dias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Gráfico de barras mostrando o impacto de cada vencimento no saldo acumulado ao longo dos próximos 60 dias. Cada barra indica o vencimento do dia e o saldo resultante. Barras verdes = saldo positivo, vermelhas = negativo.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7A45" w:sz="4"/>
              <w:left w:val="single" w:color="0E7A45" w:sz="4"/>
              <w:bottom w:val="single" w:color="0E7A45" w:sz="4"/>
              <w:right w:val="single" w:color="0E7A45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E7A45"/>
                <w:sz w:val="22"/>
                <w:szCs w:val="22"/>
              </w:rPr>
              <w:t xml:space="preserve">📌  Quando usar Contas a P/R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no início de cada mês para mapear os compromissos financeiros futuros. Também use para antecipar problemas de caixa: se a projeção de 60 dias mostrar barras vermelhas, é sinal de que a empresa precisará de capital de giro ou renegociação de prazos.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F37" w:sz="8"/>
        </w:pBdr>
        <w:shd w:fill="00285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MÓDULO: CONCILIAÇÃO BANCÁRIA</w:t>
      </w:r>
    </w:p>
    <w:p>
      <w:pPr>
        <w:spacing w:after="10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Confirma se os lançamentos registrados no Visore correspondem ao extrato real do banco. Identifica lançamentos faltando, duplicados ou com valores errados.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Como conciliar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Importe o extrato do banco no módulo de Lançamentos (modo IA).</w:t>
            </w:r>
          </w:p>
        </w:tc>
      </w:tr>
      <w:tr>
        <w:tc>
          <w:tcPr>
            <w:tcW w:type="dxa" w:w="72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Vá em Conciliação Bancária. O sistema calcula automaticamente o Saldo Calculado com base nos lançamentos.</w:t>
            </w:r>
          </w:p>
        </w:tc>
      </w:tr>
      <w:tr>
        <w:tc>
          <w:tcPr>
            <w:tcW w:type="dxa" w:w="72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Defina o período (default: mês atual) com os seletores de data.</w:t>
            </w:r>
          </w:p>
        </w:tc>
      </w:tr>
      <w:tr>
        <w:tc>
          <w:tcPr>
            <w:tcW w:type="dxa" w:w="72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Digite o Saldo Real do Banco — o valor exato que aparece no extrato no último dia do período.</w:t>
            </w:r>
          </w:p>
        </w:tc>
      </w:tr>
      <w:tr>
        <w:tc>
          <w:tcPr>
            <w:tcW w:type="dxa" w:w="72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diferença é calculada em tempo real. Verde = conciliado. Vermelho = há divergência.</w:t>
            </w:r>
          </w:p>
        </w:tc>
      </w:tr>
      <w:tr>
        <w:tc>
          <w:tcPr>
            <w:tcW w:type="dxa" w:w="72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Marque os lançamentos como conciliados (clique no círculo) à medida que confirma cada um com o extrato.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O que fazer quando há diferença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36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Diferença positiva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 banco tem mais dinheiro do que o Visore mostra. Há lançamentos de saída faltando ou entradas a mais registradas.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Diferença negativa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 Visore tem mais dinheiro do que o banco. Há lançamentos de saída a mais ou entradas faltando.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Diferença = zero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Conciliado. Os dados do Visore refletem exatamente o extrato bancário.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7A45" w:sz="4"/>
              <w:left w:val="single" w:color="0E7A45" w:sz="4"/>
              <w:bottom w:val="single" w:color="0E7A45" w:sz="4"/>
              <w:right w:val="single" w:color="0E7A45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E7A45"/>
                <w:sz w:val="22"/>
                <w:szCs w:val="22"/>
              </w:rPr>
              <w:t xml:space="preserve">📌  Quando usar Conciliação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Faça a conciliação mensalmente, sempre após o fechamento do mês. Ideal fazer antes de gerar o Relatório Executivo para garantir que os dados estão corretos.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F37" w:sz="8"/>
        </w:pBdr>
        <w:shd w:fill="00285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MÓDULO: FLUXO DE CAIXA</w:t>
      </w:r>
    </w:p>
    <w:p>
      <w:pPr>
        <w:spacing w:after="10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Mostra a movimentação financeira do período agrupada por categoria, separando entradas e saídas.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O que é mostrado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36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Entradas por categoria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Receitas agrupadas: Prestação de Serviços, Vendas de Produtos, etc. Com valor total e barra proporcional.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Saídas por categoria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Despesas agrupadas: Folha, Fornecedores, Aluguel, DAS, etc.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Saldo líquido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Entradas menos saídas do período.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Exportação CSV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Clique em "⬇ Exportar CSV" para baixar os lançamentos do período em formato de planilha. Útil para enviar ao contador ou arquivar.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7A45" w:sz="4"/>
              <w:left w:val="single" w:color="0E7A45" w:sz="4"/>
              <w:bottom w:val="single" w:color="0E7A45" w:sz="4"/>
              <w:right w:val="single" w:color="0E7A45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E7A45"/>
                <w:sz w:val="22"/>
                <w:szCs w:val="22"/>
              </w:rPr>
              <w:t xml:space="preserve">📌  Quando usar Fluxo de Caixa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quando precisar entender onde está concentrado o dinheiro que entra e sai. Diferente da DRE (que mostra margem e resultado), o Fluxo de Caixa mostra a composição da movimentação — ideal para identificar as maiores categorias de custo.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F37" w:sz="8"/>
        </w:pBdr>
        <w:shd w:fill="00285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MÓDULO: DRE — DEMONSTRAÇÃO DE RESULTADO</w:t>
      </w:r>
    </w:p>
    <w:p>
      <w:pPr>
        <w:spacing w:after="10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DRE é a principal ferramenta de análise econômica da empresa. Ela mostra o resultado financeiro (lucro ou prejuízo) do período, linha a linha.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Estrutura da DRE Gerencial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(+)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Receita Bruta — total de vendas e serviços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(–)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Deduções e Impostos sobre Receita (DAS, ICMS, PIS, COFINS)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(=)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Receita Líquida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(–)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 Direto — CMV (custo da mercadoria vendida) / CPV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(=)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Lucro Bruto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(–)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Folha de Pagamento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(–)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Despesas Operacionais (aluguel, energia, marketing etc.)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(=)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EBITDA — Lucro antes de Juros e Impostos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(–)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Despesas Financeiras (juros, tarifas bancárias)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(=)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Resultado Líquido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Regime de Competência × Regime de Caixa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toggle no topo da DRE alterna entre dois regimes: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b/>
          <w:bCs/>
          <w:color w:val="002855"/>
          <w:sz w:val="22"/>
          <w:szCs w:val="22"/>
        </w:rPr>
        <w:t xml:space="preserve">Competência: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Receitas e despesas são reconhecidas quando ocorrem, independentemente do pagamento. Padrão contábil. Mostra o resultado econômico real.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b/>
          <w:bCs/>
          <w:color w:val="002855"/>
          <w:sz w:val="22"/>
          <w:szCs w:val="22"/>
        </w:rPr>
        <w:t xml:space="preserve">Caixa: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Receitas e despesas são reconhecidas quando o dinheiro entra ou sai. Reflete o saldo bancário. Ideal para gestão de liquidez.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7A45" w:sz="4"/>
              <w:left w:val="single" w:color="0E7A45" w:sz="4"/>
              <w:bottom w:val="single" w:color="0E7A45" w:sz="4"/>
              <w:right w:val="single" w:color="0E7A45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E7A45"/>
                <w:sz w:val="22"/>
                <w:szCs w:val="22"/>
              </w:rPr>
              <w:t xml:space="preserve">📌  Quando usar a DRE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mensalmente para avaliar se a empresa está dando lucro ou prejuízo. Use o regime de Competência para análise de desempenho real. Use o regime de Caixa para gestão de liquidez e conferência com o extrato bancário.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F37" w:sz="8"/>
        </w:pBdr>
        <w:shd w:fill="00285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MÓDULO: INDICADORES OPERACIONAIS</w:t>
      </w:r>
    </w:p>
    <w:p>
      <w:pPr>
        <w:spacing w:after="10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Painel de 6 indicadores operacionais calculados automaticamente a partir dos lançamentos do período. Cada indicador tem um semáforo de status.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36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Margem Bruta %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(Lucro Bruto ÷ Receita) × 100. Mede a eficiência do processo produtivo. Referência: ≥ 30% para serviços, ≥ 20% para comércio.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Margem Operacional %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(EBITDA ÷ Receita) × 100. Eficiência antes de juros e impostos. Referência: ≥ 15%.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Margem Líquida %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(Resultado Líquido ÷ Receita) × 100. Lucro final sobre faturamento. Referência: ≥ 10%.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Folha / Receita %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(Folha de Pagamento ÷ Receita) × 100. Comprometimento da receita com pessoal. Referência: ≤ 35%.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Custo Total / Receita %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(Total de saídas ÷ Receita) × 100. Comprometimento global da receita. Referência: ≤ 80%.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Ponto de Equilíbrio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Receita mínima necessária para cobrir todas as despesas fixas. Se receita atual estiver abaixo, empresa está em prejuízo.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Legenda do semáforo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✓ Ótimo: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Indicador dentro da faixa saudável. Nenhuma ação imediata necessária.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⚠ Atenção: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Indicador na zona de risco. Monitorar e planejar ajuste.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✗ Crítico: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Indicador fora da faixa aceitável. Ação imediata necessária.</w:t>
      </w:r>
    </w:p>
    <w:p>
      <w:r>
        <w:br w:type="page"/>
      </w:r>
    </w:p>
    <w:p>
      <w:pPr>
        <w:pStyle w:val="Heading1"/>
        <w:pBdr>
          <w:bottom w:val="single" w:color="D4AF37" w:sz="8"/>
        </w:pBdr>
        <w:shd w:fill="00285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MÓDULO: PLANO DE CONTAS</w:t>
      </w:r>
    </w:p>
    <w:p>
      <w:pPr>
        <w:spacing w:after="10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Referência estruturada das categorias de lançamento organizadas hierarquicamente. Gerado automaticamente conforme o segmento da empresa selecionado no cadastro.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Segmentos disponíveis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🛒 Comércio  |  🏭 Indústria  |  💼 Serviços  |  🚛 Transporte  |  🌾 Agronegócio  |  🏗 Construção  |  🏥 Saúde  |  🔀 Misto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Grupos de contas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 Receitas Operacionais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 Deduções da Receita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 Custo Direto (CMV/CPV)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4. Despesas com Pessoal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5. Despesas Operacionais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6. Impostos e Contribuições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7. Despesas Financeiras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8. Outras Receitas / Despesas</w:t>
      </w:r>
    </w:p>
    <w:p>
      <w:pPr>
        <w:spacing w:after="10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o Plano de Contas como referência ao classificar lançamentos manuais. A exportação em CSV está disponível para envio ao contador.</w:t>
      </w:r>
    </w:p>
    <w:p>
      <w:r>
        <w:br w:type="page"/>
      </w:r>
    </w:p>
    <w:p>
      <w:pPr>
        <w:pStyle w:val="Heading1"/>
        <w:pBdr>
          <w:bottom w:val="single" w:color="D4AF37" w:sz="8"/>
        </w:pBdr>
        <w:shd w:fill="00285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MÓDULO: SIMULADOR TRIBUTÁRIO</w:t>
      </w:r>
    </w:p>
    <w:p>
      <w:pPr>
        <w:spacing w:after="10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Compara a carga tributária nos três principais regimes fiscais do Brasil com base no faturamento e margem da empresa.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Inputs do simulador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36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Faturamento Anual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Receita bruta prevista para o ano (em R$).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Margem Bruta %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Percentual de lucro bruto sobre a receita.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Pró-labore (Serviços)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Remuneração dos sócios para cálculo de INSS (Lucro Real/Presumido).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Segmento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Define as alíquotas específicas de cada regime.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Regime Atual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Destaca o regime atual da empresa para comparação.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Regimes comparados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36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Simples Nacional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Regime unificado para empresas com faturamento até R$ 4,8M/ano. Alíquota progressiva por faixa. Mais simples de operar.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Lucro Presumido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Regime para empresas até R$ 78M/ano. IRPJ e CSLL calculados sobre uma margem presumida (8% a 32% conforme atividade).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Lucro Real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Obrigatório para empresas acima de R$ 78M/ano. IRPJ e CSLL calculados sobre o lucro real apurado.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07800" w:sz="4"/>
              <w:left w:val="single" w:color="A07800" w:sz="4"/>
              <w:bottom w:val="single" w:color="A07800" w:sz="4"/>
              <w:right w:val="single" w:color="A07800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A07800"/>
                <w:sz w:val="22"/>
                <w:szCs w:val="22"/>
              </w:rPr>
              <w:t xml:space="preserve">⚠️  Atenção — Limite do Simples Nacional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 Visore emite alerta automático quando o faturamento informado se aproxima ou ultrapassa o limite de R$ 4,8M/ano do Simples Nacional. Nesse caso, a comparação com Presumido e Real é obrigatória.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simulador se popula automaticamente com os dados dos lançamentos do período ao acessar o módulo. Os valores podem ser ajustados manualmente para projeções.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7A45" w:sz="4"/>
              <w:left w:val="single" w:color="0E7A45" w:sz="4"/>
              <w:bottom w:val="single" w:color="0E7A45" w:sz="4"/>
              <w:right w:val="single" w:color="0E7A45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E7A45"/>
                <w:sz w:val="22"/>
                <w:szCs w:val="22"/>
              </w:rPr>
              <w:t xml:space="preserve">📌  Quando usar o Simulador Tributário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no planejamento anual ou quando o faturamento da empresa estiver crescendo. Também use quando o empresário questionar se vale a pena mudar de regime. A recomendação do simulador aponta qual regime gera menor carga tributária com base nos dados inseridos. Valide sempre com o contador.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F37" w:sz="8"/>
        </w:pBdr>
        <w:shd w:fill="00285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13. MÓDULO: ANÁLISE HISTÓRICA — BALANÇO &amp; DRE</w:t>
      </w:r>
    </w:p>
    <w:p>
      <w:pPr>
        <w:spacing w:after="10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Módulo para inserção e análise dos dados contábeis anuais fornecidos pelo contador: DRE e Balanço Patrimonial. Habilita a comparação histórica entre anos e o Relatório Comparativo Multi-Ano.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Como inserir dados históricos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Clique em "+ Adicionar Ano" no módulo Balanço &amp; DRE.</w:t>
            </w:r>
          </w:p>
        </w:tc>
      </w:tr>
      <w:tr>
        <w:tc>
          <w:tcPr>
            <w:tcW w:type="dxa" w:w="72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Selecione o ano de referência.</w:t>
            </w:r>
          </w:p>
        </w:tc>
      </w:tr>
      <w:tr>
        <w:tc>
          <w:tcPr>
            <w:tcW w:type="dxa" w:w="72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Preencha os campos da DRE: Faturamento, Deduções, CMV, Folha, Despesas Operacionais, Despesas Financeiras, Impostos.</w:t>
            </w:r>
          </w:p>
        </w:tc>
      </w:tr>
      <w:tr>
        <w:tc>
          <w:tcPr>
            <w:tcW w:type="dxa" w:w="72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Preencha os campos do Balanço Patrimonial: Ativo Circulante, Passivo Circulante, Ativo Realizável LP, Passivo Exigível LP, Disponibilidades, Patrimônio Líquido.</w:t>
            </w:r>
          </w:p>
        </w:tc>
      </w:tr>
      <w:tr>
        <w:tc>
          <w:tcPr>
            <w:tcW w:type="dxa" w:w="72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Clique "Salvar Ano". Os dados aparecem no gráfico comparativo imediatamente.</w:t>
            </w:r>
          </w:p>
        </w:tc>
      </w:tr>
      <w:tr>
        <w:tc>
          <w:tcPr>
            <w:tcW w:type="dxa" w:w="72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Repita para todos os anos disponíveis (recomendado: mínimo 3 anos).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Opção: Importar com IA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Clique em "Importar com IA" e suba os PDFs ou planilhas das DREs e Balanços fornecidos pelo contador. A IA identifica o ano de cada documento e preenche os campos automaticamente.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O que é calculado automaticamente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36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Receita Líquida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Faturamento menos deduções.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Lucro Bruto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Receita Líquida menos CMV.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EBITDA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Lucro Bruto menos Folha e Despesas Operacionais.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Resultado Líquido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EBITDA menos Despesas Financeiras e Impostos.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Margem EBITDA %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EBITDA ÷ Faturamento × 100.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Margem Líquida %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Resultado Líquido ÷ Faturamento × 100.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Liquidez Corrente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Ativo Circulante ÷ Passivo Circulante. Referência: ≥ 1,5.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Comparativos e gráficos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Gráfico de barras: Faturamento × Resultado por ano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Gráfico de linhas: Margem Líquida % por ano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Gráfico de barras: EBITDA por ano com semáforo de cores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Gráfico de barras: Liquidez Corrente por ano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Tabela comparativa com todos os indicadores e setas de tendência</w:t>
      </w:r>
    </w:p>
    <w:p>
      <w:r>
        <w:br w:type="page"/>
      </w:r>
    </w:p>
    <w:p>
      <w:pPr>
        <w:pStyle w:val="Heading1"/>
        <w:pBdr>
          <w:bottom w:val="single" w:color="D4AF37" w:sz="8"/>
        </w:pBdr>
        <w:shd w:fill="00285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14. MÓDULO: INDICADORES HISTÓRICOS</w:t>
      </w:r>
    </w:p>
    <w:p>
      <w:pPr>
        <w:spacing w:after="10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Tela separada dentro do Bloco 3 com foco nos indicadores de longo prazo. Alimentado pelos mesmos dados inseridos em Balanço &amp; DRE.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36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Gráfico EBITDA por ano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Barras coloridas por performance: verde ≥ 15%, amarelo 8-15%, vermelho &lt; 8%.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Gráfico Liquidez Corrente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Linha por ano com referência visual em 1,5. Identifica risco de insolvência de curto prazo.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Tabela comparativa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Todos os indicadores ano a ano com setas ▲ ou ▼ de tendência para cada período.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7A45" w:sz="4"/>
              <w:left w:val="single" w:color="0E7A45" w:sz="4"/>
              <w:bottom w:val="single" w:color="0E7A45" w:sz="4"/>
              <w:right w:val="single" w:color="0E7A45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E7A45"/>
                <w:sz w:val="22"/>
                <w:szCs w:val="22"/>
              </w:rPr>
              <w:t xml:space="preserve">📌  Quando usar Indicadores Históricos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na preparação de reuniões de revisão estratégica com o empresário. Mostre a evolução de 3 a 5 anos para contextualizar o momento atual da empresa e fundamentar recomendações de médio prazo.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F37" w:sz="8"/>
        </w:pBdr>
        <w:shd w:fill="00285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15. MÓDULO: RELATÓRIO EXECUTIVO</w:t>
      </w:r>
    </w:p>
    <w:p>
      <w:pPr>
        <w:spacing w:after="10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Ponto culminante do Visore. Gera um relatório profissional de uma página pronto para apresentar ao empresário ou arquivar. Disponível em três modos.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Modo 1 — Dia a Dia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Usa os lançamentos do período selecionado na barra de período global.</w:t>
      </w:r>
    </w:p>
    <w:p>
      <w:pPr>
        <w:spacing w:after="10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Ideal para: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Reuniões mensais de acompanhamento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Apresentação do resultado do mês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Relatório de prestação de serviços da consultoria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Selecione "📊 Dia a Dia" no seletor de fonte de dados.</w:t>
            </w:r>
          </w:p>
        </w:tc>
      </w:tr>
      <w:tr>
        <w:tc>
          <w:tcPr>
            <w:tcW w:type="dxa" w:w="72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Clique em "↺ Atualizar com dados do sistema".</w:t>
            </w:r>
          </w:p>
        </w:tc>
      </w:tr>
      <w:tr>
        <w:tc>
          <w:tcPr>
            <w:tcW w:type="dxa" w:w="72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Confira os campos: empresa, CNPJ, segmento, regime, período.</w:t>
            </w:r>
          </w:p>
        </w:tc>
      </w:tr>
      <w:tr>
        <w:tc>
          <w:tcPr>
            <w:tcW w:type="dxa" w:w="72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"✦ Análise com IA" para gerar uma recomendação automática baseada nos dados.</w:t>
            </w:r>
          </w:p>
        </w:tc>
      </w:tr>
      <w:tr>
        <w:tc>
          <w:tcPr>
            <w:tcW w:type="dxa" w:w="72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Clique "🖨 Imprimir / PDF" para salvar o relatório.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Modo 2 — Histórico — 1 Ano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Usa os dados do contador inseridos na Análise Histórica. Escolha o ano pelo seletor.</w:t>
      </w:r>
    </w:p>
    <w:p>
      <w:pPr>
        <w:spacing w:after="10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Ideal para: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Relatório de fechamento anual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Apresentação do resultado do exercício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Dossiê para aprovação de crédito bancário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Modo 3 — Comparativo Multi-Ano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Compara múltiplos anos lado a lado. Selecione os anos clicando nos checkboxes. Máximo de 5 anos.</w:t>
      </w:r>
    </w:p>
    <w:p>
      <w:pPr>
        <w:spacing w:after="10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Ideal para: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Reuniões de revisão estratégica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Apresentação para sócios, investidores ou bancos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Diagnóstico de tendência de longo prazo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Conteúdo do Relatório Comparativo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36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KPIs comparativos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Receita, EBITDA, Resultado, Margem EBITDA % e Margem Líquida % com variação ano a ano e variação total.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DRE comparativa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Todas as linhas da DRE em colunas por ano, com setas de tendência.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Análise de crescimento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Cards visuais mostrando a variação % de receita e resultado entre anos consecutivos.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Alertas por ano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Diagnóstico de margem, EBITDA, folha e comprometimento de receita para cada ano.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Diagnóstico de tendência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Três cards: tendência de receita, tendência de margem líquida e tendência de EBITDA %.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20"/>
                <w:szCs w:val="20"/>
              </w:rPr>
              <w:t xml:space="preserve">Recomendação estratégica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Texto gerado automaticamente + análise detalhada com IA (4 frases: diagnóstico, positivo, risco, ação).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Campo EBITDA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campo EBITDA no formulário de configuração é calculado automaticamente e exibido em verde (somente leitura). Ele é calculado como: Receita Bruta × 90% − Custo Direto − Despesas Operacionais.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0CC" w:sz="4"/>
              <w:left w:val="single" w:color="0070CC" w:sz="4"/>
              <w:bottom w:val="single" w:color="0070CC" w:sz="4"/>
              <w:right w:val="single" w:color="0070CC" w:sz="4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70CC"/>
                <w:sz w:val="22"/>
                <w:szCs w:val="22"/>
              </w:rPr>
              <w:t xml:space="preserve">💡  Dica — Análise com IA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 botão "✦ Análise com IA" usa a API da Anthropic para gerar uma recomendação executiva personalizada baseada nos dados financeiros da empresa. Quando usado dentro do claude.ai, funciona diretamente. Em outros ambientes, configure a API Key clicando no ícone 🔑 no topo do app.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F37" w:sz="8"/>
        </w:pBdr>
        <w:shd w:fill="00285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16. MÓDULO: MULTI-EMPRESAS</w:t>
      </w:r>
    </w:p>
    <w:p>
      <w:pPr>
        <w:spacing w:after="10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Permite gerenciar uma carteira de clientes/empresas com ambientes de dados completamente isolados. Cada empresa tem seus próprios lançamentos, histórico e configurações.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Como cadastrar uma empresa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Clique em "Empresas" no topo da sidebar (ícone de prédio).</w:t>
            </w:r>
          </w:p>
        </w:tc>
      </w:tr>
      <w:tr>
        <w:tc>
          <w:tcPr>
            <w:tcW w:type="dxa" w:w="72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Clique em "+ Nova Empresa".</w:t>
            </w:r>
          </w:p>
        </w:tc>
      </w:tr>
      <w:tr>
        <w:tc>
          <w:tcPr>
            <w:tcW w:type="dxa" w:w="72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Preencha: nome da empresa, CNPJ, segmento de atuação e regime tributário.</w:t>
            </w:r>
          </w:p>
        </w:tc>
      </w:tr>
      <w:tr>
        <w:tc>
          <w:tcPr>
            <w:tcW w:type="dxa" w:w="72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Clique "Salvar". A empresa aparece na carteira.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Trocar de empresa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Clique no nome da empresa ativa no topo da sidebar. Uma lista com todas as empresas cadastradas é exibida. Clique em qualquer empresa para carregar seus dados. Todos os módulos se atualizam automaticamente para a empresa selecionada.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7A45" w:sz="4"/>
              <w:left w:val="single" w:color="0E7A45" w:sz="4"/>
              <w:bottom w:val="single" w:color="0E7A45" w:sz="4"/>
              <w:right w:val="single" w:color="0E7A45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E7A45"/>
                <w:sz w:val="22"/>
                <w:szCs w:val="22"/>
              </w:rPr>
              <w:t xml:space="preserve">📌  Uso ideal para consultores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Cadastre cada cliente como uma empresa separada. Quando for trabalhar com um cliente, selecione a empresa correspondente. Os dados de cada cliente ficam completamente separados — não há risco de mistura.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F37" w:sz="8"/>
        </w:pBdr>
        <w:shd w:fill="00285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17. FLUXO DE TRABALHO DO CONSULTOR</w:t>
      </w:r>
    </w:p>
    <w:p>
      <w:pPr>
        <w:spacing w:after="10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Este é o roteiro ideal para uma consultoria financeira mensal utilizando o Visore do início ao fim.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2400"/>
      </w:tblGrid>
      <w:tr>
        <w:tc>
          <w:tcPr>
            <w:tcW w:type="dxa" w:w="140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56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  <w:tc>
          <w:tcPr>
            <w:tcW w:type="dxa" w:w="240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19"/>
                <w:szCs w:val="19"/>
              </w:rPr>
              <w:t xml:space="preserve">Pré-reunião
(1–2 dias antes)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Selecione a empresa do cliente. Importe o extrato do mês via IA. Lance contas complementares manualmente se necessário.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E7A45"/>
                <w:sz w:val="19"/>
                <w:szCs w:val="19"/>
              </w:rPr>
              <w:t xml:space="preserve">Lançamentos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19"/>
                <w:szCs w:val="19"/>
              </w:rPr>
              <w:t xml:space="preserve">Pré-reunião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Realize a conciliação bancária. Confirme que o saldo calculado bate com o extrato.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E7A45"/>
                <w:sz w:val="19"/>
                <w:szCs w:val="19"/>
              </w:rPr>
              <w:t xml:space="preserve">Conciliação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19"/>
                <w:szCs w:val="19"/>
              </w:rPr>
              <w:t xml:space="preserve">Pré-reunião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Registre as contas a pagar e receber do próximo mês para a projeção de caixa.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E7A45"/>
                <w:sz w:val="19"/>
                <w:szCs w:val="19"/>
              </w:rPr>
              <w:t xml:space="preserve">Contas a P/R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19"/>
                <w:szCs w:val="19"/>
              </w:rPr>
              <w:t xml:space="preserve">Análise
(dia da reunião)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Revise o Dashboard e os Indicadores. Identifique os pontos de atenção e destaque.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E7A45"/>
                <w:sz w:val="19"/>
                <w:szCs w:val="19"/>
              </w:rPr>
              <w:t xml:space="preserve">Dashboard / Indicadores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19"/>
                <w:szCs w:val="19"/>
              </w:rPr>
              <w:t xml:space="preserve">Análise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Abra a DRE no regime de Competência. Verifique a evolução de receita, custos e margem.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E7A45"/>
                <w:sz w:val="19"/>
                <w:szCs w:val="19"/>
              </w:rPr>
              <w:t xml:space="preserve">DRE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19"/>
                <w:szCs w:val="19"/>
              </w:rPr>
              <w:t xml:space="preserve">Geração do relatório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Configure o Relatório Executivo — modo Dia a Dia. Atualize com dados do sistema. Rode a análise com IA.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E7A45"/>
                <w:sz w:val="19"/>
                <w:szCs w:val="19"/>
              </w:rPr>
              <w:t xml:space="preserve">Relatório Executivo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19"/>
                <w:szCs w:val="19"/>
              </w:rPr>
              <w:t xml:space="preserve">Reunião com o cliente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Apresente o relatório. Explique cada seção. Conclua com a recomendação do período.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E7A45"/>
                <w:sz w:val="19"/>
                <w:szCs w:val="19"/>
              </w:rPr>
              <w:t xml:space="preserve">Relatório Executivo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19"/>
                <w:szCs w:val="19"/>
              </w:rPr>
              <w:t xml:space="preserve">Pós-reunião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Atualize os dados históricos se for o fechamento do ano. Gere o Relatório Comparativo para contexto.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E7A45"/>
                <w:sz w:val="19"/>
                <w:szCs w:val="19"/>
              </w:rPr>
              <w:t xml:space="preserve">Análise Histórica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F37" w:sz="8"/>
        </w:pBdr>
        <w:shd w:fill="00285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18. QUANDO USAR CADA MÓDULO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36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 ideal</w:t>
            </w:r>
          </w:p>
        </w:tc>
        <w:tc>
          <w:tcPr>
            <w:tcW w:type="dxa" w:w="360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 de uso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19"/>
                <w:szCs w:val="19"/>
              </w:rPr>
              <w:t xml:space="preserve">Dashboard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Toda vez que abrir o app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Visão geral rápida do período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19"/>
                <w:szCs w:val="19"/>
              </w:rPr>
              <w:t xml:space="preserve">Lançamentos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Diário ou semanal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Alimentar os dados do período em curso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19"/>
                <w:szCs w:val="19"/>
              </w:rPr>
              <w:t xml:space="preserve">Contas a P/R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Semanal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Mapear compromissos futuros e projetar caixa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19"/>
                <w:szCs w:val="19"/>
              </w:rPr>
              <w:t xml:space="preserve">Conciliação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Mensal (no fechamento)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Confirmar integridade dos dados vs. banco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19"/>
                <w:szCs w:val="19"/>
              </w:rPr>
              <w:t xml:space="preserve">Fluxo de Caixa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Mensal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Entender composição de entradas e saídas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19"/>
                <w:szCs w:val="19"/>
              </w:rPr>
              <w:t xml:space="preserve">DRE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Mensal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Avaliar resultado econômico do período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19"/>
                <w:szCs w:val="19"/>
              </w:rPr>
              <w:t xml:space="preserve">Indicadores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Mensal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Monitorar saúde operacional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19"/>
                <w:szCs w:val="19"/>
              </w:rPr>
              <w:t xml:space="preserve">Plano de Contas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Consulta pontual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Referência ao categorizar lançamentos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19"/>
                <w:szCs w:val="19"/>
              </w:rPr>
              <w:t xml:space="preserve">Simulador Tributário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Anual ou em crescimento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Planejamento tributário e mudança de regime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19"/>
                <w:szCs w:val="19"/>
              </w:rPr>
              <w:t xml:space="preserve">Análise Histórica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Anual (após fechamento)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Inserir dados do contador e comparar anos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19"/>
                <w:szCs w:val="19"/>
              </w:rPr>
              <w:t xml:space="preserve">Indicadores Históricos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Trimestral ou anual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Análise de tendência de longo prazo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19"/>
                <w:szCs w:val="19"/>
              </w:rPr>
              <w:t xml:space="preserve">Relatório Executivo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Mensal (reunião com cliente)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Geração do relatório de apresentação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19"/>
                <w:szCs w:val="19"/>
              </w:rPr>
              <w:t xml:space="preserve">Multi-Empresas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Conforme carteira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Trocar de cliente sem perder dados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F37" w:sz="8"/>
        </w:pBdr>
        <w:shd w:fill="00285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19. DICAS E BOAS PRÁTICAS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Qualidade dos dados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Categorize sempre com precisão — uma categoria errada afeta a DRE inteira. Prefira a categoria mais específica disponível.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Separe competência de caixa desde o início. Isso é o que diferencia uma análise profissional de um simples extrato.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Para faturas de cartão: a data de competência é a data da compra, não do vencimento.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Importe o extrato completo do mês, não apenas parte dele. Um mês incompleto distorce todos os indicadores.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Eficiência na consultoria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Deixe o Visore aberto no notebook durante a reunião com o cliente. Mostre os dados em tempo real — o impacto é muito maior do que um PDF estático.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o botão "✦ Análise com IA" na presença do cliente para gerar a recomendação ao vivo. Demonstra o poder da ferramenta.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Salve o PDF do Relatório Executivo e envie por WhatsApp ao cliente após a reunião. Reforça o profissionalismo.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Tenha o Simulador Tributário pronto para demonstrar quando o cliente questionar o regime fiscal.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Gestão dos dados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Os dados ficam salvos no navegador (localStorage). Use sempre o mesmo dispositivo e navegador para acessar o Visore com os dados de cada cliente.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Não use o modo anônimo/privado do navegador — o localStorage não funciona nesse modo.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botão "Resetar dados" (no rodapé da sidebar) apaga todos os dados e volta à demonstração. Use apenas quando quiser começar do zero com um novo cliente.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Para atualizar o app (nova versão): acesse novamente a URL. O Netlify entrega sempre a versão mais recente automaticamente.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Análise histórica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Insira pelo menos 3 anos de dados históricos para que o Relatório Comparativo Multi-Ano seja realmente poderoso.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Os dados do contador (Balanço + DRE) são mais precisos do que os lançamentos do dia a dia. Use a Análise Histórica para análise de tendência e o Dia a Dia para operação.</w:t>
      </w:r>
    </w:p>
    <w:p>
      <w:pPr>
        <w:pStyle w:val="ListParagraph"/>
        <w:numPr>
          <w:ilvl w:val="0"/>
          <w:numId w:val="2"/>
        </w:num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a importação por IA dos PDFs do contador para acelerar o preenchimento — especialmente quando tiver várias empresas para analisar.</w:t>
      </w:r>
    </w:p>
    <w:p>
      <w:r>
        <w:br w:type="page"/>
      </w:r>
    </w:p>
    <w:p>
      <w:pPr>
        <w:pStyle w:val="Heading1"/>
        <w:pBdr>
          <w:bottom w:val="single" w:color="D4AF37" w:sz="8"/>
        </w:pBdr>
        <w:shd w:fill="00285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20. GLOSSÁRIO FINANCEIRO</w:t>
      </w:r>
    </w:p>
    <w:p>
      <w:pPr>
        <w:spacing w:after="10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Principais termos utilizados no Visore e no contexto de gestão financeira empresarial.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960"/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70" w:before="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19"/>
                <w:szCs w:val="19"/>
              </w:rPr>
              <w:t xml:space="preserve">EBITDA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Earnings Before Interest, Taxes, Depreciation and Amortization. Lucro antes de juros, impostos e depreciação. Mede a capacidade de geração de caixa operacional da empresa.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19"/>
                <w:szCs w:val="19"/>
              </w:rPr>
              <w:t xml:space="preserve">DRE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Demonstração do Resultado do Exercício. Relatório contábil que mostra as receitas, custos, despesas e o resultado líquido da empresa em um período.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19"/>
                <w:szCs w:val="19"/>
              </w:rPr>
              <w:t xml:space="preserve">Regime de Competência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Método contábil em que receitas e despesas são reconhecidas quando ocorrem, independentemente do pagamento. Padrão do IFRS e CPC.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19"/>
                <w:szCs w:val="19"/>
              </w:rPr>
              <w:t xml:space="preserve">Regime de Caixa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Método em que receitas e despesas são reconhecidas quando o dinheiro efetivamente entra ou sai.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19"/>
                <w:szCs w:val="19"/>
              </w:rPr>
              <w:t xml:space="preserve">CMV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Custo da Mercadoria Vendida. Custo direto de aquisição dos produtos vendidos.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19"/>
                <w:szCs w:val="19"/>
              </w:rPr>
              <w:t xml:space="preserve">CPV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Custo do Produto Vendido. Custo direto de fabricação dos produtos.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19"/>
                <w:szCs w:val="19"/>
              </w:rPr>
              <w:t xml:space="preserve">Margem Bruta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Receita Líquida menos CMV/CPV, dividido pela Receita Líquida. Eficiência do processo produtivo.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19"/>
                <w:szCs w:val="19"/>
              </w:rPr>
              <w:t xml:space="preserve">Margem Líquida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Resultado Líquido dividido pela Receita Bruta. Quanto sobra de lucro para cada R$ de faturamento.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19"/>
                <w:szCs w:val="19"/>
              </w:rPr>
              <w:t xml:space="preserve">Ponto de Equilíbrio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Receita mínima necessária para cobrir todos os custos fixos. Acima = lucro. Abaixo = prejuízo.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19"/>
                <w:szCs w:val="19"/>
              </w:rPr>
              <w:t xml:space="preserve">Liquidez Corrente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Ativo Circulante ÷ Passivo Circulante. Mede a capacidade de pagamento de curto prazo. Referência: ≥ 1,5.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19"/>
                <w:szCs w:val="19"/>
              </w:rPr>
              <w:t xml:space="preserve">Conciliação Bancária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Processo de comparação entre os lançamentos do sistema e o extrato bancário para garantir integridade dos dados.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19"/>
                <w:szCs w:val="19"/>
              </w:rPr>
              <w:t xml:space="preserve">Capital de Giro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Recursos necessários para financiar o ciclo operacional da empresa (prazo de pagamento vs. recebimento).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19"/>
                <w:szCs w:val="19"/>
              </w:rPr>
              <w:t xml:space="preserve">DAS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Documento de Arrecadação do Simples. Guia de pagamento unificado de tributos para empresas no Simples Nacional.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19"/>
                <w:szCs w:val="19"/>
              </w:rPr>
              <w:t xml:space="preserve">IRPJ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Imposto de Renda da Pessoa Jurídica. Alíquota: 15% sobre o lucro, + 10% sobre o que exceder R$20k/mês.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19"/>
                <w:szCs w:val="19"/>
              </w:rPr>
              <w:t xml:space="preserve">CSLL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Contribuição Social sobre o Lucro Líquido. Alíquota: 9% (serviços) ou 12% (outros).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19"/>
                <w:szCs w:val="19"/>
              </w:rPr>
              <w:t xml:space="preserve">Pró-labore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Remuneração formal dos sócios administradores. Base de cálculo do INSS dos sócios no Lucro Presumido e Real.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2855"/>
                <w:sz w:val="19"/>
                <w:szCs w:val="19"/>
              </w:rPr>
              <w:t xml:space="preserve">OFX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Open Financial Exchange. Formato padrão de arquivo de extrato bancário. Mais limpo e preciso para importação.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2855" w:sz="4"/>
              <w:left w:val="single" w:color="002855" w:sz="4"/>
              <w:bottom w:val="single" w:color="002855" w:sz="4"/>
              <w:right w:val="single" w:color="002855" w:sz="4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VISORE — Gestão Financeira Inteligente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color w:val="A0B0C8"/>
                <w:sz w:val="18"/>
                <w:szCs w:val="18"/>
              </w:rPr>
              <w:t xml:space="preserve">Manual do Usuário — Versão 1.0 — Abril 2026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746"/>
      <w:tblBorders>
        <w:top w:val="single" w:color="E8EBF0" w:sz="4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000"/>
      <w:gridCol w:w="3746"/>
    </w:tblGrid>
    <w:tr>
      <w:tc>
        <w:tcPr>
          <w:tcW w:type="dxa" w:w="6000"/>
          <w:tcBorders>
            <w:top w:val="none"/>
            <w:left w:val="none"/>
            <w:bottom w:val="none"/>
            <w:right w:val="none"/>
          </w:tcBorders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spacing w:after="0" w:before="60"/>
            <w:jc w:val="left"/>
          </w:pPr>
          <w:r>
            <w:rPr>
              <w:rFonts w:ascii="Arial" w:cs="Arial" w:eastAsia="Arial" w:hAnsi="Arial"/>
              <w:color w:val="4A4A6A"/>
              <w:sz w:val="18"/>
              <w:szCs w:val="18"/>
            </w:rPr>
            <w:t xml:space="preserve">Gestão Financeira Inteligente para Empresas Brasileiras</w:t>
          </w:r>
        </w:p>
      </w:tc>
      <w:tc>
        <w:tcPr>
          <w:tcW w:type="dxa" w:w="3746"/>
          <w:tcBorders>
            <w:top w:val="none"/>
            <w:left w:val="none"/>
            <w:bottom w:val="none"/>
            <w:right w:val="none"/>
          </w:tcBorders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spacing w:after="0" w:before="60"/>
            <w:jc w:val="right"/>
          </w:pPr>
          <w:r>
            <w:rPr>
              <w:rFonts w:ascii="Arial" w:cs="Arial" w:eastAsia="Arial" w:hAnsi="Arial"/>
              <w:color w:val="4A4A6A"/>
              <w:sz w:val="18"/>
              <w:szCs w:val="18"/>
            </w:rPr>
            <w:t xml:space="preserve">Pág. </w:t>
          </w:r>
          <w:r>
            <w:rPr>
              <w:rFonts w:ascii="Arial" w:cs="Arial" w:eastAsia="Arial" w:hAnsi="Arial"/>
              <w:color w:val="4A4A6A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4A4A6A"/>
              <w:sz w:val="18"/>
              <w:szCs w:val="18"/>
            </w:rPr>
            <w:t xml:space="preserve"> / </w:t>
          </w:r>
          <w:r>
            <w:rPr>
              <w:rFonts w:ascii="Arial" w:cs="Arial" w:eastAsia="Arial" w:hAnsi="Arial"/>
              <w:color w:val="4A4A6A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6"/>
      <w:tblBorders>
        <w:top w:val="none"/>
        <w:left w:val="none"/>
        <w:bottom w:val="single" w:color="D4AF37" w:sz="6"/>
        <w:right w:val="none"/>
        <w:insideH w:val="single" w:color="auto" w:sz="4"/>
        <w:insideV w:val="single" w:color="auto" w:sz="4"/>
      </w:tblBorders>
    </w:tblPr>
    <w:tblGrid>
      <w:gridCol w:w="4873"/>
      <w:gridCol w:w="4873"/>
    </w:tblGrid>
    <w:tr>
      <w:tc>
        <w:tcPr>
          <w:tcW w:type="dxa" w:w="4873"/>
          <w:tcBorders>
            <w:top w:val="none"/>
            <w:left w:val="none"/>
            <w:bottom w:val="none"/>
            <w:right w:val="none"/>
          </w:tcBorders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spacing w:after="60" w:before="40"/>
            <w:jc w:val="left"/>
          </w:pPr>
          <w:r>
            <w:rPr>
              <w:rFonts w:ascii="Arial" w:cs="Arial" w:eastAsia="Arial" w:hAnsi="Arial"/>
              <w:b/>
              <w:bCs/>
              <w:color w:val="002855"/>
              <w:sz w:val="20"/>
              <w:szCs w:val="20"/>
            </w:rPr>
            <w:t xml:space="preserve">Vi</w:t>
          </w:r>
          <w:r>
            <w:rPr>
              <w:rFonts w:ascii="Arial" w:cs="Arial" w:eastAsia="Arial" w:hAnsi="Arial"/>
              <w:b/>
              <w:bCs/>
              <w:color w:val="8B7000"/>
              <w:sz w:val="20"/>
              <w:szCs w:val="20"/>
            </w:rPr>
            <w:t xml:space="preserve">sore</w:t>
          </w:r>
          <w:r>
            <w:rPr>
              <w:rFonts w:ascii="Arial" w:cs="Arial" w:eastAsia="Arial" w:hAnsi="Arial"/>
              <w:color w:val="4A4A6A"/>
              <w:sz w:val="20"/>
              <w:szCs w:val="20"/>
            </w:rPr>
            <w:t xml:space="preserve"> — Manual do Usuário</w:t>
          </w:r>
        </w:p>
      </w:tc>
      <w:tc>
        <w:tcPr>
          <w:tcW w:type="dxa" w:w="4873"/>
          <w:tcBorders>
            <w:top w:val="none"/>
            <w:left w:val="none"/>
            <w:bottom w:val="none"/>
            <w:right w:val="none"/>
          </w:tcBorders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spacing w:after="60" w:before="40"/>
            <w:jc w:val="right"/>
          </w:pPr>
          <w:r>
            <w:rPr>
              <w:rFonts w:ascii="Arial" w:cs="Arial" w:eastAsia="Arial" w:hAnsi="Arial"/>
              <w:color w:val="4A4A6A"/>
              <w:sz w:val="18"/>
              <w:szCs w:val="18"/>
            </w:rPr>
            <w:t xml:space="preserve">Visore v1.0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0285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2026-04-05T13:04:13.750Z</dcterms:created>
  <dcterms:modified xsi:type="dcterms:W3CDTF">2026-04-05T13:04:13.750Z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