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b/>
          <w:color w:val="2C1A4F"/>
          <w:sz w:val="56"/>
        </w:rPr>
        <w:t>VEDIC ASTROLOGY PLATFORM</w:t>
      </w:r>
    </w:p>
    <w:p>
      <w:pPr>
        <w:spacing w:before="0" w:after="120"/>
        <w:jc w:val="center"/>
      </w:pPr>
      <w:r>
        <w:rPr>
          <w:color w:val="1A3A6B"/>
          <w:sz w:val="36"/>
        </w:rPr>
        <w:t>Phase 1: AI Core &amp; Credit System</w:t>
      </w:r>
    </w:p>
    <w:p>
      <w:pPr>
        <w:spacing w:before="0" w:after="600"/>
        <w:jc w:val="center"/>
      </w:pPr>
      <w:r>
        <w:rPr>
          <w:b/>
          <w:color w:val="5B3DC8"/>
          <w:sz w:val="28"/>
        </w:rPr>
        <w:t>Design Architecture Specification</w:t>
      </w:r>
    </w:p>
    <w:p>
      <w:pPr>
        <w:spacing w:before="40" w:after="40"/>
      </w:pPr>
    </w:p>
    <w:p>
      <w:pPr>
        <w:spacing w:before="40" w:after="40"/>
      </w:pPr>
    </w:p>
    <w:tbl>
      <w:tblPr>
        <w:tblW w:w="9360" w:type="dxa"/>
        <w:tblLayout w:type="fixed"/>
        <w:tblLook w:firstColumn="1" w:firstRow="1" w:lastColumn="0" w:lastRow="0" w:noHBand="0" w:noVBand="1" w:val="04A0"/>
      </w:tblPr>
      <w:tblGrid>
        <w:gridCol w:w="2700"/>
        <w:gridCol w:w="6660"/>
      </w:tblGrid>
      <w:tr>
        <w:tc>
          <w:tcPr>
            <w:tcW w:w="27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Field</w:t>
            </w:r>
          </w:p>
        </w:tc>
        <w:tc>
          <w:tcPr>
            <w:tcW w:w="66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Value</w:t>
            </w:r>
          </w:p>
        </w:tc>
      </w:tr>
      <w:tr>
        <w:tc>
          <w:tcPr>
            <w:tcW w:w="2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Document Version</w:t>
            </w:r>
          </w:p>
        </w:tc>
        <w:tc>
          <w:tcPr>
            <w:tcW w:w="6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1.0</w:t>
            </w:r>
          </w:p>
        </w:tc>
      </w:tr>
      <w:tr>
        <w:tc>
          <w:tcPr>
            <w:tcW w:w="2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Phase</w:t>
            </w:r>
          </w:p>
        </w:tc>
        <w:tc>
          <w:tcPr>
            <w:tcW w:w="6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Phase 1 of 3</w:t>
            </w:r>
          </w:p>
        </w:tc>
      </w:tr>
      <w:tr>
        <w:tc>
          <w:tcPr>
            <w:tcW w:w="2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Status</w:t>
            </w:r>
          </w:p>
        </w:tc>
        <w:tc>
          <w:tcPr>
            <w:tcW w:w="6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Design Review</w:t>
            </w:r>
          </w:p>
        </w:tc>
      </w:tr>
      <w:tr>
        <w:tc>
          <w:tcPr>
            <w:tcW w:w="2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Date</w:t>
            </w:r>
          </w:p>
        </w:tc>
        <w:tc>
          <w:tcPr>
            <w:tcW w:w="6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May 2026</w:t>
            </w:r>
          </w:p>
        </w:tc>
      </w:tr>
      <w:tr>
        <w:tc>
          <w:tcPr>
            <w:tcW w:w="2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Classification</w:t>
            </w:r>
          </w:p>
        </w:tc>
        <w:tc>
          <w:tcPr>
            <w:tcW w:w="6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Confidential — For Internal Use Only</w:t>
            </w:r>
          </w:p>
        </w:tc>
      </w:tr>
      <w:tr>
        <w:tc>
          <w:tcPr>
            <w:tcW w:w="2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Based On</w:t>
            </w:r>
          </w:p>
        </w:tc>
        <w:tc>
          <w:tcPr>
            <w:tcW w:w="6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Phase1_AI_Core_SRS — Phase 1 of 3</w:t>
            </w:r>
          </w:p>
        </w:tc>
      </w:tr>
    </w:tbl>
    <w:p>
      <w:pPr>
        <w:spacing w:before="40" w:after="40"/>
      </w:pPr>
    </w:p>
    <w:p>
      <w:r>
        <w:br w:type="page"/>
      </w:r>
    </w:p>
    <w:p>
      <w:pPr>
        <w:pStyle w:val="Heading1"/>
        <w:pBdr>
          <w:bottom w:val="single" w:sz="6" w:space="1" w:color="5B3DC8"/>
        </w:pBdr>
        <w:spacing w:before="360" w:after="160"/>
      </w:pPr>
      <w:r>
        <w:rPr>
          <w:b/>
          <w:color w:val="2C1A4F"/>
          <w:sz w:val="36"/>
        </w:rPr>
        <w:t>1. System Architecture Overview</w:t>
      </w:r>
    </w:p>
    <w:p>
      <w:pPr>
        <w:spacing w:before="60" w:after="80"/>
      </w:pPr>
      <w:r>
        <w:rPr>
          <w:color w:val="2C2416"/>
          <w:sz w:val="22"/>
        </w:rPr>
        <w:t>The Vedic Astrology Platform is built as a cloud-native, microservices-based system deployed via container orchestration (Kubernetes). Each service is independently deployable, stateless, and horizontally scalable. The architecture is cleanly separated into six logical layers: Client Layer → API Gateway → Core Microservices → Data Layer → Infrastructure Layer → External Integrations.</w:t>
      </w:r>
    </w:p>
    <w:p>
      <w:pPr>
        <w:spacing w:before="40" w:after="40"/>
      </w:pPr>
    </w:p>
    <w:p>
      <w:pPr>
        <w:spacing w:before="60" w:after="80"/>
      </w:pPr>
      <w:r>
        <w:rPr>
          <w:color w:val="2C2416"/>
          <w:sz w:val="22"/>
        </w:rPr>
        <w:t>Per project requirements, the payment gateway, dasha calculation engine, kundli engine, and UI are fully isolated modules with independent deployment pipelines. The system handles sensitive personal data (birth information, financial transactions) and is architected with a security-first mindset.</w:t>
      </w:r>
    </w:p>
    <w:p>
      <w:pPr>
        <w:spacing w:before="40" w:after="40"/>
      </w:pPr>
    </w:p>
    <w:p>
      <w:pPr>
        <w:pStyle w:val="Heading2"/>
        <w:spacing w:before="240" w:after="120"/>
      </w:pPr>
      <w:r>
        <w:rPr>
          <w:b/>
          <w:color w:val="1A3A6B"/>
          <w:sz w:val="28"/>
        </w:rPr>
        <w:t>1.1 Key Architectural Principles</w:t>
      </w:r>
    </w:p>
    <w:p>
      <w:pPr>
        <w:pStyle w:val="ListBullet"/>
        <w:spacing w:before="40" w:after="40"/>
      </w:pPr>
      <w:r>
        <w:rPr>
          <w:color w:val="2C2416"/>
          <w:sz w:val="22"/>
        </w:rPr>
        <w:t>Microservices: Each service owns its data, exposes REST APIs, and can be deployed independently.</w:t>
      </w:r>
    </w:p>
    <w:p>
      <w:pPr>
        <w:pStyle w:val="ListBullet"/>
        <w:spacing w:before="40" w:after="40"/>
      </w:pPr>
      <w:r>
        <w:rPr>
          <w:color w:val="2C2416"/>
          <w:sz w:val="22"/>
        </w:rPr>
        <w:t>Stateless Services: All state is stored in the database or cache — no server-side session state in application pods.</w:t>
      </w:r>
    </w:p>
    <w:p>
      <w:pPr>
        <w:pStyle w:val="ListBullet"/>
        <w:spacing w:before="40" w:after="40"/>
      </w:pPr>
      <w:r>
        <w:rPr>
          <w:color w:val="2C2416"/>
          <w:sz w:val="22"/>
        </w:rPr>
        <w:t>Security First: TLS 1.3, WAF, KMS encryption, OWASP Top 10 hardened, PCI-DSS scope minimised.</w:t>
      </w:r>
    </w:p>
    <w:p>
      <w:pPr>
        <w:pStyle w:val="ListBullet"/>
        <w:spacing w:before="40" w:after="40"/>
      </w:pPr>
      <w:r>
        <w:rPr>
          <w:color w:val="2C2416"/>
          <w:sz w:val="22"/>
        </w:rPr>
        <w:t>Atomic Transactions: All credit operations use PostgreSQL transactions with automatic rollback on failure.</w:t>
      </w:r>
    </w:p>
    <w:p>
      <w:pPr>
        <w:pStyle w:val="ListBullet"/>
        <w:spacing w:before="40" w:after="40"/>
      </w:pPr>
      <w:r>
        <w:rPr>
          <w:color w:val="2C2416"/>
          <w:sz w:val="22"/>
        </w:rPr>
        <w:t>Pluggable Architecture: New Dasha systems and languages can be added without modifying core logic.</w:t>
      </w:r>
    </w:p>
    <w:p>
      <w:pPr>
        <w:pStyle w:val="ListBullet"/>
        <w:spacing w:before="40" w:after="40"/>
      </w:pPr>
      <w:r>
        <w:rPr>
          <w:color w:val="2C2416"/>
          <w:sz w:val="22"/>
        </w:rPr>
        <w:t>i18n Native: English, Hindi, and Tamil supported with reactive language switching and locale-native AI output.</w:t>
      </w:r>
    </w:p>
    <w:p>
      <w:pPr>
        <w:spacing w:before="40" w:after="40"/>
      </w:pPr>
    </w:p>
    <w:p>
      <w:pPr>
        <w:pStyle w:val="Heading2"/>
        <w:spacing w:before="240" w:after="120"/>
      </w:pPr>
      <w:r>
        <w:rPr>
          <w:b/>
          <w:color w:val="1A3A6B"/>
          <w:sz w:val="28"/>
        </w:rPr>
        <w:t>1.2 Platform Targets</w:t>
      </w:r>
    </w:p>
    <w:tbl>
      <w:tblPr>
        <w:tblW w:w="9360" w:type="dxa"/>
        <w:tblLayout w:type="fixed"/>
        <w:tblLook w:firstColumn="1" w:firstRow="1" w:lastColumn="0" w:lastRow="0" w:noHBand="0" w:noVBand="1" w:val="04A0"/>
      </w:tblPr>
      <w:tblGrid>
        <w:gridCol w:w="1800"/>
        <w:gridCol w:w="3600"/>
        <w:gridCol w:w="3960"/>
      </w:tblGrid>
      <w:tr>
        <w:tc>
          <w:tcPr>
            <w:tcW w:w="18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Platform</w:t>
            </w:r>
          </w:p>
        </w:tc>
        <w:tc>
          <w:tcPr>
            <w:tcW w:w="36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Target</w:t>
            </w:r>
          </w:p>
        </w:tc>
        <w:tc>
          <w:tcPr>
            <w:tcW w:w="39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Key Features</w:t>
            </w:r>
          </w:p>
        </w:tc>
      </w:tr>
      <w:tr>
        <w:tc>
          <w:tcPr>
            <w:tcW w:w="1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Web Application</w:t>
            </w:r>
          </w:p>
        </w:tc>
        <w:tc>
          <w:tcPr>
            <w:tcW w:w="3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Chrome 110+, Firefox 110+, Safari 16+, Edge 110+</w:t>
            </w:r>
          </w:p>
        </w:tc>
        <w:tc>
          <w:tcPr>
            <w:tcW w:w="39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SPA + SSR, PWA, SVG chart rendering, responsive 360px–2560px</w:t>
            </w:r>
          </w:p>
        </w:tc>
      </w:tr>
      <w:tr>
        <w:tc>
          <w:tcPr>
            <w:tcW w:w="1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iOS Mobile</w:t>
            </w:r>
          </w:p>
        </w:tc>
        <w:tc>
          <w:tcPr>
            <w:tcW w:w="3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iOS 15+</w:t>
            </w:r>
          </w:p>
        </w:tc>
        <w:tc>
          <w:tcPr>
            <w:tcW w:w="39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Push notifications, biometrics, offline mode, UPI deep-link</w:t>
            </w:r>
          </w:p>
        </w:tc>
      </w:tr>
      <w:tr>
        <w:tc>
          <w:tcPr>
            <w:tcW w:w="1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Android Mobile</w:t>
            </w:r>
          </w:p>
        </w:tc>
        <w:tc>
          <w:tcPr>
            <w:tcW w:w="3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Android 10+</w:t>
            </w:r>
          </w:p>
        </w:tc>
        <w:tc>
          <w:tcPr>
            <w:tcW w:w="39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Push notifications, biometrics, offline mode, UPI intent</w:t>
            </w:r>
          </w:p>
        </w:tc>
      </w:tr>
      <w:tr>
        <w:tc>
          <w:tcPr>
            <w:tcW w:w="1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Super Admin Portal</w:t>
            </w:r>
          </w:p>
        </w:tc>
        <w:tc>
          <w:tcPr>
            <w:tcW w:w="3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Web (restricted, MFA-protected)</w:t>
            </w:r>
          </w:p>
        </w:tc>
        <w:tc>
          <w:tcPr>
            <w:tcW w:w="39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Analytics dashboard — no PII exposed</w:t>
            </w:r>
          </w:p>
        </w:tc>
      </w:tr>
    </w:tbl>
    <w:p>
      <w:pPr>
        <w:spacing w:before="40" w:after="40"/>
      </w:pPr>
    </w:p>
    <w:p>
      <w:r>
        <w:br w:type="page"/>
      </w:r>
    </w:p>
    <w:p>
      <w:pPr>
        <w:pStyle w:val="Heading1"/>
        <w:pBdr>
          <w:bottom w:val="single" w:sz="6" w:space="1" w:color="5B3DC8"/>
        </w:pBdr>
        <w:spacing w:before="360" w:after="160"/>
      </w:pPr>
      <w:r>
        <w:rPr>
          <w:b/>
          <w:color w:val="2C1A4F"/>
          <w:sz w:val="36"/>
        </w:rPr>
        <w:t>2. Layered Architecture</w:t>
      </w:r>
    </w:p>
    <w:p>
      <w:pPr>
        <w:spacing w:before="60" w:after="80"/>
      </w:pPr>
      <w:r>
        <w:rPr>
          <w:color w:val="2C2416"/>
          <w:sz w:val="22"/>
        </w:rPr>
        <w:t>The platform is structured in six distinct layers. All cross-layer communication is authenticated and encrypted. HTTP (non-HTTPS) requests are rejected at the edge.</w:t>
      </w:r>
    </w:p>
    <w:p>
      <w:pPr>
        <w:spacing w:before="40" w:after="40"/>
      </w:pPr>
    </w:p>
    <w:tbl>
      <w:tblPr>
        <w:tblW w:w="9360" w:type="dxa"/>
        <w:tblLayout w:type="fixed"/>
        <w:tblLook w:firstColumn="1" w:firstRow="1" w:lastColumn="0" w:lastRow="0" w:noHBand="0" w:noVBand="1" w:val="04A0"/>
      </w:tblPr>
      <w:tblGrid>
        <w:gridCol w:w="2000"/>
        <w:gridCol w:w="7360"/>
      </w:tblGrid>
      <w:tr>
        <w:tc>
          <w:tcPr>
            <w:tcW w:w="20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Layer</w:t>
            </w:r>
          </w:p>
        </w:tc>
        <w:tc>
          <w:tcPr>
            <w:tcW w:w="73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Components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① Client Layer</w:t>
            </w:r>
          </w:p>
        </w:tc>
        <w:tc>
          <w:tcPr>
            <w:tcW w:w="73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React SPA (Web)  |  React Native iOS  |  React Native Android  |  PWA  |  Admin Portal</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② Edge / Security</w:t>
            </w:r>
          </w:p>
        </w:tc>
        <w:tc>
          <w:tcPr>
            <w:tcW w:w="73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CDN (CloudFront / Cloudflare)  |  WAF  |  DDoS Protection  |  Load Balancer (ALB)</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③ API Gateway</w:t>
            </w:r>
          </w:p>
        </w:tc>
        <w:tc>
          <w:tcPr>
            <w:tcW w:w="73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Kong / AWS API Gateway  |  JWT Auth Middleware  |  Rate Limiter  |  Request Router  |  i18n Header Injection</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④ Core Services</w:t>
            </w:r>
          </w:p>
        </w:tc>
        <w:tc>
          <w:tcPr>
            <w:tcW w:w="73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auth-service  |  kundli-engine  |  dasha-engine  |  ai-interpretation-service  |  credit-wallet-service  |  payment-gateway-service  |  report-export-service  |  analytics-service  |  notification-service</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⑤ Data Layer</w:t>
            </w:r>
          </w:p>
        </w:tc>
        <w:tc>
          <w:tcPr>
            <w:tcW w:w="73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PostgreSQL 16  |  Redis 7  |  S3 Object Storage  |  OpenSearch  |  AWS KMS  |  Secrets Manager  |  SQS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⑥ External Integrations</w:t>
            </w:r>
          </w:p>
        </w:tc>
        <w:tc>
          <w:tcPr>
            <w:tcW w:w="73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LLM API (OpenAI/Anthropic)  |  Swiss Ephemeris  |  Razorpay/Stripe  |  Firebase FCM  |  AWS SES  |  IP Geolocation  |  OAuth (Google/Apple)</w:t>
            </w:r>
          </w:p>
        </w:tc>
      </w:tr>
    </w:tbl>
    <w:p>
      <w:pPr>
        <w:spacing w:before="40" w:after="40"/>
      </w:pPr>
    </w:p>
    <w:p>
      <w:pPr>
        <w:spacing w:before="60" w:after="80"/>
      </w:pPr>
      <w:r>
        <w:rPr>
          <w:color w:val="2C2416"/>
          <w:sz w:val="22"/>
        </w:rPr>
        <w:t>Communication between the Client Layer and Edge uses HTTPS/TLS 1.3. Intra-service communication uses a service mesh with mutual TLS (mTLS). Outbound calls to External Integrations are made through an egress-controlled gateway.</w:t>
      </w:r>
    </w:p>
    <w:p>
      <w:r>
        <w:br w:type="page"/>
      </w:r>
    </w:p>
    <w:p>
      <w:pPr>
        <w:pStyle w:val="Heading1"/>
        <w:pBdr>
          <w:bottom w:val="single" w:sz="6" w:space="1" w:color="5B3DC8"/>
        </w:pBdr>
        <w:spacing w:before="360" w:after="160"/>
      </w:pPr>
      <w:r>
        <w:rPr>
          <w:b/>
          <w:color w:val="2C1A4F"/>
          <w:sz w:val="36"/>
        </w:rPr>
        <w:t>3. Microservice Definitions</w:t>
      </w:r>
    </w:p>
    <w:p>
      <w:pPr>
        <w:spacing w:before="60" w:after="80"/>
      </w:pPr>
      <w:r>
        <w:rPr>
          <w:color w:val="2C2416"/>
          <w:sz w:val="22"/>
        </w:rPr>
        <w:t>Each microservice owns its data schema, exposes REST endpoints, and communicates with peer services via the API Gateway (synchronous) or SQS (asynchronous).</w:t>
      </w:r>
    </w:p>
    <w:p>
      <w:pPr>
        <w:spacing w:before="40" w:after="40"/>
      </w:pPr>
    </w:p>
    <w:tbl>
      <w:tblPr>
        <w:tblW w:w="9360" w:type="dxa"/>
        <w:tblLayout w:type="fixed"/>
        <w:tblLook w:firstColumn="1" w:firstRow="1" w:lastColumn="0" w:lastRow="0" w:noHBand="0" w:noVBand="1" w:val="04A0"/>
      </w:tblPr>
      <w:tblGrid>
        <w:gridCol w:w="1900"/>
        <w:gridCol w:w="1700"/>
        <w:gridCol w:w="5760"/>
      </w:tblGrid>
      <w:tr>
        <w:tc>
          <w:tcPr>
            <w:tcW w:w="19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Service</w:t>
            </w:r>
          </w:p>
        </w:tc>
        <w:tc>
          <w:tcPr>
            <w:tcW w:w="17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Runtime</w:t>
            </w:r>
          </w:p>
        </w:tc>
        <w:tc>
          <w:tcPr>
            <w:tcW w:w="57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Responsibilities</w:t>
            </w:r>
          </w:p>
        </w:tc>
      </w:tr>
      <w:tr>
        <w:tc>
          <w:tcPr>
            <w:tcW w:w="1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auth-service</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Node.js + Express</w:t>
            </w:r>
          </w:p>
        </w:tc>
        <w:tc>
          <w:tcPr>
            <w:tcW w:w="57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Registration, login, OAuth (Google/Apple), JWT issuance &amp; rotation, 2FA/MFA (TOTP), bcrypt password hashing. Access token: 15 min. Refresh token: 7 days (rotated). Immediate invalidation on logout/password change.</w:t>
            </w:r>
          </w:p>
        </w:tc>
      </w:tr>
      <w:tr>
        <w:tc>
          <w:tcPr>
            <w:tcW w:w="1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kundli-engine</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Python + FastAPI</w:t>
            </w:r>
          </w:p>
        </w:tc>
        <w:tc>
          <w:tcPr>
            <w:tcW w:w="57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Core Nirayan chart computation via pyswisseph. Computes Lagna, all planets (D1–D16), house analysis, Shadbala, Ashtakavarga, yoga detection. Configurable Ayanamsa (Lahiri/Raman/KP). North &amp; South Indian chart styles. Isolated library; &gt;=80% unit test coverage required (SRS §5.6).</w:t>
            </w:r>
          </w:p>
        </w:tc>
      </w:tr>
      <w:tr>
        <w:tc>
          <w:tcPr>
            <w:tcW w:w="1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dasha-engine</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Python + FastAPI</w:t>
            </w:r>
          </w:p>
        </w:tc>
        <w:tc>
          <w:tcPr>
            <w:tcW w:w="57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Six pluggable Dasha systems: Vimshottari, Yogini, Chara, Kalachakra, Narayana, Moola. Computes Mahadasha → Sookshma timelines. Gochara transit correlation. Pluggable module interface allows new systems without core modification (SRS §5.4).</w:t>
            </w:r>
          </w:p>
        </w:tc>
      </w:tr>
      <w:tr>
        <w:tc>
          <w:tcPr>
            <w:tcW w:w="1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ai-interpretation-service</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Python + FastAPI</w:t>
            </w:r>
          </w:p>
        </w:tc>
        <w:tc>
          <w:tcPr>
            <w:tcW w:w="57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Receives structured JSON from kundli + dasha engines. Constructs locale-aware prompts (en/hi/ta). Calls LLM via provider-agnostic adapter. Deterministic validation layer checks for internally inconsistent astrological claims. Supports conversational follow-up ('Ask the Astrologer'). All prompts anonymised — no PII in LLM calls.</w:t>
            </w:r>
          </w:p>
        </w:tc>
      </w:tr>
      <w:tr>
        <w:tc>
          <w:tcPr>
            <w:tcW w:w="1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credit-wallet-service</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Node.js + Express</w:t>
            </w:r>
          </w:p>
        </w:tc>
        <w:tc>
          <w:tcPr>
            <w:tcW w:w="57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Wallet lifecycle: balance checks, atomic credit deduction (PostgreSQL transactions), auto-refund on AI failure (&lt;=60s), promotional credits (consumed before paid credits), full immutable ledger history. Low-balance alert at &lt;=3 credits.</w:t>
            </w:r>
          </w:p>
        </w:tc>
      </w:tr>
      <w:tr>
        <w:tc>
          <w:tcPr>
            <w:tcW w:w="1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payment-gateway-service</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Node.js + Express</w:t>
            </w:r>
          </w:p>
        </w:tc>
        <w:tc>
          <w:tcPr>
            <w:tcW w:w="57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PCI-DSS-scoped SEPARATE module. Card (3DS) and UPI (VPA/QR) payment flows. Gateway-hosted iframe — no card data on platform servers. Razorpay/Stripe adapter pattern. Idempotent webhook handler. Geo-based pricing (INR/USD/EUR). GST/VAT/sales-tax calculation.</w:t>
            </w:r>
          </w:p>
        </w:tc>
      </w:tr>
      <w:tr>
        <w:tc>
          <w:tcPr>
            <w:tcW w:w="1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report-export-service</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Python + FastAPI</w:t>
            </w:r>
          </w:p>
        </w:tc>
        <w:tc>
          <w:tcPr>
            <w:tcW w:w="57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PDF (WeasyPrint/Puppeteer), DOCX for Professional users (python-docx), JSON/CSV raw data export. Presigned S3 URLs for secure download. Shareable expirable view-only links. Print-optimised layouts.</w:t>
            </w:r>
          </w:p>
        </w:tc>
      </w:tr>
      <w:tr>
        <w:tc>
          <w:tcPr>
            <w:tcW w:w="1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analytics-service</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Python + Celery</w:t>
            </w:r>
          </w:p>
        </w:tc>
        <w:tc>
          <w:tcPr>
            <w:tcW w:w="57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Anonymised Super Admin dashboard: user traffic, feature usage, revenue, credit analytics, system health (p50/p95/p99 latency, error rates, uptime). OpenSearch storage. CSV/Excel export. Automated weekly email digest (Monday).</w:t>
            </w:r>
          </w:p>
        </w:tc>
      </w:tr>
      <w:tr>
        <w:tc>
          <w:tcPr>
            <w:tcW w:w="1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notification-service</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Node.js + SQS</w:t>
            </w:r>
          </w:p>
        </w:tc>
        <w:tc>
          <w:tcPr>
            <w:tcW w:w="57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Async consumer: push notifications (Firebase FCM), emails (AWS SES), in-app alerts. i18n-aware templates. Triggered by Dasha transitions, low credit balance, payment receipts, weekly admin digest.</w:t>
            </w:r>
          </w:p>
        </w:tc>
      </w:tr>
    </w:tbl>
    <w:p>
      <w:pPr>
        <w:spacing w:before="40" w:after="40"/>
      </w:pPr>
    </w:p>
    <w:p>
      <w:r>
        <w:br w:type="page"/>
      </w:r>
    </w:p>
    <w:p>
      <w:pPr>
        <w:pStyle w:val="Heading1"/>
        <w:pBdr>
          <w:bottom w:val="single" w:sz="6" w:space="1" w:color="5B3DC8"/>
        </w:pBdr>
        <w:spacing w:before="360" w:after="160"/>
      </w:pPr>
      <w:r>
        <w:rPr>
          <w:b/>
          <w:color w:val="2C1A4F"/>
          <w:sz w:val="36"/>
        </w:rPr>
        <w:t>4. Codebase Folder &amp; Module Structure</w:t>
      </w:r>
    </w:p>
    <w:p>
      <w:pPr>
        <w:spacing w:before="60" w:after="80"/>
      </w:pPr>
      <w:r>
        <w:rPr>
          <w:color w:val="2C2416"/>
          <w:sz w:val="22"/>
        </w:rPr>
        <w:t>The repository is a monorepo managed with Turborepo. Each service directory contains its own Dockerfile and is independently deployable. The payment gateway, dasha engine, kundli engine, and UI are fully isolated packages as required by the project specification.</w:t>
      </w:r>
    </w:p>
    <w:p>
      <w:pPr>
        <w:spacing w:before="40" w:after="40"/>
      </w:pPr>
    </w:p>
    <w:tbl>
      <w:tblPr>
        <w:tblW w:w="9360" w:type="dxa"/>
        <w:tblLayout w:type="fixed"/>
        <w:tblLook w:firstColumn="1" w:firstRow="1" w:lastColumn="0" w:lastRow="0" w:noHBand="0" w:noVBand="1" w:val="04A0"/>
      </w:tblPr>
      <w:tblGrid>
        <w:gridCol w:w="9360"/>
      </w:tblGrid>
      <w:tr>
        <w:tc>
          <w:tcPr>
            <w:tcW w:w="9360" w:type="dxa"/>
            <w:tcBorders>
              <w:top w:val="single" w:sz="4" w:color="D4CAB8"/>
              <w:left w:val="single" w:sz="16" w:color="5B3DC8"/>
              <w:bottom w:val="single" w:sz="4" w:color="D4CAB8"/>
              <w:right w:val="none" w:sz="0" w:color="FFFFFF"/>
            </w:tcBorders>
            <w:shd w:val="clear" w:color="auto" w:fill="FAF6EE"/>
            <w:tcMar>
              <w:top w:w="120" w:type="dxa"/>
              <w:start w:w="200" w:type="dxa"/>
              <w:bottom w:w="120" w:type="dxa"/>
              <w:end w:w="120" w:type="dxa"/>
            </w:tcMar>
          </w:tcPr>
          <w:p>
            <w:pPr>
              <w:spacing w:before="0" w:after="0"/>
            </w:pPr>
            <w:r>
              <w:rPr>
                <w:rFonts w:ascii="Courier New" w:hAnsi="Courier New"/>
                <w:color w:val="2255AA"/>
                <w:sz w:val="18"/>
              </w:rPr>
              <w:t>vedic-astro-platform/</w:t>
            </w:r>
          </w:p>
          <w:p>
            <w:pPr>
              <w:spacing w:before="0" w:after="0"/>
            </w:pPr>
            <w:r>
              <w:rPr>
                <w:rFonts w:ascii="Courier New" w:hAnsi="Courier New"/>
                <w:color w:val="2255AA"/>
                <w:sz w:val="18"/>
              </w:rPr>
              <w:t>├── apps/</w:t>
            </w:r>
          </w:p>
          <w:p>
            <w:pPr>
              <w:spacing w:before="0" w:after="0"/>
            </w:pPr>
            <w:r>
              <w:rPr>
                <w:rFonts w:ascii="Courier New" w:hAnsi="Courier New"/>
                <w:color w:val="2255AA"/>
                <w:sz w:val="18"/>
              </w:rPr>
              <w:t>│   ├── web/                       # React SPA (Vite + Next.js SSR)</w:t>
            </w:r>
          </w:p>
          <w:p>
            <w:pPr>
              <w:spacing w:before="0" w:after="0"/>
            </w:pPr>
            <w:r>
              <w:rPr>
                <w:rFonts w:ascii="Courier New" w:hAnsi="Courier New"/>
                <w:color w:val="2255AA"/>
                <w:sz w:val="18"/>
              </w:rPr>
              <w:t>│   │   └── src/</w:t>
            </w:r>
          </w:p>
          <w:p>
            <w:pPr>
              <w:spacing w:before="0" w:after="0"/>
            </w:pPr>
            <w:r>
              <w:rPr>
                <w:rFonts w:ascii="Courier New" w:hAnsi="Courier New"/>
                <w:color w:val="2255AA"/>
                <w:sz w:val="18"/>
              </w:rPr>
              <w:t>│   │       ├── components/        # Shared UI components (design system)</w:t>
            </w:r>
          </w:p>
          <w:p>
            <w:pPr>
              <w:spacing w:before="0" w:after="0"/>
            </w:pPr>
            <w:r>
              <w:rPr>
                <w:rFonts w:ascii="Courier New" w:hAnsi="Courier New"/>
                <w:color w:val="2255AA"/>
                <w:sz w:val="18"/>
              </w:rPr>
              <w:t>│   │       ├── features/</w:t>
            </w:r>
          </w:p>
          <w:p>
            <w:pPr>
              <w:spacing w:before="0" w:after="0"/>
            </w:pPr>
            <w:r>
              <w:rPr>
                <w:rFonts w:ascii="Courier New" w:hAnsi="Courier New"/>
                <w:color w:val="2255AA"/>
                <w:sz w:val="18"/>
              </w:rPr>
              <w:t>│   │       │   ├── auth/          # Login, register, 2FA screens</w:t>
            </w:r>
          </w:p>
          <w:p>
            <w:pPr>
              <w:spacing w:before="0" w:after="0"/>
            </w:pPr>
            <w:r>
              <w:rPr>
                <w:rFonts w:ascii="Courier New" w:hAnsi="Courier New"/>
                <w:color w:val="2255AA"/>
                <w:sz w:val="18"/>
              </w:rPr>
              <w:t>│   │       │   ├── kundli/        # Birth data form, SVG chart renderer</w:t>
            </w:r>
          </w:p>
          <w:p>
            <w:pPr>
              <w:spacing w:before="0" w:after="0"/>
            </w:pPr>
            <w:r>
              <w:rPr>
                <w:rFonts w:ascii="Courier New" w:hAnsi="Courier New"/>
                <w:color w:val="2255AA"/>
                <w:sz w:val="18"/>
              </w:rPr>
              <w:t>│   │       │   ├── dasha/         # Dasha timeline view</w:t>
            </w:r>
          </w:p>
          <w:p>
            <w:pPr>
              <w:spacing w:before="0" w:after="0"/>
            </w:pPr>
            <w:r>
              <w:rPr>
                <w:rFonts w:ascii="Courier New" w:hAnsi="Courier New"/>
                <w:color w:val="2255AA"/>
                <w:sz w:val="18"/>
              </w:rPr>
              <w:t>│   │       │   ├── ai-reports/    # Report request, display, export</w:t>
            </w:r>
          </w:p>
          <w:p>
            <w:pPr>
              <w:spacing w:before="0" w:after="0"/>
            </w:pPr>
            <w:r>
              <w:rPr>
                <w:rFonts w:ascii="Courier New" w:hAnsi="Courier New"/>
                <w:color w:val="2255AA"/>
                <w:sz w:val="18"/>
              </w:rPr>
              <w:t>│   │       │   ├── wallet/        # Credit balance, buy credits, history</w:t>
            </w:r>
          </w:p>
          <w:p>
            <w:pPr>
              <w:spacing w:before="0" w:after="0"/>
            </w:pPr>
            <w:r>
              <w:rPr>
                <w:rFonts w:ascii="Courier New" w:hAnsi="Courier New"/>
                <w:color w:val="2255AA"/>
                <w:sz w:val="18"/>
              </w:rPr>
              <w:t>│   │       │   └── admin/         # Super Admin analytics portal</w:t>
            </w:r>
          </w:p>
          <w:p>
            <w:pPr>
              <w:spacing w:before="0" w:after="0"/>
            </w:pPr>
            <w:r>
              <w:rPr>
                <w:rFonts w:ascii="Courier New" w:hAnsi="Courier New"/>
                <w:color w:val="2255AA"/>
                <w:sz w:val="18"/>
              </w:rPr>
              <w:t>│   │       └── i18n/              # en / hi / ta JSON bundles</w:t>
            </w:r>
          </w:p>
          <w:p>
            <w:pPr>
              <w:spacing w:before="0" w:after="0"/>
            </w:pPr>
            <w:r>
              <w:rPr>
                <w:rFonts w:ascii="Courier New" w:hAnsi="Courier New"/>
                <w:color w:val="2255AA"/>
                <w:sz w:val="18"/>
              </w:rPr>
              <w:t>│   └── mobile/                    # React Native (Expo) — iOS + Android</w:t>
            </w:r>
          </w:p>
          <w:p>
            <w:pPr>
              <w:spacing w:before="0" w:after="0"/>
            </w:pPr>
            <w:r>
              <w:rPr>
                <w:rFonts w:ascii="Courier New" w:hAnsi="Courier New"/>
                <w:color w:val="2255AA"/>
                <w:sz w:val="18"/>
              </w:rPr>
              <w:t>│</w:t>
            </w:r>
          </w:p>
          <w:p>
            <w:pPr>
              <w:spacing w:before="0" w:after="0"/>
            </w:pPr>
            <w:r>
              <w:rPr>
                <w:rFonts w:ascii="Courier New" w:hAnsi="Courier New"/>
                <w:color w:val="2255AA"/>
                <w:sz w:val="18"/>
              </w:rPr>
              <w:t>├── services/                      # Backend microservices (independently deployable)</w:t>
            </w:r>
          </w:p>
          <w:p>
            <w:pPr>
              <w:spacing w:before="0" w:after="0"/>
            </w:pPr>
            <w:r>
              <w:rPr>
                <w:rFonts w:ascii="Courier New" w:hAnsi="Courier New"/>
                <w:color w:val="2255AA"/>
                <w:sz w:val="18"/>
              </w:rPr>
              <w:t>│   ├── auth-service/              # Node.js</w:t>
            </w:r>
          </w:p>
          <w:p>
            <w:pPr>
              <w:spacing w:before="0" w:after="0"/>
            </w:pPr>
            <w:r>
              <w:rPr>
                <w:rFonts w:ascii="Courier New" w:hAnsi="Courier New"/>
                <w:color w:val="2255AA"/>
                <w:sz w:val="18"/>
              </w:rPr>
              <w:t>│   ├── kundli-engine/             # Python + pyswisseph (isolated library)</w:t>
            </w:r>
          </w:p>
          <w:p>
            <w:pPr>
              <w:spacing w:before="0" w:after="0"/>
            </w:pPr>
            <w:r>
              <w:rPr>
                <w:rFonts w:ascii="Courier New" w:hAnsi="Courier New"/>
                <w:color w:val="2255AA"/>
                <w:sz w:val="18"/>
              </w:rPr>
              <w:t>│   │   └── src/calculator/</w:t>
            </w:r>
          </w:p>
          <w:p>
            <w:pPr>
              <w:spacing w:before="0" w:after="0"/>
            </w:pPr>
            <w:r>
              <w:rPr>
                <w:rFonts w:ascii="Courier New" w:hAnsi="Courier New"/>
                <w:color w:val="2255AA"/>
                <w:sz w:val="18"/>
              </w:rPr>
              <w:t>│   │       ├── ephemeris.py       # Swiss Ephemeris wrapper</w:t>
            </w:r>
          </w:p>
          <w:p>
            <w:pPr>
              <w:spacing w:before="0" w:after="0"/>
            </w:pPr>
            <w:r>
              <w:rPr>
                <w:rFonts w:ascii="Courier New" w:hAnsi="Courier New"/>
                <w:color w:val="2255AA"/>
                <w:sz w:val="18"/>
              </w:rPr>
              <w:t>│   │       ├── ayanamsa.py        # Lahiri / Raman / KP</w:t>
            </w:r>
          </w:p>
          <w:p>
            <w:pPr>
              <w:spacing w:before="0" w:after="0"/>
            </w:pPr>
            <w:r>
              <w:rPr>
                <w:rFonts w:ascii="Courier New" w:hAnsi="Courier New"/>
                <w:color w:val="2255AA"/>
                <w:sz w:val="18"/>
              </w:rPr>
              <w:t>│   │       ├── divisional.py      # D1–D16 charts</w:t>
            </w:r>
          </w:p>
          <w:p>
            <w:pPr>
              <w:spacing w:before="0" w:after="0"/>
            </w:pPr>
            <w:r>
              <w:rPr>
                <w:rFonts w:ascii="Courier New" w:hAnsi="Courier New"/>
                <w:color w:val="2255AA"/>
                <w:sz w:val="18"/>
              </w:rPr>
              <w:t>│   │       ├── shadbala.py        # Six-fold strength</w:t>
            </w:r>
          </w:p>
          <w:p>
            <w:pPr>
              <w:spacing w:before="0" w:after="0"/>
            </w:pPr>
            <w:r>
              <w:rPr>
                <w:rFonts w:ascii="Courier New" w:hAnsi="Courier New"/>
                <w:color w:val="2255AA"/>
                <w:sz w:val="18"/>
              </w:rPr>
              <w:t>│   │       ├── ashtakavarga.py    # Eight-source benefic points</w:t>
            </w:r>
          </w:p>
          <w:p>
            <w:pPr>
              <w:spacing w:before="0" w:after="0"/>
            </w:pPr>
            <w:r>
              <w:rPr>
                <w:rFonts w:ascii="Courier New" w:hAnsi="Courier New"/>
                <w:color w:val="2255AA"/>
                <w:sz w:val="18"/>
              </w:rPr>
              <w:t>│   │       └── yogas.py           # Yoga detection engine</w:t>
            </w:r>
          </w:p>
          <w:p>
            <w:pPr>
              <w:spacing w:before="0" w:after="0"/>
            </w:pPr>
            <w:r>
              <w:rPr>
                <w:rFonts w:ascii="Courier New" w:hAnsi="Courier New"/>
                <w:color w:val="2255AA"/>
                <w:sz w:val="18"/>
              </w:rPr>
              <w:t>│   ├── dasha-engine/              # Python — SEPARATE MODULE (SRS §5.4)</w:t>
            </w:r>
          </w:p>
          <w:p>
            <w:pPr>
              <w:spacing w:before="0" w:after="0"/>
            </w:pPr>
            <w:r>
              <w:rPr>
                <w:rFonts w:ascii="Courier New" w:hAnsi="Courier New"/>
                <w:color w:val="2255AA"/>
                <w:sz w:val="18"/>
              </w:rPr>
              <w:t>│   │   └── src/systems/           # Pluggable dasha modules</w:t>
            </w:r>
          </w:p>
          <w:p>
            <w:pPr>
              <w:spacing w:before="0" w:after="0"/>
            </w:pPr>
            <w:r>
              <w:rPr>
                <w:rFonts w:ascii="Courier New" w:hAnsi="Courier New"/>
                <w:color w:val="2255AA"/>
                <w:sz w:val="18"/>
              </w:rPr>
              <w:t>│   │       ├── vimshottari.py</w:t>
            </w:r>
          </w:p>
          <w:p>
            <w:pPr>
              <w:spacing w:before="0" w:after="0"/>
            </w:pPr>
            <w:r>
              <w:rPr>
                <w:rFonts w:ascii="Courier New" w:hAnsi="Courier New"/>
                <w:color w:val="2255AA"/>
                <w:sz w:val="18"/>
              </w:rPr>
              <w:t>│   │       ├── yogini.py</w:t>
            </w:r>
          </w:p>
          <w:p>
            <w:pPr>
              <w:spacing w:before="0" w:after="0"/>
            </w:pPr>
            <w:r>
              <w:rPr>
                <w:rFonts w:ascii="Courier New" w:hAnsi="Courier New"/>
                <w:color w:val="2255AA"/>
                <w:sz w:val="18"/>
              </w:rPr>
              <w:t>│   │       ├── chara.py</w:t>
            </w:r>
          </w:p>
          <w:p>
            <w:pPr>
              <w:spacing w:before="0" w:after="0"/>
            </w:pPr>
            <w:r>
              <w:rPr>
                <w:rFonts w:ascii="Courier New" w:hAnsi="Courier New"/>
                <w:color w:val="2255AA"/>
                <w:sz w:val="18"/>
              </w:rPr>
              <w:t>│   │       ├── kalachakra.py</w:t>
            </w:r>
          </w:p>
          <w:p>
            <w:pPr>
              <w:spacing w:before="0" w:after="0"/>
            </w:pPr>
            <w:r>
              <w:rPr>
                <w:rFonts w:ascii="Courier New" w:hAnsi="Courier New"/>
                <w:color w:val="2255AA"/>
                <w:sz w:val="18"/>
              </w:rPr>
              <w:t>│   │       ├── narayana.py</w:t>
            </w:r>
          </w:p>
          <w:p>
            <w:pPr>
              <w:spacing w:before="0" w:after="0"/>
            </w:pPr>
            <w:r>
              <w:rPr>
                <w:rFonts w:ascii="Courier New" w:hAnsi="Courier New"/>
                <w:color w:val="2255AA"/>
                <w:sz w:val="18"/>
              </w:rPr>
              <w:t>│   │       └── moola.py</w:t>
            </w:r>
          </w:p>
          <w:p>
            <w:pPr>
              <w:spacing w:before="0" w:after="0"/>
            </w:pPr>
            <w:r>
              <w:rPr>
                <w:rFonts w:ascii="Courier New" w:hAnsi="Courier New"/>
                <w:color w:val="2255AA"/>
                <w:sz w:val="18"/>
              </w:rPr>
              <w:t>│   ├── ai-interpretation-service/ # Python</w:t>
            </w:r>
          </w:p>
          <w:p>
            <w:pPr>
              <w:spacing w:before="0" w:after="0"/>
            </w:pPr>
            <w:r>
              <w:rPr>
                <w:rFonts w:ascii="Courier New" w:hAnsi="Courier New"/>
                <w:color w:val="2255AA"/>
                <w:sz w:val="18"/>
              </w:rPr>
              <w:t>│   │   └── src/</w:t>
            </w:r>
          </w:p>
          <w:p>
            <w:pPr>
              <w:spacing w:before="0" w:after="0"/>
            </w:pPr>
            <w:r>
              <w:rPr>
                <w:rFonts w:ascii="Courier New" w:hAnsi="Courier New"/>
                <w:color w:val="2255AA"/>
                <w:sz w:val="18"/>
              </w:rPr>
              <w:t>│   │       ├── prompt_builder/    # Locale-aware prompt construction</w:t>
            </w:r>
          </w:p>
          <w:p>
            <w:pPr>
              <w:spacing w:before="0" w:after="0"/>
            </w:pPr>
            <w:r>
              <w:rPr>
                <w:rFonts w:ascii="Courier New" w:hAnsi="Courier New"/>
                <w:color w:val="2255AA"/>
                <w:sz w:val="18"/>
              </w:rPr>
              <w:t>│   │       ├── validators/        # Deterministic astro consistency checks</w:t>
            </w:r>
          </w:p>
          <w:p>
            <w:pPr>
              <w:spacing w:before="0" w:after="0"/>
            </w:pPr>
            <w:r>
              <w:rPr>
                <w:rFonts w:ascii="Courier New" w:hAnsi="Courier New"/>
                <w:color w:val="2255AA"/>
                <w:sz w:val="18"/>
              </w:rPr>
              <w:t>│   │       ├── llm_client/        # Provider-agnostic LLM adapter</w:t>
            </w:r>
          </w:p>
          <w:p>
            <w:pPr>
              <w:spacing w:before="0" w:after="0"/>
            </w:pPr>
            <w:r>
              <w:rPr>
                <w:rFonts w:ascii="Courier New" w:hAnsi="Courier New"/>
                <w:color w:val="2255AA"/>
                <w:sz w:val="18"/>
              </w:rPr>
              <w:t>│   │       └── report_types/      # personal / compatibility / career</w:t>
            </w:r>
          </w:p>
          <w:p>
            <w:pPr>
              <w:spacing w:before="0" w:after="0"/>
            </w:pPr>
            <w:r>
              <w:rPr>
                <w:rFonts w:ascii="Courier New" w:hAnsi="Courier New"/>
                <w:color w:val="2255AA"/>
                <w:sz w:val="18"/>
              </w:rPr>
              <w:t>│   ├── credit-wallet-service/     # Node.js</w:t>
            </w:r>
          </w:p>
          <w:p>
            <w:pPr>
              <w:spacing w:before="0" w:after="0"/>
            </w:pPr>
            <w:r>
              <w:rPr>
                <w:rFonts w:ascii="Courier New" w:hAnsi="Courier New"/>
                <w:color w:val="2255AA"/>
                <w:sz w:val="18"/>
              </w:rPr>
              <w:t>│   ├── payment-gateway-service/   # Node.js — SEPARATE MODULE (PCI-DSS scoped)</w:t>
            </w:r>
          </w:p>
          <w:p>
            <w:pPr>
              <w:spacing w:before="0" w:after="0"/>
            </w:pPr>
            <w:r>
              <w:rPr>
                <w:rFonts w:ascii="Courier New" w:hAnsi="Courier New"/>
                <w:color w:val="2255AA"/>
                <w:sz w:val="18"/>
              </w:rPr>
              <w:t>│   │   └── src/</w:t>
            </w:r>
          </w:p>
          <w:p>
            <w:pPr>
              <w:spacing w:before="0" w:after="0"/>
            </w:pPr>
            <w:r>
              <w:rPr>
                <w:rFonts w:ascii="Courier New" w:hAnsi="Courier New"/>
                <w:color w:val="2255AA"/>
                <w:sz w:val="18"/>
              </w:rPr>
              <w:t>│   │       ├── adapters/          # razorpay.adapter.js | stripe.adapter.js</w:t>
            </w:r>
          </w:p>
          <w:p>
            <w:pPr>
              <w:spacing w:before="0" w:after="0"/>
            </w:pPr>
            <w:r>
              <w:rPr>
                <w:rFonts w:ascii="Courier New" w:hAnsi="Courier New"/>
                <w:color w:val="2255AA"/>
                <w:sz w:val="18"/>
              </w:rPr>
              <w:t>│   │       ├── upi/               # VPA, QR code, deep-link flow</w:t>
            </w:r>
          </w:p>
          <w:p>
            <w:pPr>
              <w:spacing w:before="0" w:after="0"/>
            </w:pPr>
            <w:r>
              <w:rPr>
                <w:rFonts w:ascii="Courier New" w:hAnsi="Courier New"/>
                <w:color w:val="2255AA"/>
                <w:sz w:val="18"/>
              </w:rPr>
              <w:t>│   │       ├── webhooks/          # Idempotent webhook handlers</w:t>
            </w:r>
          </w:p>
          <w:p>
            <w:pPr>
              <w:spacing w:before="0" w:after="0"/>
            </w:pPr>
            <w:r>
              <w:rPr>
                <w:rFonts w:ascii="Courier New" w:hAnsi="Courier New"/>
                <w:color w:val="2255AA"/>
                <w:sz w:val="18"/>
              </w:rPr>
              <w:t>│   │       └── geo-pricing/       # INR / USD / EUR pricing lookup</w:t>
            </w:r>
          </w:p>
          <w:p>
            <w:pPr>
              <w:spacing w:before="0" w:after="0"/>
            </w:pPr>
            <w:r>
              <w:rPr>
                <w:rFonts w:ascii="Courier New" w:hAnsi="Courier New"/>
                <w:color w:val="2255AA"/>
                <w:sz w:val="18"/>
              </w:rPr>
              <w:t>│   ├── report-export-service/     # Python</w:t>
            </w:r>
          </w:p>
          <w:p>
            <w:pPr>
              <w:spacing w:before="0" w:after="0"/>
            </w:pPr>
            <w:r>
              <w:rPr>
                <w:rFonts w:ascii="Courier New" w:hAnsi="Courier New"/>
                <w:color w:val="2255AA"/>
                <w:sz w:val="18"/>
              </w:rPr>
              <w:t>│   ├── analytics-service/         # Python + Celery</w:t>
            </w:r>
          </w:p>
          <w:p>
            <w:pPr>
              <w:spacing w:before="0" w:after="0"/>
            </w:pPr>
            <w:r>
              <w:rPr>
                <w:rFonts w:ascii="Courier New" w:hAnsi="Courier New"/>
                <w:color w:val="2255AA"/>
                <w:sz w:val="18"/>
              </w:rPr>
              <w:t>│   └── notification-service/      # Node.js + SQS consumer</w:t>
            </w:r>
          </w:p>
          <w:p>
            <w:pPr>
              <w:spacing w:before="0" w:after="0"/>
            </w:pPr>
            <w:r>
              <w:rPr>
                <w:rFonts w:ascii="Courier New" w:hAnsi="Courier New"/>
                <w:color w:val="2255AA"/>
                <w:sz w:val="18"/>
              </w:rPr>
              <w:t>│</w:t>
            </w:r>
          </w:p>
          <w:p>
            <w:pPr>
              <w:spacing w:before="0" w:after="0"/>
            </w:pPr>
            <w:r>
              <w:rPr>
                <w:rFonts w:ascii="Courier New" w:hAnsi="Courier New"/>
                <w:color w:val="2255AA"/>
                <w:sz w:val="18"/>
              </w:rPr>
              <w:t>├── packages/                      # Shared internal libraries</w:t>
            </w:r>
          </w:p>
          <w:p>
            <w:pPr>
              <w:spacing w:before="0" w:after="0"/>
            </w:pPr>
            <w:r>
              <w:rPr>
                <w:rFonts w:ascii="Courier New" w:hAnsi="Courier New"/>
                <w:color w:val="2255AA"/>
                <w:sz w:val="18"/>
              </w:rPr>
              <w:t>│   ├── shared-types/              # TypeScript interfaces (web + mobile + services)</w:t>
            </w:r>
          </w:p>
          <w:p>
            <w:pPr>
              <w:spacing w:before="0" w:after="0"/>
            </w:pPr>
            <w:r>
              <w:rPr>
                <w:rFonts w:ascii="Courier New" w:hAnsi="Courier New"/>
                <w:color w:val="2255AA"/>
                <w:sz w:val="18"/>
              </w:rPr>
              <w:t>│   ├── design-system/             # Component library (Storybook)</w:t>
            </w:r>
          </w:p>
          <w:p>
            <w:pPr>
              <w:spacing w:before="0" w:after="0"/>
            </w:pPr>
            <w:r>
              <w:rPr>
                <w:rFonts w:ascii="Courier New" w:hAnsi="Courier New"/>
                <w:color w:val="2255AA"/>
                <w:sz w:val="18"/>
              </w:rPr>
              <w:t>│   └── astro-core-lib/            # Pure Python: kundli + dasha standalone lib</w:t>
            </w:r>
          </w:p>
          <w:p>
            <w:pPr>
              <w:spacing w:before="0" w:after="0"/>
            </w:pPr>
            <w:r>
              <w:rPr>
                <w:rFonts w:ascii="Courier New" w:hAnsi="Courier New"/>
                <w:color w:val="2255AA"/>
                <w:sz w:val="18"/>
              </w:rPr>
              <w:t>│</w:t>
            </w:r>
          </w:p>
          <w:p>
            <w:pPr>
              <w:spacing w:before="0" w:after="0"/>
            </w:pPr>
            <w:r>
              <w:rPr>
                <w:rFonts w:ascii="Courier New" w:hAnsi="Courier New"/>
                <w:color w:val="2255AA"/>
                <w:sz w:val="18"/>
              </w:rPr>
              <w:t>├── infrastructure/                # Infrastructure-as-Code</w:t>
            </w:r>
          </w:p>
          <w:p>
            <w:pPr>
              <w:spacing w:before="0" w:after="0"/>
            </w:pPr>
            <w:r>
              <w:rPr>
                <w:rFonts w:ascii="Courier New" w:hAnsi="Courier New"/>
                <w:color w:val="2255AA"/>
                <w:sz w:val="18"/>
              </w:rPr>
              <w:t>│   ├── terraform/                 # AWS / GCP resource definitions</w:t>
            </w:r>
          </w:p>
          <w:p>
            <w:pPr>
              <w:spacing w:before="0" w:after="0"/>
            </w:pPr>
            <w:r>
              <w:rPr>
                <w:rFonts w:ascii="Courier New" w:hAnsi="Courier New"/>
                <w:color w:val="2255AA"/>
                <w:sz w:val="18"/>
              </w:rPr>
              <w:t>│   ├── k8s/                       # Kubernetes manifests per service</w:t>
            </w:r>
          </w:p>
          <w:p>
            <w:pPr>
              <w:spacing w:before="0" w:after="0"/>
            </w:pPr>
            <w:r>
              <w:rPr>
                <w:rFonts w:ascii="Courier New" w:hAnsi="Courier New"/>
                <w:color w:val="2255AA"/>
                <w:sz w:val="18"/>
              </w:rPr>
              <w:t>│   └── helm/                      # Helm charts per service</w:t>
            </w:r>
          </w:p>
          <w:p>
            <w:pPr>
              <w:spacing w:before="0" w:after="0"/>
            </w:pPr>
            <w:r>
              <w:rPr>
                <w:rFonts w:ascii="Courier New" w:hAnsi="Courier New"/>
                <w:color w:val="2255AA"/>
                <w:sz w:val="18"/>
              </w:rPr>
              <w:t>│</w:t>
            </w:r>
          </w:p>
          <w:p>
            <w:pPr>
              <w:spacing w:before="0" w:after="0"/>
            </w:pPr>
            <w:r>
              <w:rPr>
                <w:rFonts w:ascii="Courier New" w:hAnsi="Courier New"/>
                <w:color w:val="2255AA"/>
                <w:sz w:val="18"/>
              </w:rPr>
              <w:t>└── ci-cd/                         # GitHub Actions pipelines</w:t>
            </w:r>
          </w:p>
        </w:tc>
      </w:tr>
    </w:tbl>
    <w:p>
      <w:pPr>
        <w:spacing w:before="40" w:after="40"/>
      </w:pPr>
    </w:p>
    <w:p>
      <w:r>
        <w:br w:type="page"/>
      </w:r>
    </w:p>
    <w:p>
      <w:pPr>
        <w:pStyle w:val="Heading1"/>
        <w:pBdr>
          <w:bottom w:val="single" w:sz="6" w:space="1" w:color="5B3DC8"/>
        </w:pBdr>
        <w:spacing w:before="360" w:after="160"/>
      </w:pPr>
      <w:r>
        <w:rPr>
          <w:b/>
          <w:color w:val="2C1A4F"/>
          <w:sz w:val="36"/>
        </w:rPr>
        <w:t>5. Data Flow Diagrams</w:t>
      </w:r>
    </w:p>
    <w:p>
      <w:pPr>
        <w:pStyle w:val="Heading2"/>
        <w:spacing w:before="240" w:after="120"/>
      </w:pPr>
      <w:r>
        <w:rPr>
          <w:b/>
          <w:color w:val="1A3A6B"/>
          <w:sz w:val="28"/>
        </w:rPr>
        <w:t>5.1 AI Report Generation Flow (Credit-Gated)</w:t>
      </w:r>
    </w:p>
    <w:p>
      <w:pPr>
        <w:spacing w:before="60" w:after="80"/>
      </w:pPr>
      <w:r>
        <w:rPr>
          <w:color w:val="2C2416"/>
          <w:sz w:val="22"/>
        </w:rPr>
        <w:t>The primary user journey — a credit-gated, multi-service orchestration flow covering Kundli calculation, Dasha computation, and AI interpretation.</w:t>
      </w:r>
    </w:p>
    <w:p>
      <w:pPr>
        <w:spacing w:before="40" w:after="40"/>
      </w:pPr>
    </w:p>
    <w:p>
      <w:pPr>
        <w:pStyle w:val="ListBullet"/>
        <w:spacing w:before="40" w:after="40"/>
      </w:pPr>
      <w:r>
        <w:rPr>
          <w:color w:val="2C2416"/>
          <w:sz w:val="22"/>
        </w:rPr>
        <w:t>User selects a report type (Personal / Compatibility / Career).</w:t>
      </w:r>
    </w:p>
    <w:p>
      <w:pPr>
        <w:pStyle w:val="ListBullet"/>
        <w:spacing w:before="40" w:after="40"/>
      </w:pPr>
      <w:r>
        <w:rPr>
          <w:color w:val="2C2416"/>
          <w:sz w:val="22"/>
        </w:rPr>
        <w:t>UI calls credit-wallet-service to check current balance.</w:t>
      </w:r>
    </w:p>
    <w:p>
      <w:pPr>
        <w:pStyle w:val="ListBullet"/>
        <w:spacing w:before="40" w:after="40"/>
      </w:pPr>
      <w:r>
        <w:rPr>
          <w:color w:val="2C2416"/>
          <w:sz w:val="22"/>
        </w:rPr>
        <w:t>INSUFFICIENT BALANCE: Report generation is blocked. UI displays current balance, credits required, and a direct 'Buy Credits' call-to-action.</w:t>
      </w:r>
    </w:p>
    <w:p>
      <w:pPr>
        <w:pStyle w:val="ListBullet"/>
        <w:spacing w:before="40" w:after="40"/>
      </w:pPr>
      <w:r>
        <w:rPr>
          <w:color w:val="2C2416"/>
          <w:sz w:val="22"/>
        </w:rPr>
        <w:t>SUFFICIENT BALANCE: User confirms. credit-wallet-service atomically deducts required credits (PostgreSQL transaction with rollback on failure).</w:t>
      </w:r>
    </w:p>
    <w:p>
      <w:pPr>
        <w:pStyle w:val="ListBullet"/>
        <w:spacing w:before="40" w:after="40"/>
      </w:pPr>
      <w:r>
        <w:rPr>
          <w:color w:val="2C2416"/>
          <w:sz w:val="22"/>
        </w:rPr>
        <w:t>API Gateway routes to kundli-engine with birth data. Returns structured JSON: planetary positions, houses, D1–D16 charts, yogas, Shadbala, Ashtakavarga.</w:t>
      </w:r>
    </w:p>
    <w:p>
      <w:pPr>
        <w:pStyle w:val="ListBullet"/>
        <w:spacing w:before="40" w:after="40"/>
      </w:pPr>
      <w:r>
        <w:rPr>
          <w:color w:val="2C2416"/>
          <w:sz w:val="22"/>
        </w:rPr>
        <w:t>Structured JSON forwarded to dasha-engine. Returns Dasha timeline with Gochara (transit) correlation for all supported Dasha systems.</w:t>
      </w:r>
    </w:p>
    <w:p>
      <w:pPr>
        <w:pStyle w:val="ListBullet"/>
        <w:spacing w:before="40" w:after="40"/>
      </w:pPr>
      <w:r>
        <w:rPr>
          <w:color w:val="2C2416"/>
          <w:sz w:val="22"/>
        </w:rPr>
        <w:t>ai-interpretation-service receives combined JSON. Prompt builder constructs locale-aware prompt. Deterministic validator pre-checks astro consistency. LLM API is called (anonymised — no PII in prompt).</w:t>
      </w:r>
    </w:p>
    <w:p>
      <w:pPr>
        <w:pStyle w:val="ListBullet"/>
        <w:spacing w:before="40" w:after="40"/>
      </w:pPr>
      <w:r>
        <w:rPr>
          <w:color w:val="2C2416"/>
          <w:sz w:val="22"/>
        </w:rPr>
        <w:t>LLM response validated and returned to frontend. UI renders report with post-balance summary: credits consumed and remaining balance displayed on the report screen.</w:t>
      </w:r>
    </w:p>
    <w:p>
      <w:pPr>
        <w:pStyle w:val="ListBullet"/>
        <w:spacing w:before="40" w:after="40"/>
      </w:pPr>
      <w:r>
        <w:rPr>
          <w:color w:val="2C2416"/>
          <w:sz w:val="22"/>
        </w:rPr>
        <w:t>SUCCESS PATH: Credits remain permanently deducted. Ledger record created (type=consumed).</w:t>
      </w:r>
    </w:p>
    <w:p>
      <w:pPr>
        <w:pStyle w:val="ListBullet"/>
        <w:spacing w:before="40" w:after="40"/>
      </w:pPr>
      <w:r>
        <w:rPr>
          <w:color w:val="2C2416"/>
          <w:sz w:val="22"/>
        </w:rPr>
        <w:t>FAILURE PATH (AI error): credit-wallet-service auto-refunds deducted credits within 60 seconds. Ledger record created (type=refund). notification-service sends failure alert.</w:t>
      </w:r>
    </w:p>
    <w:p>
      <w:pPr>
        <w:spacing w:before="40" w:after="40"/>
      </w:pPr>
    </w:p>
    <w:p>
      <w:pPr>
        <w:pStyle w:val="Heading2"/>
        <w:spacing w:before="240" w:after="120"/>
      </w:pPr>
      <w:r>
        <w:rPr>
          <w:b/>
          <w:color w:val="1A3A6B"/>
          <w:sz w:val="28"/>
        </w:rPr>
        <w:t>5.2 Credit Purchase Flow (Card / UPI)</w:t>
      </w:r>
    </w:p>
    <w:p>
      <w:pPr>
        <w:pStyle w:val="ListBullet"/>
        <w:spacing w:before="40" w:after="40"/>
      </w:pPr>
      <w:r>
        <w:rPr>
          <w:color w:val="2C2416"/>
          <w:sz w:val="22"/>
        </w:rPr>
        <w:t>User taps 'Buy Credits' (accessible from wallet indicator, report gate screen, or dashboard).</w:t>
      </w:r>
    </w:p>
    <w:p>
      <w:pPr>
        <w:pStyle w:val="ListBullet"/>
        <w:spacing w:before="40" w:after="40"/>
      </w:pPr>
      <w:r>
        <w:rPr>
          <w:color w:val="2C2416"/>
          <w:sz w:val="22"/>
        </w:rPr>
        <w:t>payment-gateway-service returns geo-priced pack options (INR for India, USD for USA/Canada, EUR for EU).</w:t>
      </w:r>
    </w:p>
    <w:p>
      <w:pPr>
        <w:pStyle w:val="ListBullet"/>
        <w:spacing w:before="40" w:after="40"/>
      </w:pPr>
      <w:r>
        <w:rPr>
          <w:color w:val="2C2416"/>
          <w:sz w:val="22"/>
        </w:rPr>
        <w:t>User selects pack. Order summary displayed: pack name, credits, price, taxes (GST/VAT/sales tax).</w:t>
      </w:r>
    </w:p>
    <w:p>
      <w:pPr>
        <w:pStyle w:val="ListBullet"/>
        <w:spacing w:before="40" w:after="40"/>
      </w:pPr>
      <w:r>
        <w:rPr>
          <w:color w:val="2C2416"/>
          <w:sz w:val="22"/>
        </w:rPr>
        <w:t>CARD PATH: Gateway-hosted iframe renders. No card data touches platform servers (PCI-DSS scope minimised). 3D Secure OTP triggered as required by issuing bank.</w:t>
      </w:r>
    </w:p>
    <w:p>
      <w:pPr>
        <w:pStyle w:val="ListBullet"/>
        <w:spacing w:before="40" w:after="40"/>
      </w:pPr>
      <w:r>
        <w:rPr>
          <w:color w:val="2C2416"/>
          <w:sz w:val="22"/>
        </w:rPr>
        <w:t>UPI PATH: User enters VPA or scans QR. Deep-link opens installed UPI app (GPay, PhonePe, Paytm, BHIM) on mobile device.</w:t>
      </w:r>
    </w:p>
    <w:p>
      <w:pPr>
        <w:pStyle w:val="ListBullet"/>
        <w:spacing w:before="40" w:after="40"/>
      </w:pPr>
      <w:r>
        <w:rPr>
          <w:color w:val="2C2416"/>
          <w:sz w:val="22"/>
        </w:rPr>
        <w:t>Payment gateway sends HMAC-signed webhook to payment-gateway-service. Handler verifies signature and is idempotent (duplicate webhooks ignored).</w:t>
      </w:r>
    </w:p>
    <w:p>
      <w:pPr>
        <w:pStyle w:val="ListBullet"/>
        <w:spacing w:before="40" w:after="40"/>
      </w:pPr>
      <w:r>
        <w:rPr>
          <w:color w:val="2C2416"/>
          <w:sz w:val="22"/>
        </w:rPr>
        <w:t>payment-gateway-service publishes CreditPurchaseConfirmed event to SQS.</w:t>
      </w:r>
    </w:p>
    <w:p>
      <w:pPr>
        <w:pStyle w:val="ListBullet"/>
        <w:spacing w:before="40" w:after="40"/>
      </w:pPr>
      <w:r>
        <w:rPr>
          <w:color w:val="2C2416"/>
          <w:sz w:val="22"/>
        </w:rPr>
        <w:t>credit-wallet-service consumes the event and atomically credits the purchased amount to the wallet.</w:t>
      </w:r>
    </w:p>
    <w:p>
      <w:pPr>
        <w:pStyle w:val="ListBullet"/>
        <w:spacing w:before="40" w:after="40"/>
      </w:pPr>
      <w:r>
        <w:rPr>
          <w:color w:val="2C2416"/>
          <w:sz w:val="22"/>
        </w:rPr>
        <w:t>Wallet balance updates in UI within 5 seconds via WebSocket/SSE push. Email receipt dispatched via notification-service.</w:t>
      </w:r>
    </w:p>
    <w:p>
      <w:pPr>
        <w:spacing w:before="40" w:after="40"/>
      </w:pPr>
    </w:p>
    <w:p>
      <w:pPr>
        <w:pStyle w:val="Heading2"/>
        <w:spacing w:before="240" w:after="120"/>
      </w:pPr>
      <w:r>
        <w:rPr>
          <w:b/>
          <w:color w:val="1A3A6B"/>
          <w:sz w:val="28"/>
        </w:rPr>
        <w:t>5.3 User Registration &amp; Onboarding Flow</w:t>
      </w:r>
    </w:p>
    <w:p>
      <w:pPr>
        <w:pStyle w:val="ListBullet"/>
        <w:spacing w:before="40" w:after="40"/>
      </w:pPr>
      <w:r>
        <w:rPr>
          <w:color w:val="2C2416"/>
          <w:sz w:val="22"/>
        </w:rPr>
        <w:t>User registers via email/password or OAuth (Google/Apple).</w:t>
      </w:r>
    </w:p>
    <w:p>
      <w:pPr>
        <w:pStyle w:val="ListBullet"/>
        <w:spacing w:before="40" w:after="40"/>
      </w:pPr>
      <w:r>
        <w:rPr>
          <w:color w:val="2C2416"/>
          <w:sz w:val="22"/>
        </w:rPr>
        <w:t>auth-service validates, hashes password (bcrypt), issues access + refresh JWT pair.</w:t>
      </w:r>
    </w:p>
    <w:p>
      <w:pPr>
        <w:pStyle w:val="ListBullet"/>
        <w:spacing w:before="40" w:after="40"/>
      </w:pPr>
      <w:r>
        <w:rPr>
          <w:color w:val="2C2416"/>
          <w:sz w:val="22"/>
        </w:rPr>
        <w:t>User selects preferred language (en / hi / ta) during onboarding.</w:t>
      </w:r>
    </w:p>
    <w:p>
      <w:pPr>
        <w:pStyle w:val="ListBullet"/>
        <w:spacing w:before="40" w:after="40"/>
      </w:pPr>
      <w:r>
        <w:rPr>
          <w:color w:val="2C2416"/>
          <w:sz w:val="22"/>
        </w:rPr>
        <w:t>IP geolocation determines user region (IN / US / EU) — confirmed by user. Region determines pricing tier.</w:t>
      </w:r>
    </w:p>
    <w:p>
      <w:pPr>
        <w:pStyle w:val="ListBullet"/>
        <w:spacing w:before="40" w:after="40"/>
      </w:pPr>
      <w:r>
        <w:rPr>
          <w:color w:val="2C2416"/>
          <w:sz w:val="22"/>
        </w:rPr>
        <w:t>credit-wallet-service automatically creates a credit wallet for the new user.</w:t>
      </w:r>
    </w:p>
    <w:p>
      <w:pPr>
        <w:pStyle w:val="ListBullet"/>
        <w:spacing w:before="40" w:after="40"/>
      </w:pPr>
      <w:r>
        <w:rPr>
          <w:color w:val="2C2416"/>
          <w:sz w:val="22"/>
        </w:rPr>
        <w:t>Promotional welcome credits awarded and labelled 'Promo' in the ledger.</w:t>
      </w:r>
    </w:p>
    <w:p>
      <w:pPr>
        <w:pStyle w:val="ListBullet"/>
        <w:spacing w:before="40" w:after="40"/>
      </w:pPr>
      <w:r>
        <w:rPr>
          <w:color w:val="2C2416"/>
          <w:sz w:val="22"/>
        </w:rPr>
        <w:t>User prompted to set up 2FA (TOTP). Mandatory for professional astrologers and admins.</w:t>
      </w:r>
    </w:p>
    <w:p>
      <w:pPr>
        <w:pStyle w:val="ListBullet"/>
        <w:spacing w:before="40" w:after="40"/>
      </w:pPr>
      <w:r>
        <w:rPr>
          <w:color w:val="2C2416"/>
          <w:sz w:val="22"/>
        </w:rPr>
        <w:t>User creates first Kundli profile (name, DOB, TOB, timezone, birth place).</w:t>
      </w:r>
    </w:p>
    <w:p>
      <w:r>
        <w:br w:type="page"/>
      </w:r>
    </w:p>
    <w:p>
      <w:pPr>
        <w:pStyle w:val="Heading1"/>
        <w:pBdr>
          <w:bottom w:val="single" w:sz="6" w:space="1" w:color="5B3DC8"/>
        </w:pBdr>
        <w:spacing w:before="360" w:after="160"/>
      </w:pPr>
      <w:r>
        <w:rPr>
          <w:b/>
          <w:color w:val="2C1A4F"/>
          <w:sz w:val="36"/>
        </w:rPr>
        <w:t>6. Database Schema Design</w:t>
      </w:r>
    </w:p>
    <w:p>
      <w:pPr>
        <w:spacing w:before="60" w:after="80"/>
      </w:pPr>
      <w:r>
        <w:rPr>
          <w:color w:val="2C2416"/>
          <w:sz w:val="22"/>
        </w:rPr>
        <w:t>PostgreSQL 16 is the primary transactional database. Each microservice owns its logical schema. All sensitive fields (name, birth data, email) are encrypted at rest via AWS KMS. The wallet_ledger table is write-once and tamper-evident. Point-in-time recovery is enabled with a 7-day window.</w:t>
      </w:r>
    </w:p>
    <w:p>
      <w:pPr>
        <w:spacing w:before="40" w:after="40"/>
      </w:pPr>
    </w:p>
    <w:p>
      <w:pPr>
        <w:pStyle w:val="Heading3"/>
        <w:spacing w:before="200" w:after="80"/>
      </w:pPr>
      <w:r>
        <w:rPr>
          <w:b/>
          <w:color w:val="0F4F66"/>
          <w:sz w:val="24"/>
        </w:rPr>
        <w:t>users</w:t>
      </w:r>
    </w:p>
    <w:tbl>
      <w:tblPr>
        <w:tblW w:w="9360" w:type="dxa"/>
        <w:tblLayout w:type="fixed"/>
        <w:tblLook w:firstColumn="1" w:firstRow="1" w:lastColumn="0" w:lastRow="0" w:noHBand="0" w:noVBand="1" w:val="04A0"/>
      </w:tblPr>
      <w:tblGrid>
        <w:gridCol w:w="2000"/>
        <w:gridCol w:w="1600"/>
        <w:gridCol w:w="900"/>
        <w:gridCol w:w="4860"/>
      </w:tblGrid>
      <w:tr>
        <w:tc>
          <w:tcPr>
            <w:tcW w:w="20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Column</w:t>
            </w:r>
          </w:p>
        </w:tc>
        <w:tc>
          <w:tcPr>
            <w:tcW w:w="16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Type</w:t>
            </w:r>
          </w:p>
        </w:tc>
        <w:tc>
          <w:tcPr>
            <w:tcW w:w="9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Key</w:t>
            </w:r>
          </w:p>
        </w:tc>
        <w:tc>
          <w:tcPr>
            <w:tcW w:w="48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Notes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id</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PK</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Auto-generated</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email</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VARCHAR</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UQ</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Encrypted at rest via KMS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password_hash</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TEXT</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bcrypt; NULL for OAuth users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role</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ENUM</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general / professional / super_admin</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language_pref</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VARCHAR(5)</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en / hi / ta</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region</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VARCHAR(10)</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IN / US / EU etc.</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mfa_enabled</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BOOLEAN</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Default false</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mfa_secret</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TEXT</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TOTP secret, encrypted via KMS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oauth_provider</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VARCHAR</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google / apple / NULL</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created_at</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TIMESTAMPTZ</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Immutable</w:t>
            </w:r>
          </w:p>
        </w:tc>
      </w:tr>
    </w:tbl>
    <w:p>
      <w:pPr>
        <w:spacing w:before="40" w:after="40"/>
      </w:pPr>
    </w:p>
    <w:p>
      <w:pPr>
        <w:pStyle w:val="Heading3"/>
        <w:spacing w:before="200" w:after="80"/>
      </w:pPr>
      <w:r>
        <w:rPr>
          <w:b/>
          <w:color w:val="0F4F66"/>
          <w:sz w:val="24"/>
        </w:rPr>
        <w:t>kundli_profiles</w:t>
      </w:r>
    </w:p>
    <w:tbl>
      <w:tblPr>
        <w:tblW w:w="9360" w:type="dxa"/>
        <w:tblLayout w:type="fixed"/>
        <w:tblLook w:firstColumn="1" w:firstRow="1" w:lastColumn="0" w:lastRow="0" w:noHBand="0" w:noVBand="1" w:val="04A0"/>
      </w:tblPr>
      <w:tblGrid>
        <w:gridCol w:w="2000"/>
        <w:gridCol w:w="1600"/>
        <w:gridCol w:w="900"/>
        <w:gridCol w:w="4860"/>
      </w:tblGrid>
      <w:tr>
        <w:tc>
          <w:tcPr>
            <w:tcW w:w="20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Column</w:t>
            </w:r>
          </w:p>
        </w:tc>
        <w:tc>
          <w:tcPr>
            <w:tcW w:w="16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Type</w:t>
            </w:r>
          </w:p>
        </w:tc>
        <w:tc>
          <w:tcPr>
            <w:tcW w:w="9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Key</w:t>
            </w:r>
          </w:p>
        </w:tc>
        <w:tc>
          <w:tcPr>
            <w:tcW w:w="48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Notes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id</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PK</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user_id</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FK</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-&gt; users.id</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name</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VARCHAR</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Profile subject name (encrypted)</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gender</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ENUM</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male / female / other</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dob</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DATE</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Date of birth</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tob</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TIME</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Time of birth</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timezone</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VARCHAR</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IANA timezone string</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latitude</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NUMERIC(9,6)</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Birth place latitude</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longitude</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NUMERIC(9,6)</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Birth place longitude</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place_name</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VARCHAR</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Human-readable birth place</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ayanamsa</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ENUM</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lahiri / raman / kp (default: lahiri)</w:t>
            </w:r>
          </w:p>
        </w:tc>
      </w:tr>
    </w:tbl>
    <w:p>
      <w:pPr>
        <w:spacing w:before="40" w:after="40"/>
      </w:pPr>
    </w:p>
    <w:p>
      <w:pPr>
        <w:pStyle w:val="Heading3"/>
        <w:spacing w:before="200" w:after="80"/>
      </w:pPr>
      <w:r>
        <w:rPr>
          <w:b/>
          <w:color w:val="0F4F66"/>
          <w:sz w:val="24"/>
        </w:rPr>
        <w:t>credit_wallets</w:t>
      </w:r>
    </w:p>
    <w:tbl>
      <w:tblPr>
        <w:tblW w:w="9360" w:type="dxa"/>
        <w:tblLayout w:type="fixed"/>
        <w:tblLook w:firstColumn="1" w:firstRow="1" w:lastColumn="0" w:lastRow="0" w:noHBand="0" w:noVBand="1" w:val="04A0"/>
      </w:tblPr>
      <w:tblGrid>
        <w:gridCol w:w="2000"/>
        <w:gridCol w:w="1600"/>
        <w:gridCol w:w="900"/>
        <w:gridCol w:w="4860"/>
      </w:tblGrid>
      <w:tr>
        <w:tc>
          <w:tcPr>
            <w:tcW w:w="20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Column</w:t>
            </w:r>
          </w:p>
        </w:tc>
        <w:tc>
          <w:tcPr>
            <w:tcW w:w="16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Type</w:t>
            </w:r>
          </w:p>
        </w:tc>
        <w:tc>
          <w:tcPr>
            <w:tcW w:w="9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Key</w:t>
            </w:r>
          </w:p>
        </w:tc>
        <w:tc>
          <w:tcPr>
            <w:tcW w:w="48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Notes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id</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PK</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user_id</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FK,UQ</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One wallet per user; -&gt; users.id</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paid_balance</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INTEGER</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Credits from purchases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promo_balance</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INTEGER</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Promotional credits (consumed first)</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version</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INTEGER</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Optimistic locking counter</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updated_at</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TIMESTAMPTZ</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Last balance update timestamp</w:t>
            </w:r>
          </w:p>
        </w:tc>
      </w:tr>
    </w:tbl>
    <w:p>
      <w:pPr>
        <w:spacing w:before="40" w:after="40"/>
      </w:pPr>
    </w:p>
    <w:p>
      <w:pPr>
        <w:pStyle w:val="Heading3"/>
        <w:spacing w:before="200" w:after="80"/>
      </w:pPr>
      <w:r>
        <w:rPr>
          <w:b/>
          <w:color w:val="0F4F66"/>
          <w:sz w:val="24"/>
        </w:rPr>
        <w:t>wallet_ledger</w:t>
      </w:r>
    </w:p>
    <w:tbl>
      <w:tblPr>
        <w:tblW w:w="9360" w:type="dxa"/>
        <w:tblLayout w:type="fixed"/>
        <w:tblLook w:firstColumn="1" w:firstRow="1" w:lastColumn="0" w:lastRow="0" w:noHBand="0" w:noVBand="1" w:val="04A0"/>
      </w:tblPr>
      <w:tblGrid>
        <w:gridCol w:w="2000"/>
        <w:gridCol w:w="1600"/>
        <w:gridCol w:w="900"/>
        <w:gridCol w:w="4860"/>
      </w:tblGrid>
      <w:tr>
        <w:tc>
          <w:tcPr>
            <w:tcW w:w="20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Column</w:t>
            </w:r>
          </w:p>
        </w:tc>
        <w:tc>
          <w:tcPr>
            <w:tcW w:w="16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Type</w:t>
            </w:r>
          </w:p>
        </w:tc>
        <w:tc>
          <w:tcPr>
            <w:tcW w:w="9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Key</w:t>
            </w:r>
          </w:p>
        </w:tc>
        <w:tc>
          <w:tcPr>
            <w:tcW w:w="48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Notes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id</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PK</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wallet_id</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FK</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-&gt; credit_wallets.id</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type</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ENUM</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purchase / consumed / refund / promo</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credits_delta</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INTEGER</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 value</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report_type</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VARCHAR</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Nullable; set on consumption rows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payment_order_id</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Nullable; set on purchase rows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balance_after</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INTEGER</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Running balance snapshot</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created_at</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TIMESTAMPTZ</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Write-once (immutable audit record)</w:t>
            </w:r>
          </w:p>
        </w:tc>
      </w:tr>
    </w:tbl>
    <w:p>
      <w:pPr>
        <w:spacing w:before="40" w:after="40"/>
      </w:pPr>
    </w:p>
    <w:p>
      <w:pPr>
        <w:pStyle w:val="Heading3"/>
        <w:spacing w:before="200" w:after="80"/>
      </w:pPr>
      <w:r>
        <w:rPr>
          <w:b/>
          <w:color w:val="0F4F66"/>
          <w:sz w:val="24"/>
        </w:rPr>
        <w:t>payment_orders</w:t>
      </w:r>
    </w:p>
    <w:tbl>
      <w:tblPr>
        <w:tblW w:w="9360" w:type="dxa"/>
        <w:tblLayout w:type="fixed"/>
        <w:tblLook w:firstColumn="1" w:firstRow="1" w:lastColumn="0" w:lastRow="0" w:noHBand="0" w:noVBand="1" w:val="04A0"/>
      </w:tblPr>
      <w:tblGrid>
        <w:gridCol w:w="2000"/>
        <w:gridCol w:w="1600"/>
        <w:gridCol w:w="900"/>
        <w:gridCol w:w="4860"/>
      </w:tblGrid>
      <w:tr>
        <w:tc>
          <w:tcPr>
            <w:tcW w:w="20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Column</w:t>
            </w:r>
          </w:p>
        </w:tc>
        <w:tc>
          <w:tcPr>
            <w:tcW w:w="16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Type</w:t>
            </w:r>
          </w:p>
        </w:tc>
        <w:tc>
          <w:tcPr>
            <w:tcW w:w="9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Key</w:t>
            </w:r>
          </w:p>
        </w:tc>
        <w:tc>
          <w:tcPr>
            <w:tcW w:w="48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Notes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id</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PK</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user_id</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FK</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-&gt; users.id</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gateway_order_id</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VARCHAR</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UQ</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Payment gateway reference</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pack_id</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VARCHAR</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starter / standard / pro</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credits</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INTEGER</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Credits awarded on success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amount</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NUMERIC(10,2)</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Charge in local currency</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currency</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CHAR(3)</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INR / USD / EUR</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tax_amount</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NUMERIC(10,2)</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GST / VAT / sales tax</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method</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ENUM</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card / upi</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status</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ENUM</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pending / success / failed</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created_at</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TIMESTAMPTZ</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completed_at</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TIMESTAMPTZ</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Nullable</w:t>
            </w:r>
          </w:p>
        </w:tc>
      </w:tr>
    </w:tbl>
    <w:p>
      <w:pPr>
        <w:spacing w:before="40" w:after="40"/>
      </w:pPr>
    </w:p>
    <w:p>
      <w:pPr>
        <w:pStyle w:val="Heading3"/>
        <w:spacing w:before="200" w:after="80"/>
      </w:pPr>
      <w:r>
        <w:rPr>
          <w:b/>
          <w:color w:val="0F4F66"/>
          <w:sz w:val="24"/>
        </w:rPr>
        <w:t>ai_reports</w:t>
      </w:r>
    </w:p>
    <w:tbl>
      <w:tblPr>
        <w:tblW w:w="9360" w:type="dxa"/>
        <w:tblLayout w:type="fixed"/>
        <w:tblLook w:firstColumn="1" w:firstRow="1" w:lastColumn="0" w:lastRow="0" w:noHBand="0" w:noVBand="1" w:val="04A0"/>
      </w:tblPr>
      <w:tblGrid>
        <w:gridCol w:w="2000"/>
        <w:gridCol w:w="1600"/>
        <w:gridCol w:w="900"/>
        <w:gridCol w:w="4860"/>
      </w:tblGrid>
      <w:tr>
        <w:tc>
          <w:tcPr>
            <w:tcW w:w="20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Column</w:t>
            </w:r>
          </w:p>
        </w:tc>
        <w:tc>
          <w:tcPr>
            <w:tcW w:w="16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Type</w:t>
            </w:r>
          </w:p>
        </w:tc>
        <w:tc>
          <w:tcPr>
            <w:tcW w:w="9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Key</w:t>
            </w:r>
          </w:p>
        </w:tc>
        <w:tc>
          <w:tcPr>
            <w:tcW w:w="48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Notes</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id</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PK</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user_id</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FK</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-&gt; users.id</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profile_id</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UUID</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FK</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-&gt; kundli_profiles.id</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report_type</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ENUM</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personal / compatibility / career</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language</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VARCHAR(5)</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en / hi / ta</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credits_consumed</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INTEGER</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status</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ENUM</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generating / completed / failed</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storage_key</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TEXT</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S3 object key for generated report</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share_token</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VARCHAR</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UQ</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Nullable; set when share link created</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share_expires_at</w:t>
            </w:r>
          </w:p>
        </w:tc>
        <w:tc>
          <w:tcPr>
            <w:tcW w:w="16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TIMESTAMPTZ</w:t>
            </w:r>
          </w:p>
        </w:tc>
        <w:tc>
          <w:tcPr>
            <w:tcW w:w="9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Nullable; expiry for share link</w:t>
            </w:r>
          </w:p>
        </w:tc>
      </w:tr>
      <w:tr>
        <w:tc>
          <w:tcPr>
            <w:tcW w:w="20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created_at</w:t>
            </w:r>
          </w:p>
        </w:tc>
        <w:tc>
          <w:tcPr>
            <w:tcW w:w="16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TIMESTAMPTZ</w:t>
            </w:r>
          </w:p>
        </w:tc>
        <w:tc>
          <w:tcPr>
            <w:tcW w:w="9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r>
          </w:p>
        </w:tc>
      </w:tr>
    </w:tbl>
    <w:p>
      <w:pPr>
        <w:spacing w:before="40" w:after="40"/>
      </w:pPr>
    </w:p>
    <w:p>
      <w:r>
        <w:br w:type="page"/>
      </w:r>
    </w:p>
    <w:p>
      <w:pPr>
        <w:pStyle w:val="Heading1"/>
        <w:pBdr>
          <w:bottom w:val="single" w:sz="6" w:space="1" w:color="5B3DC8"/>
        </w:pBdr>
        <w:spacing w:before="360" w:after="160"/>
      </w:pPr>
      <w:r>
        <w:rPr>
          <w:b/>
          <w:color w:val="2C1A4F"/>
          <w:sz w:val="36"/>
        </w:rPr>
        <w:t>7. API Contract Reference</w:t>
      </w:r>
    </w:p>
    <w:p>
      <w:pPr>
        <w:spacing w:before="60" w:after="80"/>
      </w:pPr>
      <w:r>
        <w:rPr>
          <w:color w:val="2C2416"/>
          <w:sz w:val="22"/>
        </w:rPr>
        <w:t>All APIs are REST over HTTPS. Authenticated endpoints require 'Authorization: Bearer &lt;JWT&gt;'. Language preference passed via 'Accept-Language' header. Unauthenticated endpoints are limited to registration, login, and public directory browsing only.</w:t>
      </w:r>
    </w:p>
    <w:p>
      <w:pPr>
        <w:spacing w:before="40" w:after="40"/>
      </w:pPr>
    </w:p>
    <w:p>
      <w:pPr>
        <w:pStyle w:val="Heading2"/>
        <w:spacing w:before="240" w:after="120"/>
      </w:pPr>
      <w:r>
        <w:rPr>
          <w:b/>
          <w:color w:val="1A3A6B"/>
          <w:sz w:val="28"/>
        </w:rPr>
        <w:t>7.1 Authentication Service</w:t>
      </w:r>
    </w:p>
    <w:tbl>
      <w:tblPr>
        <w:tblW w:w="9360" w:type="dxa"/>
        <w:tblLayout w:type="fixed"/>
        <w:tblLook w:firstColumn="1" w:firstRow="1" w:lastColumn="0" w:lastRow="0" w:noHBand="0" w:noVBand="1" w:val="04A0"/>
      </w:tblPr>
      <w:tblGrid>
        <w:gridCol w:w="800"/>
        <w:gridCol w:w="2500"/>
        <w:gridCol w:w="1400"/>
        <w:gridCol w:w="4660"/>
      </w:tblGrid>
      <w:tr>
        <w:tc>
          <w:tcPr>
            <w:tcW w:w="8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Method</w:t>
            </w:r>
          </w:p>
        </w:tc>
        <w:tc>
          <w:tcPr>
            <w:tcW w:w="25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Endpoint</w:t>
            </w:r>
          </w:p>
        </w:tc>
        <w:tc>
          <w:tcPr>
            <w:tcW w:w="14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Auth</w:t>
            </w:r>
          </w:p>
        </w:tc>
        <w:tc>
          <w:tcPr>
            <w:tcW w:w="46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Description</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/auth/register</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Public</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Email/password registration; wallet auto-created</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/auth/login</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Public</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Returns access token (15 min) + refresh token (7 days)</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/auth/oauth/{prov}</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Public</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OAuth callback for Google / Apple</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/auth/refresh</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Refresh Token</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Issues new access token</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/auth/mfa/setup</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Enable TOTP 2FA; returns QR seed</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/auth/mfa/verify</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Verify TOTP code</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/auth/logout</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Invalidates both session tokens</w:t>
            </w:r>
          </w:p>
        </w:tc>
      </w:tr>
    </w:tbl>
    <w:p>
      <w:pPr>
        <w:spacing w:before="40" w:after="40"/>
      </w:pPr>
    </w:p>
    <w:p>
      <w:pPr>
        <w:pStyle w:val="Heading2"/>
        <w:spacing w:before="240" w:after="120"/>
      </w:pPr>
      <w:r>
        <w:rPr>
          <w:b/>
          <w:color w:val="1A3A6B"/>
          <w:sz w:val="28"/>
        </w:rPr>
        <w:t>7.2 Kundli Engine</w:t>
      </w:r>
    </w:p>
    <w:tbl>
      <w:tblPr>
        <w:tblW w:w="9360" w:type="dxa"/>
        <w:tblLayout w:type="fixed"/>
        <w:tblLook w:firstColumn="1" w:firstRow="1" w:lastColumn="0" w:lastRow="0" w:noHBand="0" w:noVBand="1" w:val="04A0"/>
      </w:tblPr>
      <w:tblGrid>
        <w:gridCol w:w="800"/>
        <w:gridCol w:w="2500"/>
        <w:gridCol w:w="1400"/>
        <w:gridCol w:w="4660"/>
      </w:tblGrid>
      <w:tr>
        <w:tc>
          <w:tcPr>
            <w:tcW w:w="8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Method</w:t>
            </w:r>
          </w:p>
        </w:tc>
        <w:tc>
          <w:tcPr>
            <w:tcW w:w="25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Endpoint</w:t>
            </w:r>
          </w:p>
        </w:tc>
        <w:tc>
          <w:tcPr>
            <w:tcW w:w="14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Auth</w:t>
            </w:r>
          </w:p>
        </w:tc>
        <w:tc>
          <w:tcPr>
            <w:tcW w:w="46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Description</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/kundli/calculate</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Full Nirayan chart: D1–D16, yogas, Shadbala, Ashtakavarga</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/kundli/profiles</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List user's saved Kundli profiles</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/kundli/profiles</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Create/save a Kundli profile</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PUT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/kundli/profiles/{id}</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Update a Kundli profile</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DELETE</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/kundli/profiles/{id}</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Delete a Kundli profile</w:t>
            </w:r>
          </w:p>
        </w:tc>
      </w:tr>
    </w:tbl>
    <w:p>
      <w:pPr>
        <w:spacing w:before="40" w:after="40"/>
      </w:pPr>
    </w:p>
    <w:p>
      <w:pPr>
        <w:pStyle w:val="Heading2"/>
        <w:spacing w:before="240" w:after="120"/>
      </w:pPr>
      <w:r>
        <w:rPr>
          <w:b/>
          <w:color w:val="1A3A6B"/>
          <w:sz w:val="28"/>
        </w:rPr>
        <w:t>7.3 Dasha Engine</w:t>
      </w:r>
    </w:p>
    <w:tbl>
      <w:tblPr>
        <w:tblW w:w="9360" w:type="dxa"/>
        <w:tblLayout w:type="fixed"/>
        <w:tblLook w:firstColumn="1" w:firstRow="1" w:lastColumn="0" w:lastRow="0" w:noHBand="0" w:noVBand="1" w:val="04A0"/>
      </w:tblPr>
      <w:tblGrid>
        <w:gridCol w:w="800"/>
        <w:gridCol w:w="2500"/>
        <w:gridCol w:w="1400"/>
        <w:gridCol w:w="4660"/>
      </w:tblGrid>
      <w:tr>
        <w:tc>
          <w:tcPr>
            <w:tcW w:w="8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Method</w:t>
            </w:r>
          </w:p>
        </w:tc>
        <w:tc>
          <w:tcPr>
            <w:tcW w:w="25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Endpoint</w:t>
            </w:r>
          </w:p>
        </w:tc>
        <w:tc>
          <w:tcPr>
            <w:tcW w:w="14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Auth</w:t>
            </w:r>
          </w:p>
        </w:tc>
        <w:tc>
          <w:tcPr>
            <w:tcW w:w="46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Description</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/dasha/calculate</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Body: { profile_id, system }. System: vimshottari|yogini|chara|kalachakra|narayana|moola</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/dasha/current/{profile}</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Active Mahadasha + Antardasha + brief AI note</w:t>
            </w:r>
          </w:p>
        </w:tc>
      </w:tr>
    </w:tbl>
    <w:p>
      <w:pPr>
        <w:spacing w:before="40" w:after="40"/>
      </w:pPr>
    </w:p>
    <w:p>
      <w:pPr>
        <w:pStyle w:val="Heading2"/>
        <w:spacing w:before="240" w:after="120"/>
      </w:pPr>
      <w:r>
        <w:rPr>
          <w:b/>
          <w:color w:val="1A3A6B"/>
          <w:sz w:val="28"/>
        </w:rPr>
        <w:t>7.4 AI Interpretation Service</w:t>
      </w:r>
    </w:p>
    <w:tbl>
      <w:tblPr>
        <w:tblW w:w="9360" w:type="dxa"/>
        <w:tblLayout w:type="fixed"/>
        <w:tblLook w:firstColumn="1" w:firstRow="1" w:lastColumn="0" w:lastRow="0" w:noHBand="0" w:noVBand="1" w:val="04A0"/>
      </w:tblPr>
      <w:tblGrid>
        <w:gridCol w:w="800"/>
        <w:gridCol w:w="2500"/>
        <w:gridCol w:w="1400"/>
        <w:gridCol w:w="4660"/>
      </w:tblGrid>
      <w:tr>
        <w:tc>
          <w:tcPr>
            <w:tcW w:w="8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Method</w:t>
            </w:r>
          </w:p>
        </w:tc>
        <w:tc>
          <w:tcPr>
            <w:tcW w:w="25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Endpoint</w:t>
            </w:r>
          </w:p>
        </w:tc>
        <w:tc>
          <w:tcPr>
            <w:tcW w:w="14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Auth</w:t>
            </w:r>
          </w:p>
        </w:tc>
        <w:tc>
          <w:tcPr>
            <w:tcW w:w="46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Description</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/ai/report/generate</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Credit-gated. Body: { profile_id, report_type, language }. Deducts credits atomically.</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/ai/report/{report_id}</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Fetch completed report content</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/ai/report/{id}/ask</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Conversational follow-up (Ask the Astrologer)</w:t>
            </w:r>
          </w:p>
        </w:tc>
      </w:tr>
    </w:tbl>
    <w:p>
      <w:pPr>
        <w:spacing w:before="40" w:after="40"/>
      </w:pPr>
    </w:p>
    <w:p>
      <w:pPr>
        <w:pStyle w:val="Heading2"/>
        <w:spacing w:before="240" w:after="120"/>
      </w:pPr>
      <w:r>
        <w:rPr>
          <w:b/>
          <w:color w:val="1A3A6B"/>
          <w:sz w:val="28"/>
        </w:rPr>
        <w:t>7.5 Credit Wallet Service</w:t>
      </w:r>
    </w:p>
    <w:tbl>
      <w:tblPr>
        <w:tblW w:w="9360" w:type="dxa"/>
        <w:tblLayout w:type="fixed"/>
        <w:tblLook w:firstColumn="1" w:firstRow="1" w:lastColumn="0" w:lastRow="0" w:noHBand="0" w:noVBand="1" w:val="04A0"/>
      </w:tblPr>
      <w:tblGrid>
        <w:gridCol w:w="800"/>
        <w:gridCol w:w="2500"/>
        <w:gridCol w:w="1400"/>
        <w:gridCol w:w="4660"/>
      </w:tblGrid>
      <w:tr>
        <w:tc>
          <w:tcPr>
            <w:tcW w:w="8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Method</w:t>
            </w:r>
          </w:p>
        </w:tc>
        <w:tc>
          <w:tcPr>
            <w:tcW w:w="25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Endpoint</w:t>
            </w:r>
          </w:p>
        </w:tc>
        <w:tc>
          <w:tcPr>
            <w:tcW w:w="14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Auth</w:t>
            </w:r>
          </w:p>
        </w:tc>
        <w:tc>
          <w:tcPr>
            <w:tcW w:w="46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Description</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/wallet/balance</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Returns paid_balance, promo_balance, total</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/wallet/ledger</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Full transaction history (paginated). type, credits_delta, balance_after, timestamp.</w:t>
            </w:r>
          </w:p>
        </w:tc>
      </w:tr>
    </w:tbl>
    <w:p>
      <w:pPr>
        <w:spacing w:before="40" w:after="40"/>
      </w:pPr>
    </w:p>
    <w:p>
      <w:pPr>
        <w:pStyle w:val="Heading2"/>
        <w:spacing w:before="240" w:after="120"/>
      </w:pPr>
      <w:r>
        <w:rPr>
          <w:b/>
          <w:color w:val="1A3A6B"/>
          <w:sz w:val="28"/>
        </w:rPr>
        <w:t>7.6 Payment Gateway Service</w:t>
      </w:r>
    </w:p>
    <w:tbl>
      <w:tblPr>
        <w:tblW w:w="9360" w:type="dxa"/>
        <w:tblLayout w:type="fixed"/>
        <w:tblLook w:firstColumn="1" w:firstRow="1" w:lastColumn="0" w:lastRow="0" w:noHBand="0" w:noVBand="1" w:val="04A0"/>
      </w:tblPr>
      <w:tblGrid>
        <w:gridCol w:w="800"/>
        <w:gridCol w:w="2500"/>
        <w:gridCol w:w="1400"/>
        <w:gridCol w:w="4660"/>
      </w:tblGrid>
      <w:tr>
        <w:tc>
          <w:tcPr>
            <w:tcW w:w="8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Method</w:t>
            </w:r>
          </w:p>
        </w:tc>
        <w:tc>
          <w:tcPr>
            <w:tcW w:w="25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Endpoint</w:t>
            </w:r>
          </w:p>
        </w:tc>
        <w:tc>
          <w:tcPr>
            <w:tcW w:w="14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Auth</w:t>
            </w:r>
          </w:p>
        </w:tc>
        <w:tc>
          <w:tcPr>
            <w:tcW w:w="46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Description</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/payment/packs</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Geo-priced credit packs for user's region with tax breakdown</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/payment/order</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Create payment order; returns gateway_order_id for SDK init</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/payment/webhook</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HMAC Signature</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Idempotent gateway webhook handler; verifies signature first</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/payment/history</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Purchase history with receipt data</w:t>
            </w:r>
          </w:p>
        </w:tc>
      </w:tr>
    </w:tbl>
    <w:p>
      <w:pPr>
        <w:spacing w:before="40" w:after="40"/>
      </w:pPr>
    </w:p>
    <w:p>
      <w:pPr>
        <w:pStyle w:val="Heading2"/>
        <w:spacing w:before="240" w:after="120"/>
      </w:pPr>
      <w:r>
        <w:rPr>
          <w:b/>
          <w:color w:val="1A3A6B"/>
          <w:sz w:val="28"/>
        </w:rPr>
        <w:t>7.7 Report Export Service</w:t>
      </w:r>
    </w:p>
    <w:tbl>
      <w:tblPr>
        <w:tblW w:w="9360" w:type="dxa"/>
        <w:tblLayout w:type="fixed"/>
        <w:tblLook w:firstColumn="1" w:firstRow="1" w:lastColumn="0" w:lastRow="0" w:noHBand="0" w:noVBand="1" w:val="04A0"/>
      </w:tblPr>
      <w:tblGrid>
        <w:gridCol w:w="800"/>
        <w:gridCol w:w="2500"/>
        <w:gridCol w:w="1400"/>
        <w:gridCol w:w="4660"/>
      </w:tblGrid>
      <w:tr>
        <w:tc>
          <w:tcPr>
            <w:tcW w:w="8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Method</w:t>
            </w:r>
          </w:p>
        </w:tc>
        <w:tc>
          <w:tcPr>
            <w:tcW w:w="25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Endpoint</w:t>
            </w:r>
          </w:p>
        </w:tc>
        <w:tc>
          <w:tcPr>
            <w:tcW w:w="14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Auth</w:t>
            </w:r>
          </w:p>
        </w:tc>
        <w:tc>
          <w:tcPr>
            <w:tcW w:w="46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Description</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/export/{id}/pdf</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Generates PDF; returns presigned S3 URL</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/export/{id}/docx</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JWT (Pro)</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Generates DOCX; professional users only</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/export/{id}/share</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JWT</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Creates expirable view-only share link</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/export/share/{token}</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Public</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View shared report (no login required)</w:t>
            </w:r>
          </w:p>
        </w:tc>
      </w:tr>
    </w:tbl>
    <w:p>
      <w:pPr>
        <w:spacing w:before="40" w:after="40"/>
      </w:pPr>
    </w:p>
    <w:p>
      <w:pPr>
        <w:pStyle w:val="Heading2"/>
        <w:spacing w:before="240" w:after="120"/>
      </w:pPr>
      <w:r>
        <w:rPr>
          <w:b/>
          <w:color w:val="1A3A6B"/>
          <w:sz w:val="28"/>
        </w:rPr>
        <w:t>7.8 Analytics Service (Super Admin Only)</w:t>
      </w:r>
    </w:p>
    <w:tbl>
      <w:tblPr>
        <w:tblW w:w="9360" w:type="dxa"/>
        <w:tblLayout w:type="fixed"/>
        <w:tblLook w:firstColumn="1" w:firstRow="1" w:lastColumn="0" w:lastRow="0" w:noHBand="0" w:noVBand="1" w:val="04A0"/>
      </w:tblPr>
      <w:tblGrid>
        <w:gridCol w:w="800"/>
        <w:gridCol w:w="2500"/>
        <w:gridCol w:w="1400"/>
        <w:gridCol w:w="4660"/>
      </w:tblGrid>
      <w:tr>
        <w:tc>
          <w:tcPr>
            <w:tcW w:w="8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Method</w:t>
            </w:r>
          </w:p>
        </w:tc>
        <w:tc>
          <w:tcPr>
            <w:tcW w:w="25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Endpoint</w:t>
            </w:r>
          </w:p>
        </w:tc>
        <w:tc>
          <w:tcPr>
            <w:tcW w:w="14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Auth</w:t>
            </w:r>
          </w:p>
        </w:tc>
        <w:tc>
          <w:tcPr>
            <w:tcW w:w="46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Description</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/admin/analytics/traffic</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Admin+MFA</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User traffic &amp; engagement metrics with date range filter</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/admin/analytics/features</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Admin+MFA</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Feature usage: report types, dasha systems, chart styles</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/admin/analytics/revenue</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Admin+MFA</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Revenue, credit pack breakdown, geo distribution</w:t>
            </w:r>
          </w:p>
        </w:tc>
      </w:tr>
      <w:tr>
        <w:tc>
          <w:tcPr>
            <w:tcW w:w="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/admin/analytics/system-health</w:t>
            </w:r>
          </w:p>
        </w:tc>
        <w:tc>
          <w:tcPr>
            <w:tcW w:w="14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Admin+MFA</w:t>
            </w:r>
          </w:p>
        </w:tc>
        <w:tc>
          <w:tcPr>
            <w:tcW w:w="46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p50/p95/p99 latency, error rates, uptime, gateway success rate</w:t>
            </w:r>
          </w:p>
        </w:tc>
      </w:tr>
      <w:tr>
        <w:tc>
          <w:tcPr>
            <w:tcW w:w="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GET</w:t>
            </w:r>
          </w:p>
        </w:tc>
        <w:tc>
          <w:tcPr>
            <w:tcW w:w="25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/admin/analytics/export</w:t>
            </w:r>
          </w:p>
        </w:tc>
        <w:tc>
          <w:tcPr>
            <w:tcW w:w="14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Admin+MFA</w:t>
            </w:r>
          </w:p>
        </w:tc>
        <w:tc>
          <w:tcPr>
            <w:tcW w:w="46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CSV/Excel export of any metric set</w:t>
            </w:r>
          </w:p>
        </w:tc>
      </w:tr>
    </w:tbl>
    <w:p>
      <w:pPr>
        <w:spacing w:before="40" w:after="40"/>
      </w:pPr>
    </w:p>
    <w:p>
      <w:r>
        <w:br w:type="page"/>
      </w:r>
    </w:p>
    <w:p>
      <w:pPr>
        <w:pStyle w:val="Heading1"/>
        <w:pBdr>
          <w:bottom w:val="single" w:sz="6" w:space="1" w:color="5B3DC8"/>
        </w:pBdr>
        <w:spacing w:before="360" w:after="160"/>
      </w:pPr>
      <w:r>
        <w:rPr>
          <w:b/>
          <w:color w:val="2C1A4F"/>
          <w:sz w:val="36"/>
        </w:rPr>
        <w:t>8. Technology Stack</w:t>
      </w:r>
    </w:p>
    <w:tbl>
      <w:tblPr>
        <w:tblW w:w="9360" w:type="dxa"/>
        <w:tblLayout w:type="fixed"/>
        <w:tblLook w:firstColumn="1" w:firstRow="1" w:lastColumn="0" w:lastRow="0" w:noHBand="0" w:noVBand="1" w:val="04A0"/>
      </w:tblPr>
      <w:tblGrid>
        <w:gridCol w:w="2300"/>
        <w:gridCol w:w="2800"/>
        <w:gridCol w:w="4260"/>
      </w:tblGrid>
      <w:tr>
        <w:tc>
          <w:tcPr>
            <w:tcW w:w="23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Layer / Component</w:t>
            </w:r>
          </w:p>
        </w:tc>
        <w:tc>
          <w:tcPr>
            <w:tcW w:w="28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Technology</w:t>
            </w:r>
          </w:p>
        </w:tc>
        <w:tc>
          <w:tcPr>
            <w:tcW w:w="42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Rationale</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Web Frontend</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React 18 + Vite + Next.js (SSR)</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SPA + SSR for SEO; PWA; SVG chart rendering; 360px–2560px responsive</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Mobile</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React Native (Expo)</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Shared codebase, iOS + Android, biometrics, UPI deep-link intent</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Design System</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Tailwind CSS + Radix UI + Storybook</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Consistent design tokens; WCAG 2.1 AA; Devanagari + Tamil Unicode fonts</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State Management</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Zustand + React Query</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Lightweight client state + server-state caching with stale-while-revalidate</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i18n</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react-i18next + JSON bundles</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Reactive language switch; no page reload; locale-native date/number formats</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API Gateway</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Kong Gateway (or AWS API Gateway)</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Rate limiting, JWT validation, routing, request logging, observability</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Auth Service</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Node.js + Express + Passport.js + speakeasy</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Mature OAuth libraries; fast JWT ops; TOTP 2FA via speakeasy</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Kundli Engine</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Python + FastAPI + pyswisseph</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pyswisseph is the Python binding for Swiss Ephemeris — gold standard for Vedic calculation</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Dasha Engine</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Python + FastAPI</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Isolated module per SRS §5.4; pluggable dasha system architecture</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AI Interpretation</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Python + FastAPI + LangChain (optional)</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Provider-agnostic LLM adapter; locale-aware prompt templating; streaming</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Credit Wallet</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Node.js + Express + PostgreSQL</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Atomic DB transactions guarantee credit integrity; no partial writes</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Payment Gateway</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Node.js + Razorpay SDK / Stripe SDK</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Gateway-hosted iframe (PCI-DSS scope minimised); UPI intent; 3DS</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Report Export</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Python + WeasyPrint + python-docx</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High-fidelity PDF from HTML/CSS; DOCX export for Professional users</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Analytics</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Python + Celery + OpenSearch</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Async aggregation; OpenSearch for full-text/metric queries; Kibana dashboards</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Primary Database</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PostgreSQL 16 (AWS RDS / Cloud SQL)</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ACID, row-level security, PITR (7-day), point-in-time recovery</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Cache / Sessions</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Redis 7 (AWS ElastiCache)</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Session tokens, rate-limit counters, hot chart result caching</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Object Storage</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AWS S3 / GCS</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Generated reports; presigned URL access; lifecycle expiry rules</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Message Queue</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AWS SQS (or RabbitMQ)</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Async wallet credit after webhook; notification dispatch; decoupling</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Secrets Management</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AWS Secrets Manager + KMS</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No secrets in code; AES-256 encryption; automatic key rotation</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Container Orchestration</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Kubernetes (EKS / GKE)</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Horizontal scaling, rolling deploys, HPA, readiness/liveness probes</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CI/CD</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GitHub Actions + Docker + Helm</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Build, lint, test, CVE scan, Docker build → ECR, Helm deploy pipeline</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Monitoring</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Prometheus + Grafana + CloudWatch</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p50/p95/p99 dashboards; error rate alerts; PagerDuty on SLA breach</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Push Notifications</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Firebase FCM</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iOS + Android push; Dasha transition and low-balance alerts</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Email</w:t>
            </w:r>
          </w:p>
        </w:tc>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AWS SES</w:t>
            </w:r>
          </w:p>
        </w:tc>
        <w:tc>
          <w:tcPr>
            <w:tcW w:w="42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Receipts, low-balance alerts, weekly admin digest</w:t>
            </w:r>
          </w:p>
        </w:tc>
      </w:tr>
      <w:tr>
        <w:tc>
          <w:tcPr>
            <w:tcW w:w="23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CDN / WAF</w:t>
            </w:r>
          </w:p>
        </w:tc>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CloudFront + AWS WAF (or Cloudflare)</w:t>
            </w:r>
          </w:p>
        </w:tc>
        <w:tc>
          <w:tcPr>
            <w:tcW w:w="42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DDoS protection, SQLi/XSS blocking, global edge delivery, TLS termination</w:t>
            </w:r>
          </w:p>
        </w:tc>
      </w:tr>
    </w:tbl>
    <w:p>
      <w:pPr>
        <w:spacing w:before="40" w:after="40"/>
      </w:pPr>
    </w:p>
    <w:p>
      <w:r>
        <w:br w:type="page"/>
      </w:r>
    </w:p>
    <w:p>
      <w:pPr>
        <w:pStyle w:val="Heading1"/>
        <w:pBdr>
          <w:bottom w:val="single" w:sz="6" w:space="1" w:color="5B3DC8"/>
        </w:pBdr>
        <w:spacing w:before="360" w:after="160"/>
      </w:pPr>
      <w:r>
        <w:rPr>
          <w:b/>
          <w:color w:val="2C1A4F"/>
          <w:sz w:val="36"/>
        </w:rPr>
        <w:t>9. Security Architecture</w:t>
      </w:r>
    </w:p>
    <w:p>
      <w:pPr>
        <w:spacing w:before="60" w:after="80"/>
      </w:pPr>
      <w:r>
        <w:rPr>
          <w:color w:val="2C2416"/>
          <w:sz w:val="22"/>
        </w:rPr>
        <w:t>Security is a top-priority, non-negotiable requirement (SRS §5.7). The platform handles sensitive personal data (birth information, financial transactions, health-adjacent insights) and is architected with a security-first mindset. All requirements below are critical and must be satisfied before Phase 1 go-live.</w:t>
      </w:r>
    </w:p>
    <w:p>
      <w:pPr>
        <w:spacing w:before="40" w:after="40"/>
      </w:pPr>
    </w:p>
    <w:p>
      <w:pPr>
        <w:pStyle w:val="Heading2"/>
        <w:spacing w:before="240" w:after="120"/>
      </w:pPr>
      <w:r>
        <w:rPr>
          <w:b/>
          <w:color w:val="1A3A6B"/>
          <w:sz w:val="28"/>
        </w:rPr>
        <w:t>9.1 Database Security (SRS §5.7.1)</w:t>
      </w:r>
    </w:p>
    <w:p>
      <w:pPr>
        <w:pStyle w:val="ListBullet"/>
        <w:spacing w:before="40" w:after="40"/>
      </w:pPr>
      <w:r>
        <w:rPr>
          <w:color w:val="2C2416"/>
          <w:sz w:val="22"/>
        </w:rPr>
        <w:t>All production databases hosted in private VPC subnet — no public internet access. Database ports not exposed outside VPC/VNET.</w:t>
      </w:r>
    </w:p>
    <w:p>
      <w:pPr>
        <w:pStyle w:val="ListBullet"/>
        <w:spacing w:before="40" w:after="40"/>
      </w:pPr>
      <w:r>
        <w:rPr>
          <w:color w:val="2C2416"/>
          <w:sz w:val="22"/>
        </w:rPr>
        <w:t>AES-256 encryption at rest for all data. Keys managed via AWS KMS — never hard-coded or stored in application code.</w:t>
      </w:r>
    </w:p>
    <w:p>
      <w:pPr>
        <w:pStyle w:val="ListBullet"/>
        <w:spacing w:before="40" w:after="40"/>
      </w:pPr>
      <w:r>
        <w:rPr>
          <w:color w:val="2C2416"/>
          <w:sz w:val="22"/>
        </w:rPr>
        <w:t>Least-privilege database roles per service: read/write only on required tables. No service may have DDL or DROP permissions in production.</w:t>
      </w:r>
    </w:p>
    <w:p>
      <w:pPr>
        <w:pStyle w:val="ListBullet"/>
        <w:spacing w:before="40" w:after="40"/>
      </w:pPr>
      <w:r>
        <w:rPr>
          <w:color w:val="2C2416"/>
          <w:sz w:val="22"/>
        </w:rPr>
        <w:t>All queries use parameterised statements or ORM-level binding. Raw SQL string concatenation is strictly prohibited (SQL injection prevention).</w:t>
      </w:r>
    </w:p>
    <w:p>
      <w:pPr>
        <w:pStyle w:val="ListBullet"/>
        <w:spacing w:before="40" w:after="40"/>
      </w:pPr>
      <w:r>
        <w:rPr>
          <w:color w:val="2C2416"/>
          <w:sz w:val="22"/>
        </w:rPr>
        <w:t>Database activity monitoring enabled. All access, modifications, and failed logins logged to immutable audit log retained for 12 months minimum.</w:t>
      </w:r>
    </w:p>
    <w:p>
      <w:pPr>
        <w:pStyle w:val="ListBullet"/>
        <w:spacing w:before="40" w:after="40"/>
      </w:pPr>
      <w:r>
        <w:rPr>
          <w:color w:val="2C2416"/>
          <w:sz w:val="22"/>
        </w:rPr>
        <w:t>Automated encrypted backups daily. Quarterly restoration tests. Point-in-time recovery enabled (7-day window).</w:t>
      </w:r>
    </w:p>
    <w:p>
      <w:pPr>
        <w:pStyle w:val="ListBullet"/>
        <w:spacing w:before="40" w:after="40"/>
      </w:pPr>
      <w:r>
        <w:rPr>
          <w:color w:val="2C2416"/>
          <w:sz w:val="22"/>
        </w:rPr>
        <w:t>No production data in development or test environments. Synthetic/anonymised data sets used for testing.</w:t>
      </w:r>
    </w:p>
    <w:p>
      <w:pPr>
        <w:spacing w:before="40" w:after="40"/>
      </w:pPr>
    </w:p>
    <w:p>
      <w:pPr>
        <w:pStyle w:val="Heading2"/>
        <w:spacing w:before="240" w:after="120"/>
      </w:pPr>
      <w:r>
        <w:rPr>
          <w:b/>
          <w:color w:val="1A3A6B"/>
          <w:sz w:val="28"/>
        </w:rPr>
        <w:t>9.2 Application Security (SRS §5.7.2)</w:t>
      </w:r>
    </w:p>
    <w:p>
      <w:pPr>
        <w:pStyle w:val="ListBullet"/>
        <w:spacing w:before="40" w:after="40"/>
      </w:pPr>
      <w:r>
        <w:rPr>
          <w:color w:val="2C2416"/>
          <w:sz w:val="22"/>
        </w:rPr>
        <w:t>OWASP Top 10 audit before each phase release. Critical and high-severity findings resolved before go-live.</w:t>
      </w:r>
    </w:p>
    <w:p>
      <w:pPr>
        <w:pStyle w:val="ListBullet"/>
        <w:spacing w:before="40" w:after="40"/>
      </w:pPr>
      <w:r>
        <w:rPr>
          <w:color w:val="2C2416"/>
          <w:sz w:val="22"/>
        </w:rPr>
        <w:t>JWT authentication required on all endpoints. Unauthenticated access limited to: /auth/register, /auth/login, /auth/oauth/*, and public directory.</w:t>
      </w:r>
    </w:p>
    <w:p>
      <w:pPr>
        <w:pStyle w:val="ListBullet"/>
        <w:spacing w:before="40" w:after="40"/>
      </w:pPr>
      <w:r>
        <w:rPr>
          <w:color w:val="2C2416"/>
          <w:sz w:val="22"/>
        </w:rPr>
        <w:t>API rate limiting on all endpoints to prevent brute-force and DoS. Repeated auth failures trigger temporary account lockout and security team alert.</w:t>
      </w:r>
    </w:p>
    <w:p>
      <w:pPr>
        <w:pStyle w:val="ListBullet"/>
        <w:spacing w:before="40" w:after="40"/>
      </w:pPr>
      <w:r>
        <w:rPr>
          <w:color w:val="2C2416"/>
          <w:sz w:val="22"/>
        </w:rPr>
        <w:t>Server-side input validation and sanitisation applied to all user-supplied data. Client-side validation alone is insufficient.</w:t>
      </w:r>
    </w:p>
    <w:p>
      <w:pPr>
        <w:pStyle w:val="ListBullet"/>
        <w:spacing w:before="40" w:after="40"/>
      </w:pPr>
      <w:r>
        <w:rPr>
          <w:color w:val="2C2416"/>
          <w:sz w:val="22"/>
        </w:rPr>
        <w:t>All secrets stored in AWS Secrets Manager vault. Never appear in source code, config files committed to version control, or plain-text environment variables.</w:t>
      </w:r>
    </w:p>
    <w:p>
      <w:pPr>
        <w:pStyle w:val="ListBullet"/>
        <w:spacing w:before="40" w:after="40"/>
      </w:pPr>
      <w:r>
        <w:rPr>
          <w:color w:val="2C2416"/>
          <w:sz w:val="22"/>
        </w:rPr>
        <w:t>CVE dependency scanning integrated into CI/CD pipeline. Builds with known-vulnerable libraries are blocked from deployment.</w:t>
      </w:r>
    </w:p>
    <w:p>
      <w:pPr>
        <w:spacing w:before="40" w:after="40"/>
      </w:pPr>
    </w:p>
    <w:p>
      <w:pPr>
        <w:pStyle w:val="Heading2"/>
        <w:spacing w:before="240" w:after="120"/>
      </w:pPr>
      <w:r>
        <w:rPr>
          <w:b/>
          <w:color w:val="1A3A6B"/>
          <w:sz w:val="28"/>
        </w:rPr>
        <w:t>9.3 Network &amp; Infrastructure Security (SRS §5.7.3)</w:t>
      </w:r>
    </w:p>
    <w:p>
      <w:pPr>
        <w:pStyle w:val="ListBullet"/>
        <w:spacing w:before="40" w:after="40"/>
      </w:pPr>
      <w:r>
        <w:rPr>
          <w:color w:val="2C2416"/>
          <w:sz w:val="22"/>
        </w:rPr>
        <w:t>TLS 1.3 minimum for all client-server communication. TLS 1.0 and 1.1 disabled. HTTP requests rejected or redirected to HTTPS.</w:t>
      </w:r>
    </w:p>
    <w:p>
      <w:pPr>
        <w:pStyle w:val="ListBullet"/>
        <w:spacing w:before="40" w:after="40"/>
      </w:pPr>
      <w:r>
        <w:rPr>
          <w:color w:val="2C2416"/>
          <w:sz w:val="22"/>
        </w:rPr>
        <w:t>WAF deployed in front of all public-facing services to detect and block SQLi, XSS, CSRF, and common attack patterns.</w:t>
      </w:r>
    </w:p>
    <w:p>
      <w:pPr>
        <w:pStyle w:val="ListBullet"/>
        <w:spacing w:before="40" w:after="40"/>
      </w:pPr>
      <w:r>
        <w:rPr>
          <w:color w:val="2C2416"/>
          <w:sz w:val="22"/>
        </w:rPr>
        <w:t>DDoS protection at the network edge via CloudFront or Cloudflare.</w:t>
      </w:r>
    </w:p>
    <w:p>
      <w:pPr>
        <w:pStyle w:val="ListBullet"/>
        <w:spacing w:before="40" w:after="40"/>
      </w:pPr>
      <w:r>
        <w:rPr>
          <w:color w:val="2C2416"/>
          <w:sz w:val="22"/>
        </w:rPr>
        <w:t>Network segmentation: Public Edge (CDN, WAF, ALB) | Application Tier (API Gateway, microservices) | Data Tier (databases, storage — private subnet only).</w:t>
      </w:r>
    </w:p>
    <w:p>
      <w:pPr>
        <w:pStyle w:val="ListBullet"/>
        <w:spacing w:before="40" w:after="40"/>
      </w:pPr>
      <w:r>
        <w:rPr>
          <w:color w:val="2C2416"/>
          <w:sz w:val="22"/>
        </w:rPr>
        <w:t>All infrastructure changes must go through Terraform IaC review. Ad-hoc manual changes to production infrastructure are prohibited.</w:t>
      </w:r>
    </w:p>
    <w:p>
      <w:pPr>
        <w:spacing w:before="40" w:after="40"/>
      </w:pPr>
    </w:p>
    <w:p>
      <w:pPr>
        <w:pStyle w:val="Heading2"/>
        <w:spacing w:before="240" w:after="120"/>
      </w:pPr>
      <w:r>
        <w:rPr>
          <w:b/>
          <w:color w:val="1A3A6B"/>
          <w:sz w:val="28"/>
        </w:rPr>
        <w:t>9.4 Payment Security (PCI-DSS)</w:t>
      </w:r>
    </w:p>
    <w:p>
      <w:pPr>
        <w:pStyle w:val="ListBullet"/>
        <w:spacing w:before="40" w:after="40"/>
      </w:pPr>
      <w:r>
        <w:rPr>
          <w:color w:val="2C2416"/>
          <w:sz w:val="22"/>
        </w:rPr>
        <w:t>Card data never touches the platform's own servers. All card entry uses gateway-hosted iframe (Razorpay / Stripe hosted fields). PCI-DSS scope minimised to payment-gateway-service only.</w:t>
      </w:r>
    </w:p>
    <w:p>
      <w:pPr>
        <w:pStyle w:val="ListBullet"/>
        <w:spacing w:before="40" w:after="40"/>
      </w:pPr>
      <w:r>
        <w:rPr>
          <w:color w:val="2C2416"/>
          <w:sz w:val="22"/>
        </w:rPr>
        <w:t>UPI transaction references stored; bank account details not retained beyond the transaction lifecycle.</w:t>
      </w:r>
    </w:p>
    <w:p>
      <w:pPr>
        <w:pStyle w:val="ListBullet"/>
        <w:spacing w:before="40" w:after="40"/>
      </w:pPr>
      <w:r>
        <w:rPr>
          <w:color w:val="2C2416"/>
          <w:sz w:val="22"/>
        </w:rPr>
        <w:t>3D Secure OTP enforced for all card transactions as required by the issuing bank.</w:t>
      </w:r>
    </w:p>
    <w:p>
      <w:pPr>
        <w:pStyle w:val="ListBullet"/>
        <w:spacing w:before="40" w:after="40"/>
      </w:pPr>
      <w:r>
        <w:rPr>
          <w:color w:val="2C2416"/>
          <w:sz w:val="22"/>
        </w:rPr>
        <w:t>Webhook HMAC signature verified before any wallet credit operation is executed.</w:t>
      </w:r>
    </w:p>
    <w:p>
      <w:pPr>
        <w:spacing w:before="40" w:after="40"/>
      </w:pPr>
    </w:p>
    <w:p>
      <w:pPr>
        <w:pStyle w:val="Heading2"/>
        <w:spacing w:before="240" w:after="120"/>
      </w:pPr>
      <w:r>
        <w:rPr>
          <w:b/>
          <w:color w:val="1A3A6B"/>
          <w:sz w:val="28"/>
        </w:rPr>
        <w:t>9.5 Identity &amp; Access Management (SRS §5.7.5)</w:t>
      </w:r>
    </w:p>
    <w:p>
      <w:pPr>
        <w:pStyle w:val="ListBullet"/>
        <w:spacing w:before="40" w:after="40"/>
      </w:pPr>
      <w:r>
        <w:rPr>
          <w:color w:val="2C2416"/>
          <w:sz w:val="22"/>
        </w:rPr>
        <w:t>MFA available to all users. Mandatory for all administrative accounts and professional astrologer accounts.</w:t>
      </w:r>
    </w:p>
    <w:p>
      <w:pPr>
        <w:pStyle w:val="ListBullet"/>
        <w:spacing w:before="40" w:after="40"/>
      </w:pPr>
      <w:r>
        <w:rPr>
          <w:color w:val="2C2416"/>
          <w:sz w:val="22"/>
        </w:rPr>
        <w:t>Access token TTL: 15 minutes. Refresh token TTL: 7 days. Both invalidated immediately on logout or password change.</w:t>
      </w:r>
    </w:p>
    <w:p>
      <w:pPr>
        <w:pStyle w:val="ListBullet"/>
        <w:spacing w:before="40" w:after="40"/>
      </w:pPr>
      <w:r>
        <w:rPr>
          <w:color w:val="2C2416"/>
          <w:sz w:val="22"/>
        </w:rPr>
        <w:t>Quarterly administrative access review to revoke credentials for inactive or departing personnel.</w:t>
      </w:r>
    </w:p>
    <w:p>
      <w:pPr>
        <w:pStyle w:val="ListBullet"/>
        <w:spacing w:before="40" w:after="40"/>
      </w:pPr>
      <w:r>
        <w:rPr>
          <w:color w:val="2C2416"/>
          <w:sz w:val="22"/>
        </w:rPr>
        <w:t>All privileged admin actions require second-factor confirmation and generate an immutable audit log entry.</w:t>
      </w:r>
    </w:p>
    <w:p>
      <w:pPr>
        <w:spacing w:before="40" w:after="40"/>
      </w:pPr>
    </w:p>
    <w:p>
      <w:pPr>
        <w:pStyle w:val="Heading2"/>
        <w:spacing w:before="240" w:after="120"/>
      </w:pPr>
      <w:r>
        <w:rPr>
          <w:b/>
          <w:color w:val="1A3A6B"/>
          <w:sz w:val="28"/>
        </w:rPr>
        <w:t>9.6 AI Privacy</w:t>
      </w:r>
    </w:p>
    <w:p>
      <w:pPr>
        <w:pStyle w:val="ListBullet"/>
        <w:spacing w:before="40" w:after="40"/>
      </w:pPr>
      <w:r>
        <w:rPr>
          <w:color w:val="2C2416"/>
          <w:sz w:val="22"/>
        </w:rPr>
        <w:t>All LLM prompts sent to the underlying AI provider are anonymised. User PII (name, birth date/time/place) must not appear in raw LLM API calls.</w:t>
      </w:r>
    </w:p>
    <w:p>
      <w:pPr>
        <w:pStyle w:val="ListBullet"/>
        <w:spacing w:before="40" w:after="40"/>
      </w:pPr>
      <w:r>
        <w:rPr>
          <w:color w:val="2C2416"/>
          <w:sz w:val="22"/>
        </w:rPr>
        <w:t>Structured astrological data (planetary positions, dasha periods) is sent to the LLM — not raw birth data.</w:t>
      </w:r>
    </w:p>
    <w:p>
      <w:pPr>
        <w:pStyle w:val="ListBullet"/>
        <w:spacing w:before="40" w:after="40"/>
      </w:pPr>
      <w:r>
        <w:rPr>
          <w:color w:val="2C2416"/>
          <w:sz w:val="22"/>
        </w:rPr>
        <w:t>All AI output must include a disclaimer that interpretations are for guidance only and should not replace professional advice in medical, legal, or financial matters.</w:t>
      </w:r>
    </w:p>
    <w:p>
      <w:pPr>
        <w:spacing w:before="40" w:after="40"/>
      </w:pPr>
    </w:p>
    <w:p>
      <w:pPr>
        <w:pStyle w:val="Heading2"/>
        <w:spacing w:before="240" w:after="120"/>
      </w:pPr>
      <w:r>
        <w:rPr>
          <w:b/>
          <w:color w:val="1A3A6B"/>
          <w:sz w:val="28"/>
        </w:rPr>
        <w:t>9.7 Security Testing &amp; Incident Response (SRS §5.7.6)</w:t>
      </w:r>
    </w:p>
    <w:p>
      <w:pPr>
        <w:pStyle w:val="ListBullet"/>
        <w:spacing w:before="40" w:after="40"/>
      </w:pPr>
      <w:r>
        <w:rPr>
          <w:color w:val="2C2416"/>
          <w:sz w:val="22"/>
        </w:rPr>
        <w:t>Third-party penetration test before Phase 1 go-live. Critical and high-severity findings resolved before launch.</w:t>
      </w:r>
    </w:p>
    <w:p>
      <w:pPr>
        <w:pStyle w:val="ListBullet"/>
        <w:spacing w:before="40" w:after="40"/>
      </w:pPr>
      <w:r>
        <w:rPr>
          <w:color w:val="2C2416"/>
          <w:sz w:val="22"/>
        </w:rPr>
        <w:t>Automated vulnerability scanning on every production deployment.</w:t>
      </w:r>
    </w:p>
    <w:p>
      <w:pPr>
        <w:pStyle w:val="ListBullet"/>
        <w:spacing w:before="40" w:after="40"/>
      </w:pPr>
      <w:r>
        <w:rPr>
          <w:color w:val="2C2416"/>
          <w:sz w:val="22"/>
        </w:rPr>
        <w:t>Documented security incident response plan in place before Phase 1 launch: detection, containment, eradication, recovery, and user notification.</w:t>
      </w:r>
    </w:p>
    <w:p>
      <w:pPr>
        <w:pStyle w:val="ListBullet"/>
        <w:spacing w:before="40" w:after="40"/>
      </w:pPr>
      <w:r>
        <w:rPr>
          <w:color w:val="2C2416"/>
          <w:sz w:val="22"/>
        </w:rPr>
        <w:t>Data breach notification to affected users within 72 hours in compliance with GDPR (Phase 2+) and DPDP Act (India).</w:t>
      </w:r>
    </w:p>
    <w:p>
      <w:r>
        <w:br w:type="page"/>
      </w:r>
    </w:p>
    <w:p>
      <w:pPr>
        <w:pStyle w:val="Heading1"/>
        <w:pBdr>
          <w:bottom w:val="single" w:sz="6" w:space="1" w:color="5B3DC8"/>
        </w:pBdr>
        <w:spacing w:before="360" w:after="160"/>
      </w:pPr>
      <w:r>
        <w:rPr>
          <w:b/>
          <w:color w:val="2C1A4F"/>
          <w:sz w:val="36"/>
        </w:rPr>
        <w:t>10. Non-Functional Requirements Mapping</w:t>
      </w:r>
    </w:p>
    <w:tbl>
      <w:tblPr>
        <w:tblW w:w="9360" w:type="dxa"/>
        <w:tblLayout w:type="fixed"/>
        <w:tblLook w:firstColumn="1" w:firstRow="1" w:lastColumn="0" w:lastRow="0" w:noHBand="0" w:noVBand="1" w:val="04A0"/>
      </w:tblPr>
      <w:tblGrid>
        <w:gridCol w:w="2800"/>
        <w:gridCol w:w="1700"/>
        <w:gridCol w:w="4860"/>
      </w:tblGrid>
      <w:tr>
        <w:tc>
          <w:tcPr>
            <w:tcW w:w="28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Requirement</w:t>
            </w:r>
          </w:p>
        </w:tc>
        <w:tc>
          <w:tcPr>
            <w:tcW w:w="170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Target</w:t>
            </w:r>
          </w:p>
        </w:tc>
        <w:tc>
          <w:tcPr>
            <w:tcW w:w="4860" w:type="dxa"/>
            <w:tcBorders>
              <w:top w:val="single" w:sz="4" w:space="0" w:color="D4CAB8"/>
              <w:left w:val="single" w:sz="4" w:space="0" w:color="D4CAB8"/>
              <w:bottom w:val="single" w:sz="4" w:space="0" w:color="D4CAB8"/>
              <w:right w:val="single" w:sz="4" w:space="0" w:color="D4CAB8"/>
            </w:tcBorders>
            <w:shd w:val="clear" w:color="auto" w:fill="EDE8DC"/>
            <w:tcMar>
              <w:top w:w="80" w:type="dxa"/>
              <w:start w:w="120" w:type="dxa"/>
              <w:bottom w:w="80" w:type="dxa"/>
              <w:end w:w="120" w:type="dxa"/>
            </w:tcMar>
          </w:tcPr>
          <w:p>
            <w:r>
              <w:rPr>
                <w:b/>
                <w:color w:val="2C1A4F"/>
                <w:sz w:val="20"/>
              </w:rPr>
              <w:t>Implementation Approach</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Kundli chart generation latency</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&lt; 3 seconds</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pyswisseph optimised; Redis caching for repeated birth data lookups</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AI report generation latency</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&lt; 30 seconds</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Streaming LLM response via SSE; async job with real-time progress updates</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Page load (FCP, 4G connection)</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&lt; 2.5 seconds</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CDN edge delivery, code splitting, SSR, lazy loading, compressed assets</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Concurrent users (Phase 1)</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1,000+ simultaneous</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Stateless services, Kubernetes HPA, connection pooling at DB tier</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System uptime SLA (Phase 1)</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99.5% monthly</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Multi-AZ deployment; graceful degradation when AI service unavailable</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Credit deduction atomicity</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Zero partial writes</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PostgreSQL transactions with automatic rollback on any failure</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Credit refund on AI failure</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Within 60 seconds</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Async SQS event + wallet-service refund handler with notification</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Balance UI refresh after purchase</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Within 5 seconds</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WebSocket/SSE push from wallet-service after payment webhook confirmation</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Unit test coverage (calc engine)</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&gt;= 80%</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pytest suites on kundli-engine and dasha-engine; enforced in CI pipeline</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Language switch</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No page reload</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react-i18next with in-memory bundle; reactive re-render on locale change</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Accessibility</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WCAG 2.1 Level AA</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ARIA labels, keyboard navigation, 4.5:1 contrast ratio, SVG alt text</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Database RPO / RTO</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RPO 24h / RTO 4h</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RDS daily snapshots; PITR enabled; quarterly restore test</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Add new language</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No code changes</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i18n JSON bundles only; runtime injection at language selection</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Add new dasha system</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No core modification</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Pluggable module interface in dasha-engine/src/systems/</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TLS version</w:t>
            </w:r>
          </w:p>
        </w:tc>
        <w:tc>
          <w:tcPr>
            <w:tcW w:w="170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TLS 1.3 minimum</w:t>
            </w:r>
          </w:p>
        </w:tc>
        <w:tc>
          <w:tcPr>
            <w:tcW w:w="4860" w:type="dxa"/>
            <w:tcBorders>
              <w:top w:val="single" w:sz="4" w:space="0" w:color="D4CAB8"/>
              <w:left w:val="single" w:sz="4" w:space="0" w:color="D4CAB8"/>
              <w:bottom w:val="single" w:sz="4" w:space="0" w:color="D4CAB8"/>
              <w:right w:val="single" w:sz="4" w:space="0" w:color="D4CAB8"/>
            </w:tcBorders>
            <w:shd w:val="clear" w:color="auto" w:fill="FFFFFF"/>
            <w:tcMar>
              <w:top w:w="80" w:type="dxa"/>
              <w:start w:w="120" w:type="dxa"/>
              <w:bottom w:w="80" w:type="dxa"/>
              <w:end w:w="120" w:type="dxa"/>
            </w:tcMar>
          </w:tcPr>
          <w:p>
            <w:r>
              <w:rPr>
                <w:color w:val="2C2416"/>
                <w:sz w:val="20"/>
              </w:rPr>
              <w:t>TLS 1.0/1.1 disabled at load balancer and CDN configuration</w:t>
            </w:r>
          </w:p>
        </w:tc>
      </w:tr>
      <w:tr>
        <w:tc>
          <w:tcPr>
            <w:tcW w:w="28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Data encryption at rest</w:t>
            </w:r>
          </w:p>
        </w:tc>
        <w:tc>
          <w:tcPr>
            <w:tcW w:w="170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AES-256</w:t>
            </w:r>
          </w:p>
        </w:tc>
        <w:tc>
          <w:tcPr>
            <w:tcW w:w="4860" w:type="dxa"/>
            <w:tcBorders>
              <w:top w:val="single" w:sz="4" w:space="0" w:color="D4CAB8"/>
              <w:left w:val="single" w:sz="4" w:space="0" w:color="D4CAB8"/>
              <w:bottom w:val="single" w:sz="4" w:space="0" w:color="D4CAB8"/>
              <w:right w:val="single" w:sz="4" w:space="0" w:color="D4CAB8"/>
            </w:tcBorders>
            <w:shd w:val="clear" w:color="auto" w:fill="FAF6EE"/>
            <w:tcMar>
              <w:top w:w="80" w:type="dxa"/>
              <w:start w:w="120" w:type="dxa"/>
              <w:bottom w:w="80" w:type="dxa"/>
              <w:end w:w="120" w:type="dxa"/>
            </w:tcMar>
          </w:tcPr>
          <w:p>
            <w:r>
              <w:rPr>
                <w:color w:val="2C2416"/>
                <w:sz w:val="20"/>
              </w:rPr>
              <w:t>RDS encryption + KMS-managed keys; S3 server-side encryption</w:t>
            </w:r>
          </w:p>
        </w:tc>
      </w:tr>
    </w:tbl>
    <w:p>
      <w:pPr>
        <w:spacing w:before="40" w:after="40"/>
      </w:pPr>
    </w:p>
    <w:p>
      <w:r>
        <w:br w:type="page"/>
      </w:r>
    </w:p>
    <w:p>
      <w:pPr>
        <w:pStyle w:val="Heading1"/>
        <w:pBdr>
          <w:bottom w:val="single" w:sz="6" w:space="1" w:color="5B3DC8"/>
        </w:pBdr>
        <w:spacing w:before="360" w:after="160"/>
      </w:pPr>
      <w:r>
        <w:rPr>
          <w:b/>
          <w:color w:val="2C1A4F"/>
          <w:sz w:val="36"/>
        </w:rPr>
        <w:t>11. Deployment &amp; Infrastructure</w:t>
      </w:r>
    </w:p>
    <w:p>
      <w:pPr>
        <w:pStyle w:val="Heading2"/>
        <w:spacing w:before="240" w:after="120"/>
      </w:pPr>
      <w:r>
        <w:rPr>
          <w:b/>
          <w:color w:val="1A3A6B"/>
          <w:sz w:val="28"/>
        </w:rPr>
        <w:t>11.1 Cloud &amp; Kubernetes</w:t>
      </w:r>
    </w:p>
    <w:p>
      <w:pPr>
        <w:pStyle w:val="ListBullet"/>
        <w:spacing w:before="40" w:after="40"/>
      </w:pPr>
      <w:r>
        <w:rPr>
          <w:color w:val="2C2416"/>
          <w:sz w:val="22"/>
        </w:rPr>
        <w:t>Primary cloud provider: AWS (with GCP as an alternative path).</w:t>
      </w:r>
    </w:p>
    <w:p>
      <w:pPr>
        <w:pStyle w:val="ListBullet"/>
        <w:spacing w:before="40" w:after="40"/>
      </w:pPr>
      <w:r>
        <w:rPr>
          <w:color w:val="2C2416"/>
          <w:sz w:val="22"/>
        </w:rPr>
        <w:t>Container orchestration: Amazon EKS (Elastic Kubernetes Service).</w:t>
      </w:r>
    </w:p>
    <w:p>
      <w:pPr>
        <w:pStyle w:val="ListBullet"/>
        <w:spacing w:before="40" w:after="40"/>
      </w:pPr>
      <w:r>
        <w:rPr>
          <w:color w:val="2C2416"/>
          <w:sz w:val="22"/>
        </w:rPr>
        <w:t>Each microservice has its own Kubernetes Deployment, Service, and HorizontalPodAutoscaler manifest.</w:t>
      </w:r>
    </w:p>
    <w:p>
      <w:pPr>
        <w:pStyle w:val="ListBullet"/>
        <w:spacing w:before="40" w:after="40"/>
      </w:pPr>
      <w:r>
        <w:rPr>
          <w:color w:val="2C2416"/>
          <w:sz w:val="22"/>
        </w:rPr>
        <w:t>External Secrets Operator syncs secrets from AWS Secrets Manager to Kubernetes secrets at pod startup — no secrets in Helm values files.</w:t>
      </w:r>
    </w:p>
    <w:p>
      <w:pPr>
        <w:pStyle w:val="ListBullet"/>
        <w:spacing w:before="40" w:after="40"/>
      </w:pPr>
      <w:r>
        <w:rPr>
          <w:color w:val="2C2416"/>
          <w:sz w:val="22"/>
        </w:rPr>
        <w:t>Service mesh (Istio or AWS App Mesh) for intra-cluster mTLS communication between services.</w:t>
      </w:r>
    </w:p>
    <w:p>
      <w:pPr>
        <w:spacing w:before="40" w:after="40"/>
      </w:pPr>
    </w:p>
    <w:p>
      <w:pPr>
        <w:pStyle w:val="Heading2"/>
        <w:spacing w:before="240" w:after="120"/>
      </w:pPr>
      <w:r>
        <w:rPr>
          <w:b/>
          <w:color w:val="1A3A6B"/>
          <w:sz w:val="28"/>
        </w:rPr>
        <w:t>11.2 CI/CD Pipeline</w:t>
      </w:r>
    </w:p>
    <w:p>
      <w:pPr>
        <w:pStyle w:val="ListBullet"/>
        <w:spacing w:before="40" w:after="40"/>
      </w:pPr>
      <w:r>
        <w:rPr>
          <w:color w:val="2C2416"/>
          <w:sz w:val="22"/>
        </w:rPr>
        <w:t>GitHub Actions pipeline: Build → Lint → Unit Tests → CVE Dependency Scan → Docker Build → Push to ECR → Helm Deploy.</w:t>
      </w:r>
    </w:p>
    <w:p>
      <w:pPr>
        <w:pStyle w:val="ListBullet"/>
        <w:spacing w:before="40" w:after="40"/>
      </w:pPr>
      <w:r>
        <w:rPr>
          <w:color w:val="2C2416"/>
          <w:sz w:val="22"/>
        </w:rPr>
        <w:t>Rolling updates with readiness and liveness probes on each pod. Automatic rollback on failed deployment health check.</w:t>
      </w:r>
    </w:p>
    <w:p>
      <w:pPr>
        <w:pStyle w:val="ListBullet"/>
        <w:spacing w:before="40" w:after="40"/>
      </w:pPr>
      <w:r>
        <w:rPr>
          <w:color w:val="2C2416"/>
          <w:sz w:val="22"/>
        </w:rPr>
        <w:t>Separate pipelines per service for independent deployments (Turborepo affected-only detection in monorepo).</w:t>
      </w:r>
    </w:p>
    <w:p>
      <w:pPr>
        <w:pStyle w:val="ListBullet"/>
        <w:spacing w:before="40" w:after="40"/>
      </w:pPr>
      <w:r>
        <w:rPr>
          <w:color w:val="2C2416"/>
          <w:sz w:val="22"/>
        </w:rPr>
        <w:t>Docker images tagged with commit SHA. Semantic versioning for Helm chart releases.</w:t>
      </w:r>
    </w:p>
    <w:p>
      <w:pPr>
        <w:spacing w:before="40" w:after="40"/>
      </w:pPr>
    </w:p>
    <w:p>
      <w:pPr>
        <w:pStyle w:val="Heading2"/>
        <w:spacing w:before="240" w:after="120"/>
      </w:pPr>
      <w:r>
        <w:rPr>
          <w:b/>
          <w:color w:val="1A3A6B"/>
          <w:sz w:val="28"/>
        </w:rPr>
        <w:t>11.3 Network Zones</w:t>
      </w:r>
    </w:p>
    <w:p>
      <w:pPr>
        <w:pStyle w:val="ListBullet"/>
        <w:spacing w:before="40" w:after="40"/>
      </w:pPr>
      <w:r>
        <w:rPr>
          <w:color w:val="2C2416"/>
          <w:sz w:val="22"/>
        </w:rPr>
        <w:t>Zone A — Public Edge: CloudFront CDN + AWS WAF + Application Load Balancer. TLS 1.3 termination at this layer.</w:t>
      </w:r>
    </w:p>
    <w:p>
      <w:pPr>
        <w:pStyle w:val="ListBullet"/>
        <w:spacing w:before="40" w:after="40"/>
      </w:pPr>
      <w:r>
        <w:rPr>
          <w:color w:val="2C2416"/>
          <w:sz w:val="22"/>
        </w:rPr>
        <w:t>Zone B — Application Tier: Kubernetes pods running all microservices. Internal service-to-service via cluster DNS. mTLS enforced.</w:t>
      </w:r>
    </w:p>
    <w:p>
      <w:pPr>
        <w:pStyle w:val="ListBullet"/>
        <w:spacing w:before="40" w:after="40"/>
      </w:pPr>
      <w:r>
        <w:rPr>
          <w:color w:val="2C2416"/>
          <w:sz w:val="22"/>
        </w:rPr>
        <w:t>Zone C — Data Tier: Amazon RDS (PostgreSQL), ElastiCache (Redis), S3 — all in private subnets. No public IP addresses. Security group rules explicitly whitelist only application-tier pods.</w:t>
      </w:r>
    </w:p>
    <w:p>
      <w:pPr>
        <w:spacing w:before="40" w:after="40"/>
      </w:pPr>
    </w:p>
    <w:p>
      <w:pPr>
        <w:pStyle w:val="Heading2"/>
        <w:spacing w:before="240" w:after="120"/>
      </w:pPr>
      <w:r>
        <w:rPr>
          <w:b/>
          <w:color w:val="1A3A6B"/>
          <w:sz w:val="28"/>
        </w:rPr>
        <w:t>11.4 Environments</w:t>
      </w:r>
    </w:p>
    <w:p>
      <w:pPr>
        <w:pStyle w:val="ListBullet"/>
        <w:spacing w:before="40" w:after="40"/>
      </w:pPr>
      <w:r>
        <w:rPr>
          <w:color w:val="2C2416"/>
          <w:sz w:val="22"/>
        </w:rPr>
        <w:t>Development: Feature branches, ephemeral environments, synthetic data only.</w:t>
      </w:r>
    </w:p>
    <w:p>
      <w:pPr>
        <w:pStyle w:val="ListBullet"/>
        <w:spacing w:before="40" w:after="40"/>
      </w:pPr>
      <w:r>
        <w:rPr>
          <w:color w:val="2C2416"/>
          <w:sz w:val="22"/>
        </w:rPr>
        <w:t>Staging: Full production-equivalent infra for integration testing, load testing, and pre-release penetration testing.</w:t>
      </w:r>
    </w:p>
    <w:p>
      <w:pPr>
        <w:pStyle w:val="ListBullet"/>
        <w:spacing w:before="40" w:after="40"/>
      </w:pPr>
      <w:r>
        <w:rPr>
          <w:color w:val="2C2416"/>
          <w:sz w:val="22"/>
        </w:rPr>
        <w:t>Production: Blue/green deployment strategy. Traffic shifted gradually via ALB weighted target groups. Instant rollback by switching back to the blue environment.</w:t>
      </w:r>
    </w:p>
    <w:p>
      <w:pPr>
        <w:pStyle w:val="ListBullet"/>
        <w:spacing w:before="40" w:after="40"/>
      </w:pPr>
      <w:r>
        <w:rPr>
          <w:color w:val="2C2416"/>
          <w:sz w:val="22"/>
        </w:rPr>
        <w:t>No production data is ever used in development or staging environments.</w:t>
      </w:r>
    </w:p>
    <w:p>
      <w:pPr>
        <w:spacing w:before="40" w:after="40"/>
      </w:pPr>
    </w:p>
    <w:p>
      <w:pPr>
        <w:pStyle w:val="Heading2"/>
        <w:spacing w:before="240" w:after="120"/>
      </w:pPr>
      <w:r>
        <w:rPr>
          <w:b/>
          <w:color w:val="1A3A6B"/>
          <w:sz w:val="28"/>
        </w:rPr>
        <w:t>11.5 Observability</w:t>
      </w:r>
    </w:p>
    <w:p>
      <w:pPr>
        <w:pStyle w:val="ListBullet"/>
        <w:spacing w:before="40" w:after="40"/>
      </w:pPr>
      <w:r>
        <w:rPr>
          <w:color w:val="2C2416"/>
          <w:sz w:val="22"/>
        </w:rPr>
        <w:t>Metrics: Prometheus scraped from each service; Grafana dashboards for p50/p95/p99 latency and error rates per endpoint.</w:t>
      </w:r>
    </w:p>
    <w:p>
      <w:pPr>
        <w:pStyle w:val="ListBullet"/>
        <w:spacing w:before="40" w:after="40"/>
      </w:pPr>
      <w:r>
        <w:rPr>
          <w:color w:val="2C2416"/>
          <w:sz w:val="22"/>
        </w:rPr>
        <w:t>Logs: Structured JSON logs in AWS CloudWatch Logs. Retention: 90 days (application), 12 months (security audit).</w:t>
      </w:r>
    </w:p>
    <w:p>
      <w:pPr>
        <w:pStyle w:val="ListBullet"/>
        <w:spacing w:before="40" w:after="40"/>
      </w:pPr>
      <w:r>
        <w:rPr>
          <w:color w:val="2C2416"/>
          <w:sz w:val="22"/>
        </w:rPr>
        <w:t>Tracing: AWS X-Ray or OpenTelemetry for distributed request tracing.</w:t>
      </w:r>
    </w:p>
    <w:p>
      <w:pPr>
        <w:pStyle w:val="ListBullet"/>
        <w:spacing w:before="40" w:after="40"/>
      </w:pPr>
      <w:r>
        <w:rPr>
          <w:color w:val="2C2416"/>
          <w:sz w:val="22"/>
        </w:rPr>
        <w:t>Alerting: PagerDuty triggered on SLA breach, elevated error rates, or payment gateway degradation.</w:t>
      </w:r>
    </w:p>
    <w:p>
      <w:pPr>
        <w:spacing w:before="40" w:after="40"/>
      </w:pPr>
    </w:p>
    <w:p>
      <w:pPr>
        <w:pStyle w:val="Heading2"/>
        <w:spacing w:before="240" w:after="120"/>
      </w:pPr>
      <w:r>
        <w:rPr>
          <w:b/>
          <w:color w:val="1A3A6B"/>
          <w:sz w:val="28"/>
        </w:rPr>
        <w:t>11.6 Infrastructure as Code</w:t>
      </w:r>
    </w:p>
    <w:p>
      <w:pPr>
        <w:pStyle w:val="ListBullet"/>
        <w:spacing w:before="40" w:after="40"/>
      </w:pPr>
      <w:r>
        <w:rPr>
          <w:color w:val="2C2416"/>
          <w:sz w:val="22"/>
        </w:rPr>
        <w:t>All cloud resources defined in Terraform. State stored in S3 with DynamoDB lock table.</w:t>
      </w:r>
    </w:p>
    <w:p>
      <w:pPr>
        <w:pStyle w:val="ListBullet"/>
        <w:spacing w:before="40" w:after="40"/>
      </w:pPr>
      <w:r>
        <w:rPr>
          <w:color w:val="2C2416"/>
          <w:sz w:val="22"/>
        </w:rPr>
        <w:t>Terraform plan reviewed in Pull Request before apply. No ad-hoc manual changes to production infrastructure permitted.</w:t>
      </w:r>
    </w:p>
    <w:p>
      <w:pPr>
        <w:pStyle w:val="ListBullet"/>
        <w:spacing w:before="40" w:after="40"/>
      </w:pPr>
      <w:r>
        <w:rPr>
          <w:color w:val="2C2416"/>
          <w:sz w:val="22"/>
        </w:rPr>
        <w:t>Helm charts per service with environment-specific value overlays (dev / staging / prod).</w:t>
      </w:r>
    </w:p>
    <w:p>
      <w:pPr>
        <w:pStyle w:val="ListBullet"/>
        <w:spacing w:before="40" w:after="40"/>
      </w:pPr>
      <w:r>
        <w:rPr>
          <w:color w:val="2C2416"/>
          <w:sz w:val="22"/>
        </w:rPr>
        <w:t>GDPR data residency tagging on all resources. Indian user data stored in AWS ap-south-1 (Mumbai).</w:t>
      </w:r>
    </w:p>
    <w:p>
      <w:pPr>
        <w:pStyle w:val="ListBullet"/>
        <w:spacing w:before="40" w:after="40"/>
      </w:pPr>
      <w:r>
        <w:rPr>
          <w:color w:val="2C2416"/>
          <w:sz w:val="22"/>
        </w:rPr>
        <w:t>DPDP Act compliance enforced via data classification tags and IAM policies.</w:t>
      </w:r>
    </w:p>
    <w:p>
      <w:r>
        <w:br w:type="page"/>
      </w:r>
    </w:p>
    <w:p>
      <w:pPr>
        <w:pStyle w:val="Heading1"/>
      </w:pPr>
      <w:r>
        <w:rPr>
          <w:b/>
          <w:color w:val="5B3DC8"/>
        </w:rPr>
        <w:t>12. Scenario 1 — Email Verification, Wallet Economics &amp; Chat Billing</w:t>
      </w:r>
    </w:p>
    <w:p>
      <w:pPr>
        <w:spacing w:before="80" w:after="120"/>
      </w:pPr>
      <w:r>
        <w:rPr>
          <w:i/>
          <w:color w:val="503C28"/>
          <w:sz w:val="22"/>
        </w:rPr>
        <w:t>Covers the full user lifecycle from registration to first paid interaction: email ownership verification, dollar-cent wallet model, per-report billing and per-chat-message billing.</w:t>
      </w:r>
    </w:p>
    <w:p>
      <w:pPr>
        <w:pStyle w:val="Heading2"/>
      </w:pPr>
      <w:r>
        <w:rPr>
          <w:b/>
          <w:color w:val="2864B4"/>
        </w:rPr>
        <w:t>12.1  Email Verification Flow</w:t>
      </w:r>
    </w:p>
    <w:p>
      <w:pPr>
        <w:spacing w:before="80" w:after="120"/>
      </w:pPr>
      <w:r>
        <w:rPr>
          <w:sz w:val="20"/>
        </w:rPr>
        <w:t>When a new user registers their email is NOT immediately trusted. The system issues a one-time verification link (UUID token, 24-hour TTL). The $0.20 welcome credit is granted only after the link is clicked.</w:t>
      </w:r>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3B2F8C"/>
          </w:tcPr>
          <w:p>
            <w:r>
              <w:rPr>
                <w:b/>
                <w:color w:val="FFFFFF"/>
                <w:sz w:val="18"/>
              </w:rPr>
              <w:t>Step</w:t>
            </w:r>
          </w:p>
        </w:tc>
        <w:tc>
          <w:tcPr>
            <w:tcW w:type="dxa" w:w="1008"/>
            <w:shd w:val="clear" w:color="auto" w:fill="3B2F8C"/>
          </w:tcPr>
          <w:p>
            <w:r>
              <w:rPr>
                <w:b/>
                <w:color w:val="FFFFFF"/>
                <w:sz w:val="18"/>
              </w:rPr>
              <w:t>Actor</w:t>
            </w:r>
          </w:p>
        </w:tc>
        <w:tc>
          <w:tcPr>
            <w:tcW w:type="dxa" w:w="4608"/>
            <w:shd w:val="clear" w:color="auto" w:fill="3B2F8C"/>
          </w:tcPr>
          <w:p>
            <w:r>
              <w:rPr>
                <w:b/>
                <w:color w:val="FFFFFF"/>
                <w:sz w:val="18"/>
              </w:rPr>
              <w:t>Action / System Behaviour</w:t>
            </w:r>
          </w:p>
        </w:tc>
        <w:tc>
          <w:tcPr>
            <w:tcW w:type="dxa" w:w="3312"/>
            <w:shd w:val="clear" w:color="auto" w:fill="3B2F8C"/>
          </w:tcPr>
          <w:p>
            <w:r>
              <w:rPr>
                <w:b/>
                <w:color w:val="FFFFFF"/>
                <w:sz w:val="18"/>
              </w:rPr>
              <w:t>DB Change</w:t>
            </w:r>
          </w:p>
        </w:tc>
      </w:tr>
      <w:tr>
        <w:tc>
          <w:tcPr>
            <w:tcW w:type="dxa" w:w="576"/>
            <w:shd w:val="clear" w:color="auto" w:fill="F5F0FA"/>
          </w:tcPr>
          <w:p>
            <w:r>
              <w:rPr>
                <w:sz w:val="18"/>
              </w:rPr>
              <w:t>1</w:t>
            </w:r>
          </w:p>
        </w:tc>
        <w:tc>
          <w:tcPr>
            <w:tcW w:type="dxa" w:w="1008"/>
            <w:shd w:val="clear" w:color="auto" w:fill="F5F0FA"/>
          </w:tcPr>
          <w:p>
            <w:r>
              <w:rPr>
                <w:sz w:val="18"/>
              </w:rPr>
              <w:t>User</w:t>
            </w:r>
          </w:p>
        </w:tc>
        <w:tc>
          <w:tcPr>
            <w:tcW w:type="dxa" w:w="4608"/>
            <w:shd w:val="clear" w:color="auto" w:fill="F5F0FA"/>
          </w:tcPr>
          <w:p>
            <w:r>
              <w:rPr>
                <w:sz w:val="18"/>
              </w:rPr>
              <w:t>Submits registration (name, email, password)</w:t>
            </w:r>
          </w:p>
        </w:tc>
        <w:tc>
          <w:tcPr>
            <w:tcW w:type="dxa" w:w="3312"/>
            <w:shd w:val="clear" w:color="auto" w:fill="F5F0FA"/>
          </w:tcPr>
          <w:p>
            <w:r>
              <w:rPr>
                <w:sz w:val="18"/>
              </w:rPr>
              <w:t>email_verified=FALSE, verification_token=&lt;uuid&gt;, wallet_balance_cents=0</w:t>
            </w:r>
          </w:p>
        </w:tc>
      </w:tr>
      <w:tr>
        <w:tc>
          <w:tcPr>
            <w:tcW w:type="dxa" w:w="576"/>
            <w:shd w:val="clear" w:color="auto" w:fill="FFFFFF"/>
          </w:tcPr>
          <w:p>
            <w:r>
              <w:rPr>
                <w:sz w:val="18"/>
              </w:rPr>
              <w:t>2</w:t>
            </w:r>
          </w:p>
        </w:tc>
        <w:tc>
          <w:tcPr>
            <w:tcW w:type="dxa" w:w="1008"/>
            <w:shd w:val="clear" w:color="auto" w:fill="FFFFFF"/>
          </w:tcPr>
          <w:p>
            <w:r>
              <w:rPr>
                <w:sz w:val="18"/>
              </w:rPr>
              <w:t>System</w:t>
            </w:r>
          </w:p>
        </w:tc>
        <w:tc>
          <w:tcPr>
            <w:tcW w:type="dxa" w:w="4608"/>
            <w:shd w:val="clear" w:color="auto" w:fill="FFFFFF"/>
          </w:tcPr>
          <w:p>
            <w:r>
              <w:rPr>
                <w:sz w:val="18"/>
              </w:rPr>
              <w:t>Sends verification email via SMTP. Falls back to console log if SMTP not configured.</w:t>
            </w:r>
          </w:p>
        </w:tc>
        <w:tc>
          <w:tcPr>
            <w:tcW w:type="dxa" w:w="3312"/>
            <w:shd w:val="clear" w:color="auto" w:fill="FFFFFF"/>
          </w:tcPr>
          <w:p>
            <w:r>
              <w:rPr>
                <w:sz w:val="18"/>
              </w:rPr>
              <w:t>—</w:t>
            </w:r>
          </w:p>
        </w:tc>
      </w:tr>
      <w:tr>
        <w:tc>
          <w:tcPr>
            <w:tcW w:type="dxa" w:w="576"/>
            <w:shd w:val="clear" w:color="auto" w:fill="F5F0FA"/>
          </w:tcPr>
          <w:p>
            <w:r>
              <w:rPr>
                <w:sz w:val="18"/>
              </w:rPr>
              <w:t>3</w:t>
            </w:r>
          </w:p>
        </w:tc>
        <w:tc>
          <w:tcPr>
            <w:tcW w:type="dxa" w:w="1008"/>
            <w:shd w:val="clear" w:color="auto" w:fill="F5F0FA"/>
          </w:tcPr>
          <w:p>
            <w:r>
              <w:rPr>
                <w:sz w:val="18"/>
              </w:rPr>
              <w:t>User</w:t>
            </w:r>
          </w:p>
        </w:tc>
        <w:tc>
          <w:tcPr>
            <w:tcW w:type="dxa" w:w="4608"/>
            <w:shd w:val="clear" w:color="auto" w:fill="F5F0FA"/>
          </w:tcPr>
          <w:p>
            <w:r>
              <w:rPr>
                <w:sz w:val="18"/>
              </w:rPr>
              <w:t>Clicks link: GET /auth/verify-email?token=&lt;uuid&gt;</w:t>
            </w:r>
          </w:p>
        </w:tc>
        <w:tc>
          <w:tcPr>
            <w:tcW w:type="dxa" w:w="3312"/>
            <w:shd w:val="clear" w:color="auto" w:fill="F5F0FA"/>
          </w:tcPr>
          <w:p>
            <w:r>
              <w:rPr>
                <w:sz w:val="18"/>
              </w:rPr>
              <w:t>email_verified=TRUE, token cleared, wallet_balance_cents += 20</w:t>
            </w:r>
          </w:p>
        </w:tc>
      </w:tr>
      <w:tr>
        <w:tc>
          <w:tcPr>
            <w:tcW w:type="dxa" w:w="576"/>
            <w:shd w:val="clear" w:color="auto" w:fill="FFFFFF"/>
          </w:tcPr>
          <w:p>
            <w:r>
              <w:rPr>
                <w:sz w:val="18"/>
              </w:rPr>
              <w:t>4</w:t>
            </w:r>
          </w:p>
        </w:tc>
        <w:tc>
          <w:tcPr>
            <w:tcW w:type="dxa" w:w="1008"/>
            <w:shd w:val="clear" w:color="auto" w:fill="FFFFFF"/>
          </w:tcPr>
          <w:p>
            <w:r>
              <w:rPr>
                <w:sz w:val="18"/>
              </w:rPr>
              <w:t>System</w:t>
            </w:r>
          </w:p>
        </w:tc>
        <w:tc>
          <w:tcPr>
            <w:tcW w:type="dxa" w:w="4608"/>
            <w:shd w:val="clear" w:color="auto" w:fill="FFFFFF"/>
          </w:tcPr>
          <w:p>
            <w:r>
              <w:rPr>
                <w:sz w:val="18"/>
              </w:rPr>
              <w:t>Returns success page; UI shows "$0.20 credited — enough for your first reading!"</w:t>
            </w:r>
          </w:p>
        </w:tc>
        <w:tc>
          <w:tcPr>
            <w:tcW w:type="dxa" w:w="3312"/>
            <w:shd w:val="clear" w:color="auto" w:fill="FFFFFF"/>
          </w:tcPr>
          <w:p>
            <w:r>
              <w:rPr>
                <w:sz w:val="18"/>
              </w:rPr>
              <w:t>—</w:t>
            </w:r>
          </w:p>
        </w:tc>
      </w:tr>
      <w:tr>
        <w:tc>
          <w:tcPr>
            <w:tcW w:type="dxa" w:w="576"/>
            <w:shd w:val="clear" w:color="auto" w:fill="F5F0FA"/>
          </w:tcPr>
          <w:p>
            <w:r>
              <w:rPr>
                <w:sz w:val="18"/>
              </w:rPr>
              <w:t>5</w:t>
            </w:r>
          </w:p>
        </w:tc>
        <w:tc>
          <w:tcPr>
            <w:tcW w:type="dxa" w:w="1008"/>
            <w:shd w:val="clear" w:color="auto" w:fill="F5F0FA"/>
          </w:tcPr>
          <w:p>
            <w:r>
              <w:rPr>
                <w:sz w:val="18"/>
              </w:rPr>
              <w:t>System</w:t>
            </w:r>
          </w:p>
        </w:tc>
        <w:tc>
          <w:tcPr>
            <w:tcW w:type="dxa" w:w="4608"/>
            <w:shd w:val="clear" w:color="auto" w:fill="F5F0FA"/>
          </w:tcPr>
          <w:p>
            <w:r>
              <w:rPr>
                <w:sz w:val="18"/>
              </w:rPr>
              <w:t>Expired / unknown token: HTTP 400 "Verification link expired. Request a new one."</w:t>
            </w:r>
          </w:p>
        </w:tc>
        <w:tc>
          <w:tcPr>
            <w:tcW w:type="dxa" w:w="3312"/>
            <w:shd w:val="clear" w:color="auto" w:fill="F5F0FA"/>
          </w:tcPr>
          <w:p>
            <w:r>
              <w:rPr>
                <w:sz w:val="18"/>
              </w:rPr>
              <w:t>—</w:t>
            </w:r>
          </w:p>
        </w:tc>
      </w:tr>
    </w:tbl>
    <w:p/>
    <w:p>
      <w:pPr>
        <w:pStyle w:val="Heading3"/>
      </w:pPr>
      <w:r>
        <w:rPr>
          <w:b/>
          <w:color w:val="3C3C3C"/>
        </w:rPr>
        <w:t>Email Service Module</w:t>
      </w:r>
    </w:p>
    <w:p>
      <w:pPr>
        <w:pStyle w:val="ListBullet"/>
        <w:spacing w:before="20" w:after="20"/>
      </w:pPr>
      <w:r>
        <w:rPr>
          <w:sz w:val="20"/>
        </w:rPr>
        <w:t>Location: backend/auth/email_service.py</w:t>
      </w:r>
    </w:p>
    <w:p>
      <w:pPr>
        <w:pStyle w:val="ListBullet"/>
        <w:spacing w:before="20" w:after="20"/>
      </w:pPr>
      <w:r>
        <w:rPr>
          <w:sz w:val="20"/>
        </w:rPr>
        <w:t>Config via .env: EMAIL_HOST, EMAIL_PORT (587), EMAIL_USER, EMAIL_PASSWORD, EMAIL_FROM_NAME, APP_BASE_URL</w:t>
      </w:r>
    </w:p>
    <w:p>
      <w:pPr>
        <w:pStyle w:val="ListBullet"/>
        <w:spacing w:before="20" w:after="20"/>
      </w:pPr>
      <w:r>
        <w:rPr>
          <w:sz w:val="20"/>
        </w:rPr>
        <w:t>Mock mode: when SMTP credentials absent, verification link is printed to server stdout</w:t>
      </w:r>
    </w:p>
    <w:p>
      <w:pPr>
        <w:pStyle w:val="ListBullet"/>
        <w:spacing w:before="20" w:after="20"/>
      </w:pPr>
      <w:r>
        <w:rPr>
          <w:sz w:val="20"/>
        </w:rPr>
        <w:t>Resend endpoint: POST /auth/resend-verification (rate-limited: 3 requests/hour/email)</w:t>
      </w:r>
    </w:p>
    <w:p>
      <w:pPr>
        <w:pStyle w:val="ListBullet"/>
        <w:spacing w:before="20" w:after="20"/>
      </w:pPr>
      <w:r>
        <w:rPr>
          <w:sz w:val="20"/>
        </w:rPr>
        <w:t>Token security: uuid.uuid4() — 128-bit random, one-time use, 24-hour TTL</w:t>
      </w:r>
    </w:p>
    <w:p>
      <w:pPr>
        <w:pStyle w:val="ListBullet"/>
        <w:spacing w:before="20" w:after="20"/>
      </w:pPr>
      <w:r>
        <w:rPr>
          <w:sz w:val="20"/>
        </w:rPr>
        <w:t>Unverified users may log in but see a banner; they cannot initiate readings until verified</w:t>
      </w:r>
    </w:p>
    <w:p/>
    <w:p>
      <w:pPr>
        <w:pStyle w:val="Heading2"/>
      </w:pPr>
      <w:r>
        <w:rPr>
          <w:b/>
          <w:color w:val="2864B4"/>
        </w:rPr>
        <w:t>12.2  Wallet Economics — Dollar-Cent Model</w:t>
      </w:r>
    </w:p>
    <w:p>
      <w:pPr>
        <w:spacing w:before="80" w:after="120"/>
      </w:pPr>
      <w:r>
        <w:rPr>
          <w:sz w:val="20"/>
        </w:rPr>
        <w:t>All balances are stored as integer cents to avoid floating-point precision errors. The UI renders amounts as $X.XX. Actual AI inference cost per report (~$0.20 at Sonnet pricing with 8,192 output tokens) should be reviewed monthly and adjusted via the config keys below.</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3B2F8C"/>
          </w:tcPr>
          <w:p>
            <w:r>
              <w:rPr>
                <w:b/>
                <w:color w:val="FFFFFF"/>
                <w:sz w:val="18"/>
              </w:rPr>
              <w:t>Event</w:t>
            </w:r>
          </w:p>
        </w:tc>
        <w:tc>
          <w:tcPr>
            <w:tcW w:type="dxa" w:w="1296"/>
            <w:shd w:val="clear" w:color="auto" w:fill="3B2F8C"/>
          </w:tcPr>
          <w:p>
            <w:r>
              <w:rPr>
                <w:b/>
                <w:color w:val="FFFFFF"/>
                <w:sz w:val="18"/>
              </w:rPr>
              <w:t>Amount</w:t>
            </w:r>
          </w:p>
        </w:tc>
        <w:tc>
          <w:tcPr>
            <w:tcW w:type="dxa" w:w="1440"/>
            <w:shd w:val="clear" w:color="auto" w:fill="3B2F8C"/>
          </w:tcPr>
          <w:p>
            <w:r>
              <w:rPr>
                <w:b/>
                <w:color w:val="FFFFFF"/>
                <w:sz w:val="18"/>
              </w:rPr>
              <w:t>Cents Stored</w:t>
            </w:r>
          </w:p>
        </w:tc>
        <w:tc>
          <w:tcPr>
            <w:tcW w:type="dxa" w:w="2448"/>
            <w:shd w:val="clear" w:color="auto" w:fill="3B2F8C"/>
          </w:tcPr>
          <w:p>
            <w:r>
              <w:rPr>
                <w:b/>
                <w:color w:val="FFFFFF"/>
                <w:sz w:val="18"/>
              </w:rPr>
              <w:t>Config Key</w:t>
            </w:r>
          </w:p>
        </w:tc>
        <w:tc>
          <w:tcPr>
            <w:tcW w:type="dxa" w:w="2880"/>
            <w:shd w:val="clear" w:color="auto" w:fill="3B2F8C"/>
          </w:tcPr>
          <w:p>
            <w:r>
              <w:rPr>
                <w:b/>
                <w:color w:val="FFFFFF"/>
                <w:sz w:val="18"/>
              </w:rPr>
              <w:t>Notes</w:t>
            </w:r>
          </w:p>
        </w:tc>
      </w:tr>
      <w:tr>
        <w:tc>
          <w:tcPr>
            <w:tcW w:type="dxa" w:w="2880"/>
            <w:shd w:val="clear" w:color="auto" w:fill="F5F0FA"/>
          </w:tcPr>
          <w:p>
            <w:r>
              <w:rPr>
                <w:sz w:val="18"/>
              </w:rPr>
              <w:t>Welcome credit (on email verify)</w:t>
            </w:r>
          </w:p>
        </w:tc>
        <w:tc>
          <w:tcPr>
            <w:tcW w:type="dxa" w:w="1296"/>
            <w:shd w:val="clear" w:color="auto" w:fill="F5F0FA"/>
          </w:tcPr>
          <w:p>
            <w:r>
              <w:rPr>
                <w:sz w:val="18"/>
              </w:rPr>
              <w:t>+$0.20</w:t>
            </w:r>
          </w:p>
        </w:tc>
        <w:tc>
          <w:tcPr>
            <w:tcW w:type="dxa" w:w="1440"/>
            <w:shd w:val="clear" w:color="auto" w:fill="F5F0FA"/>
          </w:tcPr>
          <w:p>
            <w:r>
              <w:rPr>
                <w:sz w:val="18"/>
              </w:rPr>
              <w:t>+20</w:t>
            </w:r>
          </w:p>
        </w:tc>
        <w:tc>
          <w:tcPr>
            <w:tcW w:type="dxa" w:w="2448"/>
            <w:shd w:val="clear" w:color="auto" w:fill="F5F0FA"/>
          </w:tcPr>
          <w:p>
            <w:r>
              <w:rPr>
                <w:sz w:val="18"/>
              </w:rPr>
              <w:t>WELCOME_CREDIT_CENTS</w:t>
            </w:r>
          </w:p>
        </w:tc>
        <w:tc>
          <w:tcPr>
            <w:tcW w:type="dxa" w:w="2880"/>
            <w:shd w:val="clear" w:color="auto" w:fill="F5F0FA"/>
          </w:tcPr>
          <w:p>
            <w:r>
              <w:rPr>
                <w:sz w:val="18"/>
              </w:rPr>
              <w:t>One full reading</w:t>
            </w:r>
          </w:p>
        </w:tc>
      </w:tr>
      <w:tr>
        <w:tc>
          <w:tcPr>
            <w:tcW w:type="dxa" w:w="2880"/>
            <w:shd w:val="clear" w:color="auto" w:fill="FFFFFF"/>
          </w:tcPr>
          <w:p>
            <w:r>
              <w:rPr>
                <w:sz w:val="18"/>
              </w:rPr>
              <w:t>Full kundli reading (Steps 1-2)</w:t>
            </w:r>
          </w:p>
        </w:tc>
        <w:tc>
          <w:tcPr>
            <w:tcW w:type="dxa" w:w="1296"/>
            <w:shd w:val="clear" w:color="auto" w:fill="FFFFFF"/>
          </w:tcPr>
          <w:p>
            <w:r>
              <w:rPr>
                <w:sz w:val="18"/>
              </w:rPr>
              <w:t>-$0.20</w:t>
            </w:r>
          </w:p>
        </w:tc>
        <w:tc>
          <w:tcPr>
            <w:tcW w:type="dxa" w:w="1440"/>
            <w:shd w:val="clear" w:color="auto" w:fill="FFFFFF"/>
          </w:tcPr>
          <w:p>
            <w:r>
              <w:rPr>
                <w:sz w:val="18"/>
              </w:rPr>
              <w:t>-20</w:t>
            </w:r>
          </w:p>
        </w:tc>
        <w:tc>
          <w:tcPr>
            <w:tcW w:type="dxa" w:w="2448"/>
            <w:shd w:val="clear" w:color="auto" w:fill="FFFFFF"/>
          </w:tcPr>
          <w:p>
            <w:r>
              <w:rPr>
                <w:sz w:val="18"/>
              </w:rPr>
              <w:t>REPORT_COST_CENTS</w:t>
            </w:r>
          </w:p>
        </w:tc>
        <w:tc>
          <w:tcPr>
            <w:tcW w:type="dxa" w:w="2880"/>
            <w:shd w:val="clear" w:color="auto" w:fill="FFFFFF"/>
          </w:tcPr>
          <w:p>
            <w:r>
              <w:rPr>
                <w:sz w:val="18"/>
              </w:rPr>
              <w:t>Deducted before AI call; refunded on error</w:t>
            </w:r>
          </w:p>
        </w:tc>
      </w:tr>
      <w:tr>
        <w:tc>
          <w:tcPr>
            <w:tcW w:type="dxa" w:w="2880"/>
            <w:shd w:val="clear" w:color="auto" w:fill="F5F0FA"/>
          </w:tcPr>
          <w:p>
            <w:r>
              <w:rPr>
                <w:sz w:val="18"/>
              </w:rPr>
              <w:t>Chat message to AI Interpreter</w:t>
            </w:r>
          </w:p>
        </w:tc>
        <w:tc>
          <w:tcPr>
            <w:tcW w:type="dxa" w:w="1296"/>
            <w:shd w:val="clear" w:color="auto" w:fill="F5F0FA"/>
          </w:tcPr>
          <w:p>
            <w:r>
              <w:rPr>
                <w:sz w:val="18"/>
              </w:rPr>
              <w:t>-$0.05</w:t>
            </w:r>
          </w:p>
        </w:tc>
        <w:tc>
          <w:tcPr>
            <w:tcW w:type="dxa" w:w="1440"/>
            <w:shd w:val="clear" w:color="auto" w:fill="F5F0FA"/>
          </w:tcPr>
          <w:p>
            <w:r>
              <w:rPr>
                <w:sz w:val="18"/>
              </w:rPr>
              <w:t>-5</w:t>
            </w:r>
          </w:p>
        </w:tc>
        <w:tc>
          <w:tcPr>
            <w:tcW w:type="dxa" w:w="2448"/>
            <w:shd w:val="clear" w:color="auto" w:fill="F5F0FA"/>
          </w:tcPr>
          <w:p>
            <w:r>
              <w:rPr>
                <w:sz w:val="18"/>
              </w:rPr>
              <w:t>CHAT_COST_CENTS</w:t>
            </w:r>
          </w:p>
        </w:tc>
        <w:tc>
          <w:tcPr>
            <w:tcW w:type="dxa" w:w="2880"/>
            <w:shd w:val="clear" w:color="auto" w:fill="F5F0FA"/>
          </w:tcPr>
          <w:p>
            <w:r>
              <w:rPr>
                <w:sz w:val="18"/>
              </w:rPr>
              <w:t>Per message; NOT free</w:t>
            </w:r>
          </w:p>
        </w:tc>
      </w:tr>
      <w:tr>
        <w:tc>
          <w:tcPr>
            <w:tcW w:type="dxa" w:w="2880"/>
            <w:shd w:val="clear" w:color="auto" w:fill="FFFFFF"/>
          </w:tcPr>
          <w:p>
            <w:r>
              <w:rPr>
                <w:sz w:val="18"/>
              </w:rPr>
              <w:t>Top-up Tier 1</w:t>
            </w:r>
          </w:p>
        </w:tc>
        <w:tc>
          <w:tcPr>
            <w:tcW w:type="dxa" w:w="1296"/>
            <w:shd w:val="clear" w:color="auto" w:fill="FFFFFF"/>
          </w:tcPr>
          <w:p>
            <w:r>
              <w:rPr>
                <w:sz w:val="18"/>
              </w:rPr>
              <w:t>+$1.00</w:t>
            </w:r>
          </w:p>
        </w:tc>
        <w:tc>
          <w:tcPr>
            <w:tcW w:type="dxa" w:w="1440"/>
            <w:shd w:val="clear" w:color="auto" w:fill="FFFFFF"/>
          </w:tcPr>
          <w:p>
            <w:r>
              <w:rPr>
                <w:sz w:val="18"/>
              </w:rPr>
              <w:t>+100</w:t>
            </w:r>
          </w:p>
        </w:tc>
        <w:tc>
          <w:tcPr>
            <w:tcW w:type="dxa" w:w="2448"/>
            <w:shd w:val="clear" w:color="auto" w:fill="FFFFFF"/>
          </w:tcPr>
          <w:p>
            <w:r>
              <w:rPr>
                <w:sz w:val="18"/>
              </w:rPr>
              <w:t>TOPUP_1_CENTS</w:t>
            </w:r>
          </w:p>
        </w:tc>
        <w:tc>
          <w:tcPr>
            <w:tcW w:type="dxa" w:w="2880"/>
            <w:shd w:val="clear" w:color="auto" w:fill="FFFFFF"/>
          </w:tcPr>
          <w:p>
            <w:r>
              <w:rPr>
                <w:sz w:val="18"/>
              </w:rPr>
              <w:t>5 readings or 20 chat messages</w:t>
            </w:r>
          </w:p>
        </w:tc>
      </w:tr>
      <w:tr>
        <w:tc>
          <w:tcPr>
            <w:tcW w:type="dxa" w:w="2880"/>
            <w:shd w:val="clear" w:color="auto" w:fill="F5F0FA"/>
          </w:tcPr>
          <w:p>
            <w:r>
              <w:rPr>
                <w:sz w:val="18"/>
              </w:rPr>
              <w:t>Top-up Tier 2</w:t>
            </w:r>
          </w:p>
        </w:tc>
        <w:tc>
          <w:tcPr>
            <w:tcW w:type="dxa" w:w="1296"/>
            <w:shd w:val="clear" w:color="auto" w:fill="F5F0FA"/>
          </w:tcPr>
          <w:p>
            <w:r>
              <w:rPr>
                <w:sz w:val="18"/>
              </w:rPr>
              <w:t>+$3.00</w:t>
            </w:r>
          </w:p>
        </w:tc>
        <w:tc>
          <w:tcPr>
            <w:tcW w:type="dxa" w:w="1440"/>
            <w:shd w:val="clear" w:color="auto" w:fill="F5F0FA"/>
          </w:tcPr>
          <w:p>
            <w:r>
              <w:rPr>
                <w:sz w:val="18"/>
              </w:rPr>
              <w:t>+300</w:t>
            </w:r>
          </w:p>
        </w:tc>
        <w:tc>
          <w:tcPr>
            <w:tcW w:type="dxa" w:w="2448"/>
            <w:shd w:val="clear" w:color="auto" w:fill="F5F0FA"/>
          </w:tcPr>
          <w:p>
            <w:r>
              <w:rPr>
                <w:sz w:val="18"/>
              </w:rPr>
              <w:t>TOPUP_2_CENTS</w:t>
            </w:r>
          </w:p>
        </w:tc>
        <w:tc>
          <w:tcPr>
            <w:tcW w:type="dxa" w:w="2880"/>
            <w:shd w:val="clear" w:color="auto" w:fill="F5F0FA"/>
          </w:tcPr>
          <w:p>
            <w:r>
              <w:rPr>
                <w:sz w:val="18"/>
              </w:rPr>
              <w:t>15 readings or 60 chat messages</w:t>
            </w:r>
          </w:p>
        </w:tc>
      </w:tr>
      <w:tr>
        <w:tc>
          <w:tcPr>
            <w:tcW w:type="dxa" w:w="2880"/>
            <w:shd w:val="clear" w:color="auto" w:fill="FFFFFF"/>
          </w:tcPr>
          <w:p>
            <w:r>
              <w:rPr>
                <w:sz w:val="18"/>
              </w:rPr>
              <w:t>Guest users</w:t>
            </w:r>
          </w:p>
        </w:tc>
        <w:tc>
          <w:tcPr>
            <w:tcW w:type="dxa" w:w="1296"/>
            <w:shd w:val="clear" w:color="auto" w:fill="FFFFFF"/>
          </w:tcPr>
          <w:p>
            <w:r>
              <w:rPr>
                <w:sz w:val="18"/>
              </w:rPr>
              <w:t>$0.00</w:t>
            </w:r>
          </w:p>
        </w:tc>
        <w:tc>
          <w:tcPr>
            <w:tcW w:type="dxa" w:w="1440"/>
            <w:shd w:val="clear" w:color="auto" w:fill="FFFFFF"/>
          </w:tcPr>
          <w:p>
            <w:r>
              <w:rPr>
                <w:sz w:val="18"/>
              </w:rPr>
              <w:t>0</w:t>
            </w:r>
          </w:p>
        </w:tc>
        <w:tc>
          <w:tcPr>
            <w:tcW w:type="dxa" w:w="2448"/>
            <w:shd w:val="clear" w:color="auto" w:fill="FFFFFF"/>
          </w:tcPr>
          <w:p>
            <w:r>
              <w:rPr>
                <w:sz w:val="18"/>
              </w:rPr>
              <w:t>—</w:t>
            </w:r>
          </w:p>
        </w:tc>
        <w:tc>
          <w:tcPr>
            <w:tcW w:type="dxa" w:w="2880"/>
            <w:shd w:val="clear" w:color="auto" w:fill="FFFFFF"/>
          </w:tcPr>
          <w:p>
            <w:r>
              <w:rPr>
                <w:sz w:val="18"/>
              </w:rPr>
              <w:t>Billing bypassed; no top-up</w:t>
            </w:r>
          </w:p>
        </w:tc>
      </w:tr>
    </w:tbl>
    <w:p/>
    <w:p>
      <w:pPr>
        <w:pStyle w:val="Heading2"/>
      </w:pPr>
      <w:r>
        <w:rPr>
          <w:b/>
          <w:color w:val="2864B4"/>
        </w:rPr>
        <w:t>12.3  Chat Billing — AI Interpreter</w:t>
      </w:r>
    </w:p>
    <w:p>
      <w:pPr>
        <w:spacing w:before="80" w:after="120"/>
      </w:pPr>
      <w:r>
        <w:rPr>
          <w:sz w:val="20"/>
        </w:rPr>
        <w:t>The AI chat interface (Step 3+) is a paid feature. Every message sent to the AI Interpreter costs the user $0.05 (5 cents). The deduction occurs before the AI call; if the call fails, the charge is automatically refunded.</w:t>
      </w:r>
    </w:p>
    <w:p>
      <w:pPr>
        <w:pStyle w:val="ListBullet"/>
        <w:spacing w:before="20" w:after="20"/>
      </w:pPr>
      <w:r>
        <w:rPr>
          <w:sz w:val="20"/>
        </w:rPr>
        <w:t>Pre-deduction check: if wallet &lt; CHAT_COST_CENTS (5), return HTTP 402 "Insufficient balance. Top up to continue."</w:t>
      </w:r>
    </w:p>
    <w:p>
      <w:pPr>
        <w:pStyle w:val="ListBullet"/>
        <w:spacing w:before="20" w:after="20"/>
      </w:pPr>
      <w:r>
        <w:rPr>
          <w:sz w:val="20"/>
        </w:rPr>
        <w:t>Refund on AI error: credit +5 cents back; log both debit and credit in wallet_transactions</w:t>
      </w:r>
    </w:p>
    <w:p>
      <w:pPr>
        <w:pStyle w:val="ListBullet"/>
        <w:spacing w:before="20" w:after="20"/>
      </w:pPr>
      <w:r>
        <w:rPr>
          <w:sz w:val="20"/>
        </w:rPr>
        <w:t>Guest users: up to GUEST_FREE_CHAT_LIMIT (default 3) messages free, then upsell to register</w:t>
      </w:r>
    </w:p>
    <w:p>
      <w:pPr>
        <w:pStyle w:val="ListBullet"/>
        <w:spacing w:before="20" w:after="20"/>
      </w:pPr>
      <w:r>
        <w:rPr>
          <w:sz w:val="20"/>
        </w:rPr>
        <w:t>Balance returned in every chat API response so the UI can update the wallet badge in real-time</w:t>
      </w:r>
    </w:p>
    <w:p>
      <w:pPr>
        <w:pStyle w:val="ListBullet"/>
        <w:spacing w:before="20" w:after="20"/>
      </w:pPr>
      <w:r>
        <w:rPr>
          <w:sz w:val="20"/>
        </w:rPr>
        <w:t>Safety-blocked messages do NOT deduct credits (blocked before AI call)</w:t>
      </w:r>
    </w:p>
    <w:p/>
    <w:p>
      <w:pPr>
        <w:pStyle w:val="Heading2"/>
      </w:pPr>
      <w:r>
        <w:rPr>
          <w:b/>
          <w:color w:val="2864B4"/>
        </w:rPr>
        <w:t>12.4  New Database Columns (Auto-Migration)</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color="auto" w:fill="3B2F8C"/>
          </w:tcPr>
          <w:p>
            <w:r>
              <w:rPr>
                <w:b/>
                <w:color w:val="FFFFFF"/>
                <w:sz w:val="18"/>
              </w:rPr>
              <w:t>Column</w:t>
            </w:r>
          </w:p>
        </w:tc>
        <w:tc>
          <w:tcPr>
            <w:tcW w:type="dxa" w:w="1296"/>
            <w:shd w:val="clear" w:color="auto" w:fill="3B2F8C"/>
          </w:tcPr>
          <w:p>
            <w:r>
              <w:rPr>
                <w:b/>
                <w:color w:val="FFFFFF"/>
                <w:sz w:val="18"/>
              </w:rPr>
              <w:t>Type</w:t>
            </w:r>
          </w:p>
        </w:tc>
        <w:tc>
          <w:tcPr>
            <w:tcW w:type="dxa" w:w="1152"/>
            <w:shd w:val="clear" w:color="auto" w:fill="3B2F8C"/>
          </w:tcPr>
          <w:p>
            <w:r>
              <w:rPr>
                <w:b/>
                <w:color w:val="FFFFFF"/>
                <w:sz w:val="18"/>
              </w:rPr>
              <w:t>Default</w:t>
            </w:r>
          </w:p>
        </w:tc>
        <w:tc>
          <w:tcPr>
            <w:tcW w:type="dxa" w:w="5616"/>
            <w:shd w:val="clear" w:color="auto" w:fill="3B2F8C"/>
          </w:tcPr>
          <w:p>
            <w:r>
              <w:rPr>
                <w:b/>
                <w:color w:val="FFFFFF"/>
                <w:sz w:val="18"/>
              </w:rPr>
              <w:t>Purpose</w:t>
            </w:r>
          </w:p>
        </w:tc>
      </w:tr>
      <w:tr>
        <w:tc>
          <w:tcPr>
            <w:tcW w:type="dxa" w:w="2736"/>
            <w:shd w:val="clear" w:color="auto" w:fill="F5F0FA"/>
          </w:tcPr>
          <w:p>
            <w:r>
              <w:rPr>
                <w:sz w:val="18"/>
              </w:rPr>
              <w:t>email_verified</w:t>
            </w:r>
          </w:p>
        </w:tc>
        <w:tc>
          <w:tcPr>
            <w:tcW w:type="dxa" w:w="1296"/>
            <w:shd w:val="clear" w:color="auto" w:fill="F5F0FA"/>
          </w:tcPr>
          <w:p>
            <w:r>
              <w:rPr>
                <w:sz w:val="18"/>
              </w:rPr>
              <w:t>BOOLEAN</w:t>
            </w:r>
          </w:p>
        </w:tc>
        <w:tc>
          <w:tcPr>
            <w:tcW w:type="dxa" w:w="1152"/>
            <w:shd w:val="clear" w:color="auto" w:fill="F5F0FA"/>
          </w:tcPr>
          <w:p>
            <w:r>
              <w:rPr>
                <w:sz w:val="18"/>
              </w:rPr>
              <w:t>FALSE</w:t>
            </w:r>
          </w:p>
        </w:tc>
        <w:tc>
          <w:tcPr>
            <w:tcW w:type="dxa" w:w="5616"/>
            <w:shd w:val="clear" w:color="auto" w:fill="F5F0FA"/>
          </w:tcPr>
          <w:p>
            <w:r>
              <w:rPr>
                <w:sz w:val="18"/>
              </w:rPr>
              <w:t>Gates welcome credit; shown in admin panel</w:t>
            </w:r>
          </w:p>
        </w:tc>
      </w:tr>
      <w:tr>
        <w:tc>
          <w:tcPr>
            <w:tcW w:type="dxa" w:w="2736"/>
            <w:shd w:val="clear" w:color="auto" w:fill="FFFFFF"/>
          </w:tcPr>
          <w:p>
            <w:r>
              <w:rPr>
                <w:sz w:val="18"/>
              </w:rPr>
              <w:t>verification_token</w:t>
            </w:r>
          </w:p>
        </w:tc>
        <w:tc>
          <w:tcPr>
            <w:tcW w:type="dxa" w:w="1296"/>
            <w:shd w:val="clear" w:color="auto" w:fill="FFFFFF"/>
          </w:tcPr>
          <w:p>
            <w:r>
              <w:rPr>
                <w:sz w:val="18"/>
              </w:rPr>
              <w:t>TEXT</w:t>
            </w:r>
          </w:p>
        </w:tc>
        <w:tc>
          <w:tcPr>
            <w:tcW w:type="dxa" w:w="1152"/>
            <w:shd w:val="clear" w:color="auto" w:fill="FFFFFF"/>
          </w:tcPr>
          <w:p>
            <w:r>
              <w:rPr>
                <w:sz w:val="18"/>
              </w:rPr>
              <w:t>NULL</w:t>
            </w:r>
          </w:p>
        </w:tc>
        <w:tc>
          <w:tcPr>
            <w:tcW w:type="dxa" w:w="5616"/>
            <w:shd w:val="clear" w:color="auto" w:fill="FFFFFF"/>
          </w:tcPr>
          <w:p>
            <w:r>
              <w:rPr>
                <w:sz w:val="18"/>
              </w:rPr>
              <w:t>UUID sent in verification email</w:t>
            </w:r>
          </w:p>
        </w:tc>
      </w:tr>
      <w:tr>
        <w:tc>
          <w:tcPr>
            <w:tcW w:type="dxa" w:w="2736"/>
            <w:shd w:val="clear" w:color="auto" w:fill="F5F0FA"/>
          </w:tcPr>
          <w:p>
            <w:r>
              <w:rPr>
                <w:sz w:val="18"/>
              </w:rPr>
              <w:t>verification_token_expires</w:t>
            </w:r>
          </w:p>
        </w:tc>
        <w:tc>
          <w:tcPr>
            <w:tcW w:type="dxa" w:w="1296"/>
            <w:shd w:val="clear" w:color="auto" w:fill="F5F0FA"/>
          </w:tcPr>
          <w:p>
            <w:r>
              <w:rPr>
                <w:sz w:val="18"/>
              </w:rPr>
              <w:t>DATETIME</w:t>
            </w:r>
          </w:p>
        </w:tc>
        <w:tc>
          <w:tcPr>
            <w:tcW w:type="dxa" w:w="1152"/>
            <w:shd w:val="clear" w:color="auto" w:fill="F5F0FA"/>
          </w:tcPr>
          <w:p>
            <w:r>
              <w:rPr>
                <w:sz w:val="18"/>
              </w:rPr>
              <w:t>NULL</w:t>
            </w:r>
          </w:p>
        </w:tc>
        <w:tc>
          <w:tcPr>
            <w:tcW w:type="dxa" w:w="5616"/>
            <w:shd w:val="clear" w:color="auto" w:fill="F5F0FA"/>
          </w:tcPr>
          <w:p>
            <w:r>
              <w:rPr>
                <w:sz w:val="18"/>
              </w:rPr>
              <w:t>Token expiry timestamp (now + 24h)</w:t>
            </w:r>
          </w:p>
        </w:tc>
      </w:tr>
      <w:tr>
        <w:tc>
          <w:tcPr>
            <w:tcW w:type="dxa" w:w="2736"/>
            <w:shd w:val="clear" w:color="auto" w:fill="FFFFFF"/>
          </w:tcPr>
          <w:p>
            <w:r>
              <w:rPr>
                <w:sz w:val="18"/>
              </w:rPr>
              <w:t>wallet_balance_cents</w:t>
            </w:r>
          </w:p>
        </w:tc>
        <w:tc>
          <w:tcPr>
            <w:tcW w:type="dxa" w:w="1296"/>
            <w:shd w:val="clear" w:color="auto" w:fill="FFFFFF"/>
          </w:tcPr>
          <w:p>
            <w:r>
              <w:rPr>
                <w:sz w:val="18"/>
              </w:rPr>
              <w:t>INTEGER</w:t>
            </w:r>
          </w:p>
        </w:tc>
        <w:tc>
          <w:tcPr>
            <w:tcW w:type="dxa" w:w="1152"/>
            <w:shd w:val="clear" w:color="auto" w:fill="FFFFFF"/>
          </w:tcPr>
          <w:p>
            <w:r>
              <w:rPr>
                <w:sz w:val="18"/>
              </w:rPr>
              <w:t>0</w:t>
            </w:r>
          </w:p>
        </w:tc>
        <w:tc>
          <w:tcPr>
            <w:tcW w:type="dxa" w:w="5616"/>
            <w:shd w:val="clear" w:color="auto" w:fill="FFFFFF"/>
          </w:tcPr>
          <w:p>
            <w:r>
              <w:rPr>
                <w:sz w:val="18"/>
              </w:rPr>
              <w:t>Replaces integer credits; stored in cents</w:t>
            </w:r>
          </w:p>
        </w:tc>
      </w:tr>
      <w:tr>
        <w:tc>
          <w:tcPr>
            <w:tcW w:type="dxa" w:w="2736"/>
            <w:shd w:val="clear" w:color="auto" w:fill="F5F0FA"/>
          </w:tcPr>
          <w:p>
            <w:r>
              <w:rPr>
                <w:sz w:val="18"/>
              </w:rPr>
              <w:t>wallet_transactions</w:t>
            </w:r>
          </w:p>
        </w:tc>
        <w:tc>
          <w:tcPr>
            <w:tcW w:type="dxa" w:w="1296"/>
            <w:shd w:val="clear" w:color="auto" w:fill="F5F0FA"/>
          </w:tcPr>
          <w:p>
            <w:r>
              <w:rPr>
                <w:sz w:val="18"/>
              </w:rPr>
              <w:t>TEXT</w:t>
            </w:r>
          </w:p>
        </w:tc>
        <w:tc>
          <w:tcPr>
            <w:tcW w:type="dxa" w:w="1152"/>
            <w:shd w:val="clear" w:color="auto" w:fill="F5F0FA"/>
          </w:tcPr>
          <w:p>
            <w:r>
              <w:rPr>
                <w:sz w:val="18"/>
              </w:rPr>
              <w:t>'{}'</w:t>
            </w:r>
          </w:p>
        </w:tc>
        <w:tc>
          <w:tcPr>
            <w:tcW w:type="dxa" w:w="5616"/>
            <w:shd w:val="clear" w:color="auto" w:fill="F5F0FA"/>
          </w:tcPr>
          <w:p>
            <w:r>
              <w:rPr>
                <w:sz w:val="18"/>
              </w:rPr>
              <w:t>Append-only JSON audit log of debits/credits</w:t>
            </w:r>
          </w:p>
        </w:tc>
      </w:tr>
    </w:tbl>
    <w:p>
      <w:r>
        <w:br w:type="page"/>
      </w:r>
    </w:p>
    <w:p>
      <w:pPr>
        <w:pStyle w:val="Heading1"/>
      </w:pPr>
      <w:r>
        <w:rPr>
          <w:b/>
          <w:color w:val="5B3DC8"/>
        </w:rPr>
        <w:t>13. Scenario 2 — Super Admin Panel</w:t>
      </w:r>
    </w:p>
    <w:p>
      <w:pPr>
        <w:spacing w:before="80" w:after="120"/>
      </w:pPr>
      <w:r>
        <w:rPr>
          <w:i/>
          <w:color w:val="503C28"/>
          <w:sz w:val="22"/>
        </w:rPr>
        <w:t>A server-rendered HTML panel accessible only to platform administrators. Credentials are configured via environment variables — no additional database table is required.</w:t>
      </w:r>
    </w:p>
    <w:p>
      <w:pPr>
        <w:pStyle w:val="Heading2"/>
      </w:pPr>
      <w:r>
        <w:rPr>
          <w:b/>
          <w:color w:val="2864B4"/>
        </w:rPr>
        <w:t>13.1  Authentication &amp; Access Control</w:t>
      </w:r>
    </w:p>
    <w:p>
      <w:pPr>
        <w:pStyle w:val="ListBullet"/>
        <w:spacing w:before="20" w:after="20"/>
      </w:pPr>
      <w:r>
        <w:rPr>
          <w:sz w:val="20"/>
        </w:rPr>
        <w:t>HTTP Basic Auth via FastAPI HTTPBasic dependency — stateless, no session tokens</w:t>
      </w:r>
    </w:p>
    <w:p>
      <w:pPr>
        <w:pStyle w:val="ListBullet"/>
        <w:spacing w:before="20" w:after="20"/>
      </w:pPr>
      <w:r>
        <w:rPr>
          <w:sz w:val="20"/>
        </w:rPr>
        <w:t>Credentials: ADMIN_USERNAME and ADMIN_PASSWORD in .env (panel disabled if not set)</w:t>
      </w:r>
    </w:p>
    <w:p>
      <w:pPr>
        <w:pStyle w:val="ListBullet"/>
        <w:spacing w:before="20" w:after="20"/>
      </w:pPr>
      <w:r>
        <w:rPr>
          <w:sz w:val="20"/>
        </w:rPr>
        <w:t>Constant-time string comparison (hmac.compare_digest) prevents timing attacks</w:t>
      </w:r>
    </w:p>
    <w:p>
      <w:pPr>
        <w:pStyle w:val="ListBullet"/>
        <w:spacing w:before="20" w:after="20"/>
      </w:pPr>
      <w:r>
        <w:rPr>
          <w:sz w:val="20"/>
        </w:rPr>
        <w:t>All /admin/* routes return HTTP 401 with WWW-Authenticate: Basic on failure</w:t>
      </w:r>
    </w:p>
    <w:p>
      <w:pPr>
        <w:pStyle w:val="ListBullet"/>
        <w:spacing w:before="20" w:after="20"/>
      </w:pPr>
      <w:r>
        <w:rPr>
          <w:sz w:val="20"/>
        </w:rPr>
        <w:t>Brute-force protection: lockout after 5 failed attempts per IP (15-minute window, in-memory)</w:t>
      </w:r>
    </w:p>
    <w:p>
      <w:pPr>
        <w:pStyle w:val="ListBullet"/>
        <w:spacing w:before="20" w:after="20"/>
      </w:pPr>
      <w:r>
        <w:rPr>
          <w:sz w:val="20"/>
        </w:rPr>
        <w:t>Admin routes excluded from public OpenAPI schema (include_in_schema=False)</w:t>
      </w:r>
    </w:p>
    <w:p>
      <w:pPr>
        <w:pStyle w:val="ListBullet"/>
        <w:spacing w:before="20" w:after="20"/>
      </w:pPr>
      <w:r>
        <w:rPr>
          <w:sz w:val="20"/>
        </w:rPr>
        <w:t>ADMIN_PASSWORD minimum 16 characters enforced at startup</w:t>
      </w:r>
    </w:p>
    <w:p/>
    <w:p>
      <w:pPr>
        <w:pStyle w:val="Heading2"/>
      </w:pPr>
      <w:r>
        <w:rPr>
          <w:b/>
          <w:color w:val="2864B4"/>
        </w:rPr>
        <w:t>13.2  Admin API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color="auto" w:fill="3B2F8C"/>
          </w:tcPr>
          <w:p>
            <w:r>
              <w:rPr>
                <w:b/>
                <w:color w:val="FFFFFF"/>
                <w:sz w:val="18"/>
              </w:rPr>
              <w:t>Method</w:t>
            </w:r>
          </w:p>
        </w:tc>
        <w:tc>
          <w:tcPr>
            <w:tcW w:type="dxa" w:w="3024"/>
            <w:shd w:val="clear" w:color="auto" w:fill="3B2F8C"/>
          </w:tcPr>
          <w:p>
            <w:r>
              <w:rPr>
                <w:b/>
                <w:color w:val="FFFFFF"/>
                <w:sz w:val="18"/>
              </w:rPr>
              <w:t>Route</w:t>
            </w:r>
          </w:p>
        </w:tc>
        <w:tc>
          <w:tcPr>
            <w:tcW w:type="dxa" w:w="3600"/>
            <w:shd w:val="clear" w:color="auto" w:fill="3B2F8C"/>
          </w:tcPr>
          <w:p>
            <w:r>
              <w:rPr>
                <w:b/>
                <w:color w:val="FFFFFF"/>
                <w:sz w:val="18"/>
              </w:rPr>
              <w:t>Description</w:t>
            </w:r>
          </w:p>
        </w:tc>
        <w:tc>
          <w:tcPr>
            <w:tcW w:type="dxa" w:w="3168"/>
            <w:shd w:val="clear" w:color="auto" w:fill="3B2F8C"/>
          </w:tcPr>
          <w:p>
            <w:r>
              <w:rPr>
                <w:b/>
                <w:color w:val="FFFFFF"/>
                <w:sz w:val="18"/>
              </w:rPr>
              <w:t>Notes</w:t>
            </w:r>
          </w:p>
        </w:tc>
      </w:tr>
      <w:tr>
        <w:tc>
          <w:tcPr>
            <w:tcW w:type="dxa" w:w="1008"/>
            <w:shd w:val="clear" w:color="auto" w:fill="F5F0FA"/>
          </w:tcPr>
          <w:p>
            <w:r>
              <w:rPr>
                <w:sz w:val="18"/>
              </w:rPr>
              <w:t>GET</w:t>
            </w:r>
          </w:p>
        </w:tc>
        <w:tc>
          <w:tcPr>
            <w:tcW w:type="dxa" w:w="3024"/>
            <w:shd w:val="clear" w:color="auto" w:fill="F5F0FA"/>
          </w:tcPr>
          <w:p>
            <w:r>
              <w:rPr>
                <w:sz w:val="18"/>
              </w:rPr>
              <w:t>/admin</w:t>
            </w:r>
          </w:p>
        </w:tc>
        <w:tc>
          <w:tcPr>
            <w:tcW w:type="dxa" w:w="3600"/>
            <w:shd w:val="clear" w:color="auto" w:fill="F5F0FA"/>
          </w:tcPr>
          <w:p>
            <w:r>
              <w:rPr>
                <w:sz w:val="18"/>
              </w:rPr>
              <w:t>Admin dashboard HTML page</w:t>
            </w:r>
          </w:p>
        </w:tc>
        <w:tc>
          <w:tcPr>
            <w:tcW w:type="dxa" w:w="3168"/>
            <w:shd w:val="clear" w:color="auto" w:fill="F5F0FA"/>
          </w:tcPr>
          <w:p>
            <w:r>
              <w:rPr>
                <w:sz w:val="18"/>
              </w:rPr>
              <w:t>Server-rendered; stats + user table</w:t>
            </w:r>
          </w:p>
        </w:tc>
      </w:tr>
      <w:tr>
        <w:tc>
          <w:tcPr>
            <w:tcW w:type="dxa" w:w="1008"/>
            <w:shd w:val="clear" w:color="auto" w:fill="FFFFFF"/>
          </w:tcPr>
          <w:p>
            <w:r>
              <w:rPr>
                <w:sz w:val="18"/>
              </w:rPr>
              <w:t>GET</w:t>
            </w:r>
          </w:p>
        </w:tc>
        <w:tc>
          <w:tcPr>
            <w:tcW w:type="dxa" w:w="3024"/>
            <w:shd w:val="clear" w:color="auto" w:fill="FFFFFF"/>
          </w:tcPr>
          <w:p>
            <w:r>
              <w:rPr>
                <w:sz w:val="18"/>
              </w:rPr>
              <w:t>/admin/users</w:t>
            </w:r>
          </w:p>
        </w:tc>
        <w:tc>
          <w:tcPr>
            <w:tcW w:type="dxa" w:w="3600"/>
            <w:shd w:val="clear" w:color="auto" w:fill="FFFFFF"/>
          </w:tcPr>
          <w:p>
            <w:r>
              <w:rPr>
                <w:sz w:val="18"/>
              </w:rPr>
              <w:t>JSON list of all users</w:t>
            </w:r>
          </w:p>
        </w:tc>
        <w:tc>
          <w:tcPr>
            <w:tcW w:type="dxa" w:w="3168"/>
            <w:shd w:val="clear" w:color="auto" w:fill="FFFFFF"/>
          </w:tcPr>
          <w:p>
            <w:r>
              <w:rPr>
                <w:sz w:val="18"/>
              </w:rPr>
              <w:t>Paginated; supports ?search=email</w:t>
            </w:r>
          </w:p>
        </w:tc>
      </w:tr>
      <w:tr>
        <w:tc>
          <w:tcPr>
            <w:tcW w:type="dxa" w:w="1008"/>
            <w:shd w:val="clear" w:color="auto" w:fill="F5F0FA"/>
          </w:tcPr>
          <w:p>
            <w:r>
              <w:rPr>
                <w:sz w:val="18"/>
              </w:rPr>
              <w:t>POST</w:t>
            </w:r>
          </w:p>
        </w:tc>
        <w:tc>
          <w:tcPr>
            <w:tcW w:type="dxa" w:w="3024"/>
            <w:shd w:val="clear" w:color="auto" w:fill="F5F0FA"/>
          </w:tcPr>
          <w:p>
            <w:r>
              <w:rPr>
                <w:sz w:val="18"/>
              </w:rPr>
              <w:t>/admin/query</w:t>
            </w:r>
          </w:p>
        </w:tc>
        <w:tc>
          <w:tcPr>
            <w:tcW w:type="dxa" w:w="3600"/>
            <w:shd w:val="clear" w:color="auto" w:fill="F5F0FA"/>
          </w:tcPr>
          <w:p>
            <w:r>
              <w:rPr>
                <w:sz w:val="18"/>
              </w:rPr>
              <w:t>Execute read-only SQL</w:t>
            </w:r>
          </w:p>
        </w:tc>
        <w:tc>
          <w:tcPr>
            <w:tcW w:type="dxa" w:w="3168"/>
            <w:shd w:val="clear" w:color="auto" w:fill="F5F0FA"/>
          </w:tcPr>
          <w:p>
            <w:r>
              <w:rPr>
                <w:sz w:val="18"/>
              </w:rPr>
              <w:t>SELECT only; blocked keywords enforced</w:t>
            </w:r>
          </w:p>
        </w:tc>
      </w:tr>
      <w:tr>
        <w:tc>
          <w:tcPr>
            <w:tcW w:type="dxa" w:w="1008"/>
            <w:shd w:val="clear" w:color="auto" w:fill="FFFFFF"/>
          </w:tcPr>
          <w:p>
            <w:r>
              <w:rPr>
                <w:sz w:val="18"/>
              </w:rPr>
              <w:t>GET</w:t>
            </w:r>
          </w:p>
        </w:tc>
        <w:tc>
          <w:tcPr>
            <w:tcW w:type="dxa" w:w="3024"/>
            <w:shd w:val="clear" w:color="auto" w:fill="FFFFFF"/>
          </w:tcPr>
          <w:p>
            <w:r>
              <w:rPr>
                <w:sz w:val="18"/>
              </w:rPr>
              <w:t>/admin/logs</w:t>
            </w:r>
          </w:p>
        </w:tc>
        <w:tc>
          <w:tcPr>
            <w:tcW w:type="dxa" w:w="3600"/>
            <w:shd w:val="clear" w:color="auto" w:fill="FFFFFF"/>
          </w:tcPr>
          <w:p>
            <w:r>
              <w:rPr>
                <w:sz w:val="18"/>
              </w:rPr>
              <w:t>Last N lines of server log</w:t>
            </w:r>
          </w:p>
        </w:tc>
        <w:tc>
          <w:tcPr>
            <w:tcW w:type="dxa" w:w="3168"/>
            <w:shd w:val="clear" w:color="auto" w:fill="FFFFFF"/>
          </w:tcPr>
          <w:p>
            <w:r>
              <w:rPr>
                <w:sz w:val="18"/>
              </w:rPr>
              <w:t>Default 500; ?lines=N</w:t>
            </w:r>
          </w:p>
        </w:tc>
      </w:tr>
      <w:tr>
        <w:tc>
          <w:tcPr>
            <w:tcW w:type="dxa" w:w="1008"/>
            <w:shd w:val="clear" w:color="auto" w:fill="F5F0FA"/>
          </w:tcPr>
          <w:p>
            <w:r>
              <w:rPr>
                <w:sz w:val="18"/>
              </w:rPr>
              <w:t>POST</w:t>
            </w:r>
          </w:p>
        </w:tc>
        <w:tc>
          <w:tcPr>
            <w:tcW w:type="dxa" w:w="3024"/>
            <w:shd w:val="clear" w:color="auto" w:fill="F5F0FA"/>
          </w:tcPr>
          <w:p>
            <w:r>
              <w:rPr>
                <w:sz w:val="18"/>
              </w:rPr>
              <w:t>/admin/wallet/adjust</w:t>
            </w:r>
          </w:p>
        </w:tc>
        <w:tc>
          <w:tcPr>
            <w:tcW w:type="dxa" w:w="3600"/>
            <w:shd w:val="clear" w:color="auto" w:fill="F5F0FA"/>
          </w:tcPr>
          <w:p>
            <w:r>
              <w:rPr>
                <w:sz w:val="18"/>
              </w:rPr>
              <w:t>Credit or debit user wallet manually</w:t>
            </w:r>
          </w:p>
        </w:tc>
        <w:tc>
          <w:tcPr>
            <w:tcW w:type="dxa" w:w="3168"/>
            <w:shd w:val="clear" w:color="auto" w:fill="F5F0FA"/>
          </w:tcPr>
          <w:p>
            <w:r>
              <w:rPr>
                <w:sz w:val="18"/>
              </w:rPr>
              <w:t>Body: {email, delta_cents, reason}</w:t>
            </w:r>
          </w:p>
        </w:tc>
      </w:tr>
      <w:tr>
        <w:tc>
          <w:tcPr>
            <w:tcW w:type="dxa" w:w="1008"/>
            <w:shd w:val="clear" w:color="auto" w:fill="FFFFFF"/>
          </w:tcPr>
          <w:p>
            <w:r>
              <w:rPr>
                <w:sz w:val="18"/>
              </w:rPr>
              <w:t>POST</w:t>
            </w:r>
          </w:p>
        </w:tc>
        <w:tc>
          <w:tcPr>
            <w:tcW w:type="dxa" w:w="3024"/>
            <w:shd w:val="clear" w:color="auto" w:fill="FFFFFF"/>
          </w:tcPr>
          <w:p>
            <w:r>
              <w:rPr>
                <w:sz w:val="18"/>
              </w:rPr>
              <w:t>/admin/verify-email</w:t>
            </w:r>
          </w:p>
        </w:tc>
        <w:tc>
          <w:tcPr>
            <w:tcW w:type="dxa" w:w="3600"/>
            <w:shd w:val="clear" w:color="auto" w:fill="FFFFFF"/>
          </w:tcPr>
          <w:p>
            <w:r>
              <w:rPr>
                <w:sz w:val="18"/>
              </w:rPr>
              <w:t>Force email verification for user</w:t>
            </w:r>
          </w:p>
        </w:tc>
        <w:tc>
          <w:tcPr>
            <w:tcW w:type="dxa" w:w="3168"/>
            <w:shd w:val="clear" w:color="auto" w:fill="FFFFFF"/>
          </w:tcPr>
          <w:p>
            <w:r>
              <w:rPr>
                <w:sz w:val="18"/>
              </w:rPr>
              <w:t>Body: {email}</w:t>
            </w:r>
          </w:p>
        </w:tc>
      </w:tr>
      <w:tr>
        <w:tc>
          <w:tcPr>
            <w:tcW w:type="dxa" w:w="1008"/>
            <w:shd w:val="clear" w:color="auto" w:fill="F5F0FA"/>
          </w:tcPr>
          <w:p>
            <w:r>
              <w:rPr>
                <w:sz w:val="18"/>
              </w:rPr>
              <w:t>DELETE</w:t>
            </w:r>
          </w:p>
        </w:tc>
        <w:tc>
          <w:tcPr>
            <w:tcW w:type="dxa" w:w="3024"/>
            <w:shd w:val="clear" w:color="auto" w:fill="F5F0FA"/>
          </w:tcPr>
          <w:p>
            <w:r>
              <w:rPr>
                <w:sz w:val="18"/>
              </w:rPr>
              <w:t>/admin/user/{email}</w:t>
            </w:r>
          </w:p>
        </w:tc>
        <w:tc>
          <w:tcPr>
            <w:tcW w:type="dxa" w:w="3600"/>
            <w:shd w:val="clear" w:color="auto" w:fill="F5F0FA"/>
          </w:tcPr>
          <w:p>
            <w:r>
              <w:rPr>
                <w:sz w:val="18"/>
              </w:rPr>
              <w:t>Delete user account and data</w:t>
            </w:r>
          </w:p>
        </w:tc>
        <w:tc>
          <w:tcPr>
            <w:tcW w:type="dxa" w:w="3168"/>
            <w:shd w:val="clear" w:color="auto" w:fill="F5F0FA"/>
          </w:tcPr>
          <w:p>
            <w:r>
              <w:rPr>
                <w:sz w:val="18"/>
              </w:rPr>
              <w:t>Requires confirmation token in body</w:t>
            </w:r>
          </w:p>
        </w:tc>
      </w:tr>
      <w:tr>
        <w:tc>
          <w:tcPr>
            <w:tcW w:type="dxa" w:w="1008"/>
            <w:shd w:val="clear" w:color="auto" w:fill="FFFFFF"/>
          </w:tcPr>
          <w:p>
            <w:r>
              <w:rPr>
                <w:sz w:val="18"/>
              </w:rPr>
              <w:t>GET</w:t>
            </w:r>
          </w:p>
        </w:tc>
        <w:tc>
          <w:tcPr>
            <w:tcW w:type="dxa" w:w="3024"/>
            <w:shd w:val="clear" w:color="auto" w:fill="FFFFFF"/>
          </w:tcPr>
          <w:p>
            <w:r>
              <w:rPr>
                <w:sz w:val="18"/>
              </w:rPr>
              <w:t>/admin/stats</w:t>
            </w:r>
          </w:p>
        </w:tc>
        <w:tc>
          <w:tcPr>
            <w:tcW w:type="dxa" w:w="3600"/>
            <w:shd w:val="clear" w:color="auto" w:fill="FFFFFF"/>
          </w:tcPr>
          <w:p>
            <w:r>
              <w:rPr>
                <w:sz w:val="18"/>
              </w:rPr>
              <w:t>Platform statistics (JSON)</w:t>
            </w:r>
          </w:p>
        </w:tc>
        <w:tc>
          <w:tcPr>
            <w:tcW w:type="dxa" w:w="3168"/>
            <w:shd w:val="clear" w:color="auto" w:fill="FFFFFF"/>
          </w:tcPr>
          <w:p>
            <w:r>
              <w:rPr>
                <w:sz w:val="18"/>
              </w:rPr>
              <w:t>Users, readings today, credits issued</w:t>
            </w:r>
          </w:p>
        </w:tc>
      </w:tr>
    </w:tbl>
    <w:p/>
    <w:p>
      <w:pPr>
        <w:pStyle w:val="Heading2"/>
      </w:pPr>
      <w:r>
        <w:rPr>
          <w:b/>
          <w:color w:val="2864B4"/>
        </w:rPr>
        <w:t>13.3  Security Constraints</w:t>
      </w:r>
    </w:p>
    <w:p>
      <w:pPr>
        <w:pStyle w:val="ListBullet"/>
        <w:spacing w:before="20" w:after="20"/>
      </w:pPr>
      <w:r>
        <w:rPr>
          <w:sz w:val="20"/>
        </w:rPr>
        <w:t>SQL runner: SELECT-only; blocked keywords: INSERT, UPDATE, DELETE, DROP, ALTER, ATTACH, PRAGMA</w:t>
      </w:r>
    </w:p>
    <w:p>
      <w:pPr>
        <w:pStyle w:val="ListBullet"/>
        <w:spacing w:before="20" w:after="20"/>
      </w:pPr>
      <w:r>
        <w:rPr>
          <w:sz w:val="20"/>
        </w:rPr>
        <w:t>Log viewer: read-only file tail — no shell command execution</w:t>
      </w:r>
    </w:p>
    <w:p>
      <w:pPr>
        <w:pStyle w:val="ListBullet"/>
        <w:spacing w:before="20" w:after="20"/>
      </w:pPr>
      <w:r>
        <w:rPr>
          <w:sz w:val="20"/>
        </w:rPr>
        <w:t>All admin actions written to admin_audit.log (timestamp, admin user, action, affected email)</w:t>
      </w:r>
    </w:p>
    <w:p>
      <w:pPr>
        <w:pStyle w:val="ListBullet"/>
        <w:spacing w:before="20" w:after="20"/>
      </w:pPr>
      <w:r>
        <w:rPr>
          <w:sz w:val="20"/>
        </w:rPr>
        <w:t>Admin panel not linked from any public UI page</w:t>
      </w:r>
    </w:p>
    <w:p>
      <w:pPr>
        <w:pStyle w:val="ListBullet"/>
        <w:spacing w:before="20" w:after="20"/>
      </w:pPr>
      <w:r>
        <w:rPr>
          <w:sz w:val="20"/>
        </w:rPr>
        <w:t>Wallet adjust: delta_cents bounded to ±10,000 per action; reason field mandatory (min 10 chars)</w:t>
      </w:r>
    </w:p>
    <w:p>
      <w:pPr>
        <w:pStyle w:val="ListBullet"/>
        <w:spacing w:before="20" w:after="20"/>
      </w:pPr>
      <w:r>
        <w:rPr>
          <w:sz w:val="20"/>
        </w:rPr>
        <w:t>User delete: requires separate confirmation_token passed in request body to prevent accidents</w:t>
      </w:r>
    </w:p>
    <w:p/>
    <w:p>
      <w:pPr>
        <w:pStyle w:val="Heading2"/>
      </w:pPr>
      <w:r>
        <w:rPr>
          <w:b/>
          <w:color w:val="2864B4"/>
        </w:rPr>
        <w:t>13.4  Dashboard Statistics</w:t>
      </w:r>
    </w:p>
    <w:p>
      <w:pPr>
        <w:pStyle w:val="ListBullet"/>
        <w:spacing w:before="20" w:after="20"/>
      </w:pPr>
      <w:r>
        <w:rPr>
          <w:sz w:val="20"/>
        </w:rPr>
        <w:t>Total registered users / verified vs unverified count</w:t>
      </w:r>
    </w:p>
    <w:p>
      <w:pPr>
        <w:pStyle w:val="ListBullet"/>
        <w:spacing w:before="20" w:after="20"/>
      </w:pPr>
      <w:r>
        <w:rPr>
          <w:sz w:val="20"/>
        </w:rPr>
        <w:t>Readings generated today / this week / all-time</w:t>
      </w:r>
    </w:p>
    <w:p>
      <w:pPr>
        <w:pStyle w:val="ListBullet"/>
        <w:spacing w:before="20" w:after="20"/>
      </w:pPr>
      <w:r>
        <w:rPr>
          <w:sz w:val="20"/>
        </w:rPr>
        <w:t>Total wallet credits issued (cents) / total debited</w:t>
      </w:r>
    </w:p>
    <w:p>
      <w:pPr>
        <w:pStyle w:val="ListBullet"/>
        <w:spacing w:before="20" w:after="20"/>
      </w:pPr>
      <w:r>
        <w:rPr>
          <w:sz w:val="20"/>
        </w:rPr>
        <w:t>Active sessions in last 24 hours</w:t>
      </w:r>
    </w:p>
    <w:p>
      <w:pPr>
        <w:pStyle w:val="ListBullet"/>
        <w:spacing w:before="20" w:after="20"/>
      </w:pPr>
      <w:r>
        <w:rPr>
          <w:sz w:val="20"/>
        </w:rPr>
        <w:t>Top-up revenue collected (cents)</w:t>
      </w:r>
    </w:p>
    <w:p>
      <w:pPr>
        <w:pStyle w:val="ListBullet"/>
        <w:spacing w:before="20" w:after="20"/>
      </w:pPr>
      <w:r>
        <w:rPr>
          <w:sz w:val="20"/>
        </w:rPr>
        <w:t>AI error rate (failed calls / total calls, last 24h)</w:t>
      </w:r>
    </w:p>
    <w:p/>
    <w:p>
      <w:pPr>
        <w:pStyle w:val="Heading2"/>
      </w:pPr>
      <w:r>
        <w:rPr>
          <w:b/>
          <w:color w:val="2864B4"/>
        </w:rPr>
        <w:t>13.5  Environment Variables</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3B2F8C"/>
          </w:tcPr>
          <w:p>
            <w:r>
              <w:rPr>
                <w:b/>
                <w:color w:val="FFFFFF"/>
                <w:sz w:val="18"/>
              </w:rPr>
              <w:t>Variable</w:t>
            </w:r>
          </w:p>
        </w:tc>
        <w:tc>
          <w:tcPr>
            <w:tcW w:type="dxa" w:w="1152"/>
            <w:shd w:val="clear" w:color="auto" w:fill="3B2F8C"/>
          </w:tcPr>
          <w:p>
            <w:r>
              <w:rPr>
                <w:b/>
                <w:color w:val="FFFFFF"/>
                <w:sz w:val="18"/>
              </w:rPr>
              <w:t>Required</w:t>
            </w:r>
          </w:p>
        </w:tc>
        <w:tc>
          <w:tcPr>
            <w:tcW w:type="dxa" w:w="6480"/>
            <w:shd w:val="clear" w:color="auto" w:fill="3B2F8C"/>
          </w:tcPr>
          <w:p>
            <w:r>
              <w:rPr>
                <w:b/>
                <w:color w:val="FFFFFF"/>
                <w:sz w:val="18"/>
              </w:rPr>
              <w:t>Description</w:t>
            </w:r>
          </w:p>
        </w:tc>
      </w:tr>
      <w:tr>
        <w:tc>
          <w:tcPr>
            <w:tcW w:type="dxa" w:w="3168"/>
            <w:shd w:val="clear" w:color="auto" w:fill="F5F0FA"/>
          </w:tcPr>
          <w:p>
            <w:r>
              <w:rPr>
                <w:sz w:val="18"/>
              </w:rPr>
              <w:t>ADMIN_USERNAME</w:t>
            </w:r>
          </w:p>
        </w:tc>
        <w:tc>
          <w:tcPr>
            <w:tcW w:type="dxa" w:w="1152"/>
            <w:shd w:val="clear" w:color="auto" w:fill="F5F0FA"/>
          </w:tcPr>
          <w:p>
            <w:r>
              <w:rPr>
                <w:sz w:val="18"/>
              </w:rPr>
              <w:t>Yes</w:t>
            </w:r>
          </w:p>
        </w:tc>
        <w:tc>
          <w:tcPr>
            <w:tcW w:type="dxa" w:w="6480"/>
            <w:shd w:val="clear" w:color="auto" w:fill="F5F0FA"/>
          </w:tcPr>
          <w:p>
            <w:r>
              <w:rPr>
                <w:sz w:val="18"/>
              </w:rPr>
              <w:t>Admin login username</w:t>
            </w:r>
          </w:p>
        </w:tc>
      </w:tr>
      <w:tr>
        <w:tc>
          <w:tcPr>
            <w:tcW w:type="dxa" w:w="3168"/>
            <w:shd w:val="clear" w:color="auto" w:fill="FFFFFF"/>
          </w:tcPr>
          <w:p>
            <w:r>
              <w:rPr>
                <w:sz w:val="18"/>
              </w:rPr>
              <w:t>ADMIN_PASSWORD</w:t>
            </w:r>
          </w:p>
        </w:tc>
        <w:tc>
          <w:tcPr>
            <w:tcW w:type="dxa" w:w="1152"/>
            <w:shd w:val="clear" w:color="auto" w:fill="FFFFFF"/>
          </w:tcPr>
          <w:p>
            <w:r>
              <w:rPr>
                <w:sz w:val="18"/>
              </w:rPr>
              <w:t>Yes</w:t>
            </w:r>
          </w:p>
        </w:tc>
        <w:tc>
          <w:tcPr>
            <w:tcW w:type="dxa" w:w="6480"/>
            <w:shd w:val="clear" w:color="auto" w:fill="FFFFFF"/>
          </w:tcPr>
          <w:p>
            <w:r>
              <w:rPr>
                <w:sz w:val="18"/>
              </w:rPr>
              <w:t>Admin password (min 16 chars); panel disabled if absent</w:t>
            </w:r>
          </w:p>
        </w:tc>
      </w:tr>
      <w:tr>
        <w:tc>
          <w:tcPr>
            <w:tcW w:type="dxa" w:w="3168"/>
            <w:shd w:val="clear" w:color="auto" w:fill="F5F0FA"/>
          </w:tcPr>
          <w:p>
            <w:r>
              <w:rPr>
                <w:sz w:val="18"/>
              </w:rPr>
              <w:t>ADMIN_LOG_PATH</w:t>
            </w:r>
          </w:p>
        </w:tc>
        <w:tc>
          <w:tcPr>
            <w:tcW w:type="dxa" w:w="1152"/>
            <w:shd w:val="clear" w:color="auto" w:fill="F5F0FA"/>
          </w:tcPr>
          <w:p>
            <w:r>
              <w:rPr>
                <w:sz w:val="18"/>
              </w:rPr>
              <w:t>No</w:t>
            </w:r>
          </w:p>
        </w:tc>
        <w:tc>
          <w:tcPr>
            <w:tcW w:type="dxa" w:w="6480"/>
            <w:shd w:val="clear" w:color="auto" w:fill="F5F0FA"/>
          </w:tcPr>
          <w:p>
            <w:r>
              <w:rPr>
                <w:sz w:val="18"/>
              </w:rPr>
              <w:t>Path to server log file (default: narayan_astro.log)</w:t>
            </w:r>
          </w:p>
        </w:tc>
      </w:tr>
      <w:tr>
        <w:tc>
          <w:tcPr>
            <w:tcW w:type="dxa" w:w="3168"/>
            <w:shd w:val="clear" w:color="auto" w:fill="FFFFFF"/>
          </w:tcPr>
          <w:p>
            <w:r>
              <w:rPr>
                <w:sz w:val="18"/>
              </w:rPr>
              <w:t>ADMIN_AUDIT_LOG</w:t>
            </w:r>
          </w:p>
        </w:tc>
        <w:tc>
          <w:tcPr>
            <w:tcW w:type="dxa" w:w="1152"/>
            <w:shd w:val="clear" w:color="auto" w:fill="FFFFFF"/>
          </w:tcPr>
          <w:p>
            <w:r>
              <w:rPr>
                <w:sz w:val="18"/>
              </w:rPr>
              <w:t>No</w:t>
            </w:r>
          </w:p>
        </w:tc>
        <w:tc>
          <w:tcPr>
            <w:tcW w:type="dxa" w:w="6480"/>
            <w:shd w:val="clear" w:color="auto" w:fill="FFFFFF"/>
          </w:tcPr>
          <w:p>
            <w:r>
              <w:rPr>
                <w:sz w:val="18"/>
              </w:rPr>
              <w:t>Path for admin action audit log (default: admin_audit.log)</w:t>
            </w:r>
          </w:p>
        </w:tc>
      </w:tr>
      <w:tr>
        <w:tc>
          <w:tcPr>
            <w:tcW w:type="dxa" w:w="3168"/>
            <w:shd w:val="clear" w:color="auto" w:fill="F5F0FA"/>
          </w:tcPr>
          <w:p>
            <w:r>
              <w:rPr>
                <w:sz w:val="18"/>
              </w:rPr>
              <w:t>GUEST_FREE_CHAT_LIMIT</w:t>
            </w:r>
          </w:p>
        </w:tc>
        <w:tc>
          <w:tcPr>
            <w:tcW w:type="dxa" w:w="1152"/>
            <w:shd w:val="clear" w:color="auto" w:fill="F5F0FA"/>
          </w:tcPr>
          <w:p>
            <w:r>
              <w:rPr>
                <w:sz w:val="18"/>
              </w:rPr>
              <w:t>No</w:t>
            </w:r>
          </w:p>
        </w:tc>
        <w:tc>
          <w:tcPr>
            <w:tcW w:type="dxa" w:w="6480"/>
            <w:shd w:val="clear" w:color="auto" w:fill="F5F0FA"/>
          </w:tcPr>
          <w:p>
            <w:r>
              <w:rPr>
                <w:sz w:val="18"/>
              </w:rPr>
              <w:t>Free AI chat messages for guests before upsell (default: 3)</w:t>
            </w:r>
          </w:p>
        </w:tc>
      </w:tr>
      <w:tr>
        <w:tc>
          <w:tcPr>
            <w:tcW w:type="dxa" w:w="3168"/>
            <w:shd w:val="clear" w:color="auto" w:fill="FFFFFF"/>
          </w:tcPr>
          <w:p>
            <w:r>
              <w:rPr>
                <w:sz w:val="18"/>
              </w:rPr>
              <w:t>WELCOME_CREDIT_CENTS</w:t>
            </w:r>
          </w:p>
        </w:tc>
        <w:tc>
          <w:tcPr>
            <w:tcW w:type="dxa" w:w="1152"/>
            <w:shd w:val="clear" w:color="auto" w:fill="FFFFFF"/>
          </w:tcPr>
          <w:p>
            <w:r>
              <w:rPr>
                <w:sz w:val="18"/>
              </w:rPr>
              <w:t>No</w:t>
            </w:r>
          </w:p>
        </w:tc>
        <w:tc>
          <w:tcPr>
            <w:tcW w:type="dxa" w:w="6480"/>
            <w:shd w:val="clear" w:color="auto" w:fill="FFFFFF"/>
          </w:tcPr>
          <w:p>
            <w:r>
              <w:rPr>
                <w:sz w:val="18"/>
              </w:rPr>
              <w:t>Welcome credit on email verify in cents (default: 20 = $0.20)</w:t>
            </w:r>
          </w:p>
        </w:tc>
      </w:tr>
      <w:tr>
        <w:tc>
          <w:tcPr>
            <w:tcW w:type="dxa" w:w="3168"/>
            <w:shd w:val="clear" w:color="auto" w:fill="F5F0FA"/>
          </w:tcPr>
          <w:p>
            <w:r>
              <w:rPr>
                <w:sz w:val="18"/>
              </w:rPr>
              <w:t>REPORT_COST_CENTS</w:t>
            </w:r>
          </w:p>
        </w:tc>
        <w:tc>
          <w:tcPr>
            <w:tcW w:type="dxa" w:w="1152"/>
            <w:shd w:val="clear" w:color="auto" w:fill="F5F0FA"/>
          </w:tcPr>
          <w:p>
            <w:r>
              <w:rPr>
                <w:sz w:val="18"/>
              </w:rPr>
              <w:t>No</w:t>
            </w:r>
          </w:p>
        </w:tc>
        <w:tc>
          <w:tcPr>
            <w:tcW w:type="dxa" w:w="6480"/>
            <w:shd w:val="clear" w:color="auto" w:fill="F5F0FA"/>
          </w:tcPr>
          <w:p>
            <w:r>
              <w:rPr>
                <w:sz w:val="18"/>
              </w:rPr>
              <w:t>Cost per full reading in cents (default: 20 = $0.20)</w:t>
            </w:r>
          </w:p>
        </w:tc>
      </w:tr>
      <w:tr>
        <w:tc>
          <w:tcPr>
            <w:tcW w:type="dxa" w:w="3168"/>
            <w:shd w:val="clear" w:color="auto" w:fill="FFFFFF"/>
          </w:tcPr>
          <w:p>
            <w:r>
              <w:rPr>
                <w:sz w:val="18"/>
              </w:rPr>
              <w:t>CHAT_COST_CENTS</w:t>
            </w:r>
          </w:p>
        </w:tc>
        <w:tc>
          <w:tcPr>
            <w:tcW w:type="dxa" w:w="1152"/>
            <w:shd w:val="clear" w:color="auto" w:fill="FFFFFF"/>
          </w:tcPr>
          <w:p>
            <w:r>
              <w:rPr>
                <w:sz w:val="18"/>
              </w:rPr>
              <w:t>No</w:t>
            </w:r>
          </w:p>
        </w:tc>
        <w:tc>
          <w:tcPr>
            <w:tcW w:type="dxa" w:w="6480"/>
            <w:shd w:val="clear" w:color="auto" w:fill="FFFFFF"/>
          </w:tcPr>
          <w:p>
            <w:r>
              <w:rPr>
                <w:sz w:val="18"/>
              </w:rPr>
              <w:t>Cost per AI chat message in cents (default: 5 = $0.05)</w:t>
            </w:r>
          </w:p>
        </w:tc>
      </w:tr>
    </w:tbl>
    <w:sectPr w:rsidR="00FC693F" w:rsidRPr="0006063C" w:rsidSect="00034616">
      <w:headerReference w:type="default" r:id="rId9"/>
      <w:footerReference w:type="default" r:id="rId10"/>
      <w:pgSz w:w="12240" w:h="15840"/>
      <w:pgMar w:top="1584" w:right="1440" w:bottom="15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4CAB8"/>
      </w:pBdr>
      <w:jc w:val="center"/>
    </w:pPr>
    <w:r>
      <w:rPr>
        <w:color w:val="6B5C44"/>
        <w:sz w:val="18"/>
      </w:rPr>
      <w:t xml:space="preserve">Version 1.0  |  May 2026  |  Page </w:t>
    </w:r>
    <w:r>
      <w:rPr>
        <w:color w:val="6B5C44"/>
        <w:sz w:val="18"/>
      </w:rPr>
      <w:t xml:space="preserve">Page </w:t>
    </w:r>
    <w:r>
      <w:fldChar w:fldCharType="begin"/>
    </w:r>
    <w:r>
      <w:instrText xml:space="preserve"> PAGE </w:instrText>
    </w:r>
    <w:r>
      <w:fldChar w:fldCharType="end"/>
    </w:r>
    <w:r>
      <w:rPr>
        <w:color w:val="6B5C44"/>
        <w:sz w:val="18"/>
      </w:rPr>
      <w:t xml:space="preserve"> of </w:t>
    </w:r>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4CAB8"/>
      </w:pBdr>
    </w:pPr>
    <w:r>
      <w:rPr>
        <w:color w:val="6B5C44"/>
        <w:sz w:val="18"/>
      </w:rPr>
      <w:t>Vedic Astrology Platform  —  Design Architecture (Phase 1)</w:t>
    </w:r>
    <w:r>
      <w:rPr>
        <w:b/>
        <w:color w:val="6B5C44"/>
        <w:sz w:val="18"/>
      </w:rPr>
      <w:t xml:space="preser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