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6406" w14:textId="77777777" w:rsidR="00CC3260" w:rsidRDefault="003C7FD9">
      <w:pPr>
        <w:pStyle w:val="Title"/>
      </w:pPr>
      <w:r>
        <w:t>2025 Volunteer Lake Assessment Program</w:t>
      </w:r>
    </w:p>
    <w:p w14:paraId="556EFED0" w14:textId="77777777" w:rsidR="00CC3260" w:rsidRDefault="003C7FD9">
      <w:pPr>
        <w:pStyle w:val="Heading1"/>
      </w:pPr>
      <w:bookmarkStart w:id="0" w:name="individual-report-akers-pond-errol"/>
      <w:r>
        <w:rPr>
          <w:b/>
          <w:bCs/>
        </w:rPr>
        <w:t>Individual Report: Akers Pond – Errol</w:t>
      </w:r>
    </w:p>
    <w:p w14:paraId="345155B0" w14:textId="77777777" w:rsidR="008569FD" w:rsidRPr="0037562B" w:rsidRDefault="008569FD" w:rsidP="008569FD">
      <w:pPr>
        <w:rPr>
          <w:rFonts w:cs="Calibri"/>
        </w:rPr>
      </w:pPr>
      <w:bookmarkStart w:id="1" w:name="historical-water-quality-trend-analysis"/>
      <w:r w:rsidRPr="0037562B">
        <w:rPr>
          <w:rFonts w:cs="Calibri"/>
          <w:b/>
          <w:bCs/>
        </w:rPr>
        <w:t>Water Quality Summary:</w:t>
      </w:r>
      <w:r w:rsidRPr="0037562B">
        <w:rPr>
          <w:rFonts w:cs="Calibri"/>
        </w:rPr>
        <w:t xml:space="preserve"> Overall, pond water quality remains within the thresholds typical of a mesotrophic, or medium-quality, lake, with low conductivity, chloride</w:t>
      </w:r>
      <w:r>
        <w:rPr>
          <w:rFonts w:cs="Calibri"/>
        </w:rPr>
        <w:t xml:space="preserve"> and</w:t>
      </w:r>
      <w:r w:rsidRPr="0037562B">
        <w:rPr>
          <w:rFonts w:cs="Calibri"/>
        </w:rPr>
        <w:t xml:space="preserve"> turbidity values and acceptable pH values. On average, Akers Pond has slightly higher </w:t>
      </w:r>
      <w:r>
        <w:rPr>
          <w:rFonts w:cs="Calibri"/>
        </w:rPr>
        <w:t xml:space="preserve">(better) </w:t>
      </w:r>
      <w:r w:rsidRPr="0037562B">
        <w:rPr>
          <w:rFonts w:cs="Calibri"/>
        </w:rPr>
        <w:t>water quality compared to the median NH lake, with parameters like total phosphorus (hypolimnetic) and Secchi disk transparency being slightly worse. There is evidence of internal phosphorus loading due to anoxic hypolimnetic conditions which is likely contributing to elevated hypolimnetic total phosphorus. Akers Pond does not exceed NH water quality thresholds for any parameters</w:t>
      </w:r>
      <w:r>
        <w:rPr>
          <w:rFonts w:cs="Calibri"/>
        </w:rPr>
        <w:t>.</w:t>
      </w:r>
    </w:p>
    <w:p w14:paraId="2F51026D" w14:textId="77777777" w:rsidR="008569FD" w:rsidRPr="0037562B" w:rsidRDefault="008569FD" w:rsidP="008569FD">
      <w:pPr>
        <w:rPr>
          <w:rFonts w:cs="Calibri"/>
        </w:rPr>
      </w:pPr>
      <w:r w:rsidRPr="0037562B">
        <w:rPr>
          <w:rFonts w:cs="Calibri"/>
          <w:b/>
          <w:bCs/>
        </w:rPr>
        <w:t>Recommended Actions</w:t>
      </w:r>
      <w:r w:rsidRPr="0037562B">
        <w:rPr>
          <w:rFonts w:cs="Calibri"/>
        </w:rPr>
        <w:t xml:space="preserve">: </w:t>
      </w:r>
      <w:r>
        <w:rPr>
          <w:rFonts w:cs="Calibri"/>
        </w:rPr>
        <w:t xml:space="preserve">Great job resuming water quality monitoring in 2025! </w:t>
      </w:r>
      <w:r w:rsidRPr="0037562B">
        <w:rPr>
          <w:rFonts w:cs="Calibri"/>
        </w:rPr>
        <w:t xml:space="preserve">Actions such as stabilizing shorelines, reducing runoff from shoreline properties and </w:t>
      </w:r>
      <w:hyperlink r:id="rId7" w:history="1">
        <w:r w:rsidRPr="0037562B">
          <w:rPr>
            <w:rStyle w:val="Hyperlink"/>
            <w:rFonts w:cs="Calibri"/>
          </w:rPr>
          <w:t>dirt/gravel roads</w:t>
        </w:r>
      </w:hyperlink>
      <w:r w:rsidRPr="0037562B">
        <w:rPr>
          <w:rFonts w:cs="Calibri"/>
        </w:rPr>
        <w:t xml:space="preserve">, properly maintaining </w:t>
      </w:r>
      <w:hyperlink r:id="rId8" w:history="1">
        <w:r w:rsidRPr="0037562B">
          <w:rPr>
            <w:rStyle w:val="Hyperlink"/>
            <w:rFonts w:cs="Calibri"/>
          </w:rPr>
          <w:t>septic systems</w:t>
        </w:r>
      </w:hyperlink>
      <w:r>
        <w:rPr>
          <w:rFonts w:cs="Calibri"/>
        </w:rPr>
        <w:t xml:space="preserve"> and</w:t>
      </w:r>
      <w:r w:rsidRPr="0037562B">
        <w:rPr>
          <w:rFonts w:cs="Calibri"/>
        </w:rPr>
        <w:t xml:space="preserve"> limiting </w:t>
      </w:r>
      <w:hyperlink r:id="rId9" w:history="1">
        <w:r w:rsidRPr="0037562B">
          <w:rPr>
            <w:rStyle w:val="Hyperlink"/>
            <w:rFonts w:cs="Calibri"/>
          </w:rPr>
          <w:t>fertilizer</w:t>
        </w:r>
      </w:hyperlink>
      <w:r w:rsidRPr="0037562B">
        <w:rPr>
          <w:rFonts w:cs="Calibri"/>
        </w:rPr>
        <w:t xml:space="preserve"> use can all help protect water quality. NHDES’ </w:t>
      </w:r>
      <w:hyperlink r:id="rId10" w:history="1">
        <w:r w:rsidRPr="0037562B">
          <w:rPr>
            <w:rStyle w:val="Hyperlink"/>
            <w:rFonts w:cs="Calibri"/>
          </w:rPr>
          <w:t>NH Homeowner’s Guide to Stormwater Management</w:t>
        </w:r>
      </w:hyperlink>
      <w:r w:rsidRPr="0037562B">
        <w:rPr>
          <w:rFonts w:cs="Calibri"/>
        </w:rPr>
        <w:t xml:space="preserve"> and UNH Cooperative Extension’s </w:t>
      </w:r>
      <w:hyperlink r:id="rId11" w:history="1">
        <w:r w:rsidRPr="0037562B">
          <w:rPr>
            <w:rStyle w:val="Hyperlink"/>
            <w:rFonts w:cs="Calibri"/>
          </w:rPr>
          <w:t>Landscaping at the Water’s Edge</w:t>
        </w:r>
      </w:hyperlink>
      <w:r w:rsidRPr="0037562B">
        <w:rPr>
          <w:rFonts w:cs="Calibri"/>
        </w:rPr>
        <w:t xml:space="preserve"> are great resources. We recommend adding inlet sampling to better understand potential nutrient and chloride inputs from precipitation events and increasing monitoring to once per month to more effectively capture seasonal patterns and support future trend analysis. </w:t>
      </w:r>
      <w:r>
        <w:rPr>
          <w:rFonts w:cs="Calibri"/>
        </w:rPr>
        <w:t xml:space="preserve">Historical water quality trends can be established once 10 consecutive years of data have been collected. </w:t>
      </w:r>
      <w:r w:rsidRPr="0037562B">
        <w:rPr>
          <w:rFonts w:cs="Calibri"/>
        </w:rPr>
        <w:t>Keep up the great work!</w:t>
      </w:r>
    </w:p>
    <w:p w14:paraId="1698A106" w14:textId="77777777" w:rsidR="00CC3260" w:rsidRDefault="003C7FD9">
      <w:pPr>
        <w:pStyle w:val="Heading2"/>
      </w:pPr>
      <w:bookmarkStart w:id="2" w:name="Xc21299347e4c77f867f11e9faa563abd65f6c4e"/>
      <w:bookmarkEnd w:id="1"/>
      <w:r>
        <w:rPr>
          <w:bCs/>
        </w:rPr>
        <w:t>Historical Water Quality Graphics - Deep Spot</w:t>
      </w:r>
    </w:p>
    <w:p w14:paraId="78663393" w14:textId="77777777" w:rsidR="00CC3260" w:rsidRDefault="003C7FD9" w:rsidP="008569FD">
      <w:pPr>
        <w:jc w:val="center"/>
      </w:pPr>
      <w:r>
        <w:rPr>
          <w:noProof/>
        </w:rPr>
        <w:drawing>
          <wp:inline distT="0" distB="0" distL="0" distR="0" wp14:anchorId="55C875AF" wp14:editId="3DE17DEE">
            <wp:extent cx="5486400" cy="2756847"/>
            <wp:effectExtent l="0" t="0" r="0" b="0"/>
            <wp:docPr id="22" name="Picture" descr="A graph showing pH and conductivity levels in the upper water layer (epilimnion) over time by year."/>
            <wp:cNvGraphicFramePr/>
            <a:graphic xmlns:a="http://schemas.openxmlformats.org/drawingml/2006/main">
              <a:graphicData uri="http://schemas.openxmlformats.org/drawingml/2006/picture">
                <pic:pic xmlns:pic="http://schemas.openxmlformats.org/drawingml/2006/picture">
                  <pic:nvPicPr>
                    <pic:cNvPr id="22" name="Picture" descr="A graph showing pH and conductivity levels in the upper water layer (epilimnion) over time by year."/>
                    <pic:cNvPicPr>
                      <a:picLocks noChangeAspect="1" noChangeArrowheads="1"/>
                    </pic:cNvPicPr>
                  </pic:nvPicPr>
                  <pic:blipFill>
                    <a:blip r:embed="rId12"/>
                    <a:stretch>
                      <a:fillRect/>
                    </a:stretch>
                  </pic:blipFill>
                  <pic:spPr bwMode="auto">
                    <a:xfrm>
                      <a:off x="0" y="0"/>
                      <a:ext cx="5486400" cy="2756847"/>
                    </a:xfrm>
                    <a:prstGeom prst="rect">
                      <a:avLst/>
                    </a:prstGeom>
                    <a:noFill/>
                    <a:ln w="9525">
                      <a:noFill/>
                      <a:headEnd/>
                      <a:tailEnd/>
                    </a:ln>
                  </pic:spPr>
                </pic:pic>
              </a:graphicData>
            </a:graphic>
          </wp:inline>
        </w:drawing>
      </w:r>
    </w:p>
    <w:p w14:paraId="03D58ACA" w14:textId="1063306E" w:rsidR="00CC3260" w:rsidRDefault="003C7FD9">
      <w:r>
        <w:t>Figure 1. Median epilimnetic pH (red points) and conductivity (gray bars) by year</w:t>
      </w:r>
      <w:r w:rsidR="008569FD">
        <w:t>.</w:t>
      </w:r>
    </w:p>
    <w:p w14:paraId="323A0894" w14:textId="77777777" w:rsidR="00CC3260" w:rsidRDefault="003C7FD9" w:rsidP="008569FD">
      <w:pPr>
        <w:jc w:val="center"/>
      </w:pPr>
      <w:r>
        <w:rPr>
          <w:noProof/>
        </w:rPr>
        <w:drawing>
          <wp:inline distT="0" distB="0" distL="0" distR="0" wp14:anchorId="67810837" wp14:editId="2FB214AB">
            <wp:extent cx="5486400" cy="2756847"/>
            <wp:effectExtent l="0" t="0" r="0" b="0"/>
            <wp:docPr id="25" name="Picture" descr="A graph showing pH and conductivity levels in the upper water layer (epilimnion) over time by year."/>
            <wp:cNvGraphicFramePr/>
            <a:graphic xmlns:a="http://schemas.openxmlformats.org/drawingml/2006/main">
              <a:graphicData uri="http://schemas.openxmlformats.org/drawingml/2006/picture">
                <pic:pic xmlns:pic="http://schemas.openxmlformats.org/drawingml/2006/picture">
                  <pic:nvPicPr>
                    <pic:cNvPr id="25" name="Picture" descr="A graph showing pH and conductivity levels in the upper water layer (epilimnion) over time by year."/>
                    <pic:cNvPicPr>
                      <a:picLocks noChangeAspect="1" noChangeArrowheads="1"/>
                    </pic:cNvPicPr>
                  </pic:nvPicPr>
                  <pic:blipFill>
                    <a:blip r:embed="rId13"/>
                    <a:stretch>
                      <a:fillRect/>
                    </a:stretch>
                  </pic:blipFill>
                  <pic:spPr bwMode="auto">
                    <a:xfrm>
                      <a:off x="0" y="0"/>
                      <a:ext cx="5486400" cy="2756847"/>
                    </a:xfrm>
                    <a:prstGeom prst="rect">
                      <a:avLst/>
                    </a:prstGeom>
                    <a:noFill/>
                    <a:ln w="9525">
                      <a:noFill/>
                      <a:headEnd/>
                      <a:tailEnd/>
                    </a:ln>
                  </pic:spPr>
                </pic:pic>
              </a:graphicData>
            </a:graphic>
          </wp:inline>
        </w:drawing>
      </w:r>
    </w:p>
    <w:p w14:paraId="7767DB25" w14:textId="317B4370" w:rsidR="00CC3260" w:rsidRDefault="003C7FD9">
      <w:r>
        <w:t>Figure 2. Median Secchi disk transparency (blue bars), epilimnetic phosphorus (red triangles), and chlorophyll-a (green points) by year</w:t>
      </w:r>
      <w:r w:rsidR="008569FD">
        <w:t>.</w:t>
      </w:r>
    </w:p>
    <w:p w14:paraId="664F2249" w14:textId="77777777" w:rsidR="00CC3260" w:rsidRDefault="003C7FD9" w:rsidP="008569FD">
      <w:pPr>
        <w:jc w:val="center"/>
      </w:pPr>
      <w:r>
        <w:rPr>
          <w:noProof/>
        </w:rPr>
        <w:drawing>
          <wp:inline distT="0" distB="0" distL="0" distR="0" wp14:anchorId="143D1888" wp14:editId="2D82F787">
            <wp:extent cx="5486400" cy="2759109"/>
            <wp:effectExtent l="0" t="0" r="0" b="0"/>
            <wp:docPr id="28" name="Picture" descr="A graph showing temperature and dissolved oxygen profiles in the lake by depth."/>
            <wp:cNvGraphicFramePr/>
            <a:graphic xmlns:a="http://schemas.openxmlformats.org/drawingml/2006/main">
              <a:graphicData uri="http://schemas.openxmlformats.org/drawingml/2006/picture">
                <pic:pic xmlns:pic="http://schemas.openxmlformats.org/drawingml/2006/picture">
                  <pic:nvPicPr>
                    <pic:cNvPr id="28" name="Picture" descr="A graph showing temperature and dissolved oxygen profiles in the lake by depth."/>
                    <pic:cNvPicPr>
                      <a:picLocks noChangeAspect="1" noChangeArrowheads="1"/>
                    </pic:cNvPicPr>
                  </pic:nvPicPr>
                  <pic:blipFill>
                    <a:blip r:embed="rId14"/>
                    <a:stretch>
                      <a:fillRect/>
                    </a:stretch>
                  </pic:blipFill>
                  <pic:spPr bwMode="auto">
                    <a:xfrm>
                      <a:off x="0" y="0"/>
                      <a:ext cx="5486400" cy="2759109"/>
                    </a:xfrm>
                    <a:prstGeom prst="rect">
                      <a:avLst/>
                    </a:prstGeom>
                    <a:noFill/>
                    <a:ln w="9525">
                      <a:noFill/>
                      <a:headEnd/>
                      <a:tailEnd/>
                    </a:ln>
                  </pic:spPr>
                </pic:pic>
              </a:graphicData>
            </a:graphic>
          </wp:inline>
        </w:drawing>
      </w:r>
    </w:p>
    <w:p w14:paraId="04E33080" w14:textId="32661F42" w:rsidR="00CC3260" w:rsidRDefault="003C7FD9">
      <w:r>
        <w:t>Figure 3. 2025 vertical profiles of temperature (°C; green points, left plot) and dissolved oxygen (mg/L; blue points, right plot) plotted against depth (m).</w:t>
      </w:r>
    </w:p>
    <w:p w14:paraId="13370766" w14:textId="6A408716" w:rsidR="00CC3260" w:rsidRDefault="003C7FD9" w:rsidP="008569FD">
      <w:pPr>
        <w:pStyle w:val="tablecaption"/>
      </w:pPr>
      <w:r>
        <w:t xml:space="preserve">Table </w:t>
      </w:r>
      <w:r w:rsidR="008569FD">
        <w:t>1</w:t>
      </w:r>
      <w:r>
        <w:t>. 2025 Average Water Quality Data for Akers Pond – Errol</w:t>
      </w:r>
    </w:p>
    <w:tbl>
      <w:tblPr>
        <w:tblW w:w="4712" w:type="pct"/>
        <w:jc w:val="center"/>
        <w:tblLook w:val="0420" w:firstRow="1" w:lastRow="0" w:firstColumn="0" w:lastColumn="0" w:noHBand="0" w:noVBand="1"/>
      </w:tblPr>
      <w:tblGrid>
        <w:gridCol w:w="1350"/>
        <w:gridCol w:w="990"/>
        <w:gridCol w:w="989"/>
        <w:gridCol w:w="989"/>
        <w:gridCol w:w="989"/>
        <w:gridCol w:w="898"/>
        <w:gridCol w:w="811"/>
        <w:gridCol w:w="989"/>
        <w:gridCol w:w="965"/>
        <w:gridCol w:w="628"/>
        <w:gridCol w:w="561"/>
      </w:tblGrid>
      <w:tr w:rsidR="008569FD" w14:paraId="23D47E95" w14:textId="77777777" w:rsidTr="008569FD">
        <w:trPr>
          <w:tblHeader/>
          <w:jc w:val="center"/>
        </w:trPr>
        <w:tc>
          <w:tcPr>
            <w:tcW w:w="66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123923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S</w:t>
            </w:r>
            <w:r>
              <w:rPr>
                <w:rFonts w:eastAsia="Calibri" w:cs="Calibri"/>
                <w:b/>
                <w:color w:val="000000"/>
                <w:sz w:val="19"/>
                <w:szCs w:val="19"/>
              </w:rPr>
              <w:t>tation</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CAE4B97"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Alk. (mg/L)</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596850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Chlor-a (</w:t>
            </w:r>
            <w:proofErr w:type="spellStart"/>
            <w:r>
              <w:rPr>
                <w:rFonts w:eastAsia="Calibri" w:cs="Calibri"/>
                <w:b/>
                <w:color w:val="000000"/>
                <w:sz w:val="19"/>
                <w:szCs w:val="19"/>
              </w:rPr>
              <w:t>μg</w:t>
            </w:r>
            <w:proofErr w:type="spellEnd"/>
            <w:r>
              <w:rPr>
                <w:rFonts w:eastAsia="Calibri" w:cs="Calibri"/>
                <w:b/>
                <w:color w:val="000000"/>
                <w:sz w:val="19"/>
                <w:szCs w:val="19"/>
              </w:rPr>
              <w:t>/L)</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A79EE40"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Chloride (mg/L)</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2B5FA7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Color (</w:t>
            </w:r>
            <w:proofErr w:type="spellStart"/>
            <w:r>
              <w:rPr>
                <w:rFonts w:eastAsia="Calibri" w:cs="Calibri"/>
                <w:b/>
                <w:color w:val="000000"/>
                <w:sz w:val="19"/>
                <w:szCs w:val="19"/>
              </w:rPr>
              <w:t>pcu</w:t>
            </w:r>
            <w:proofErr w:type="spellEnd"/>
            <w:r>
              <w:rPr>
                <w:rFonts w:eastAsia="Calibri" w:cs="Calibri"/>
                <w:b/>
                <w:color w:val="000000"/>
                <w:sz w:val="19"/>
                <w:szCs w:val="19"/>
              </w:rPr>
              <w:t>)</w:t>
            </w:r>
          </w:p>
        </w:tc>
        <w:tc>
          <w:tcPr>
            <w:tcW w:w="442"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A57AD8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Cond. (</w:t>
            </w:r>
            <w:proofErr w:type="spellStart"/>
            <w:r>
              <w:rPr>
                <w:rFonts w:eastAsia="Calibri" w:cs="Calibri"/>
                <w:b/>
                <w:color w:val="000000"/>
                <w:sz w:val="19"/>
                <w:szCs w:val="19"/>
              </w:rPr>
              <w:t>μS</w:t>
            </w:r>
            <w:proofErr w:type="spellEnd"/>
            <w:r>
              <w:rPr>
                <w:rFonts w:eastAsia="Calibri" w:cs="Calibri"/>
                <w:b/>
                <w:color w:val="000000"/>
                <w:sz w:val="19"/>
                <w:szCs w:val="19"/>
              </w:rPr>
              <w:t>/cm)</w:t>
            </w:r>
          </w:p>
        </w:tc>
        <w:tc>
          <w:tcPr>
            <w:tcW w:w="39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0A91A9D"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Total P (</w:t>
            </w:r>
            <w:proofErr w:type="spellStart"/>
            <w:r>
              <w:rPr>
                <w:rFonts w:eastAsia="Calibri" w:cs="Calibri"/>
                <w:b/>
                <w:color w:val="000000"/>
                <w:sz w:val="19"/>
                <w:szCs w:val="19"/>
              </w:rPr>
              <w:t>μg</w:t>
            </w:r>
            <w:proofErr w:type="spellEnd"/>
            <w:r>
              <w:rPr>
                <w:rFonts w:eastAsia="Calibri" w:cs="Calibri"/>
                <w:b/>
                <w:color w:val="000000"/>
                <w:sz w:val="19"/>
                <w:szCs w:val="19"/>
              </w:rPr>
              <w:t>/L)</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26EDB91"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Trans. NVS (m)</w:t>
            </w:r>
          </w:p>
        </w:tc>
        <w:tc>
          <w:tcPr>
            <w:tcW w:w="475"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E3AAD5D" w14:textId="77777777" w:rsidR="008569FD"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 xml:space="preserve">Trans. </w:t>
            </w:r>
          </w:p>
          <w:p w14:paraId="11EA1E20" w14:textId="397D127A"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VS (m)</w:t>
            </w:r>
          </w:p>
        </w:tc>
        <w:tc>
          <w:tcPr>
            <w:tcW w:w="30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D9259E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Turb. (</w:t>
            </w:r>
            <w:proofErr w:type="spellStart"/>
            <w:r>
              <w:rPr>
                <w:rFonts w:eastAsia="Calibri" w:cs="Calibri"/>
                <w:b/>
                <w:color w:val="000000"/>
                <w:sz w:val="19"/>
                <w:szCs w:val="19"/>
              </w:rPr>
              <w:t>ntu</w:t>
            </w:r>
            <w:proofErr w:type="spellEnd"/>
            <w:r>
              <w:rPr>
                <w:rFonts w:eastAsia="Calibri" w:cs="Calibri"/>
                <w:b/>
                <w:color w:val="000000"/>
                <w:sz w:val="19"/>
                <w:szCs w:val="19"/>
              </w:rPr>
              <w:t>)</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2911B63"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19"/>
                <w:szCs w:val="19"/>
              </w:rPr>
            </w:pPr>
            <w:r>
              <w:rPr>
                <w:rFonts w:eastAsia="Calibri" w:cs="Calibri"/>
                <w:b/>
                <w:color w:val="000000"/>
                <w:sz w:val="19"/>
                <w:szCs w:val="19"/>
              </w:rPr>
              <w:t>pH</w:t>
            </w:r>
          </w:p>
        </w:tc>
      </w:tr>
      <w:tr w:rsidR="008569FD" w14:paraId="6269A643" w14:textId="77777777" w:rsidTr="008569FD">
        <w:trPr>
          <w:jc w:val="center"/>
        </w:trPr>
        <w:tc>
          <w:tcPr>
            <w:tcW w:w="66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A08D6E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Epilimnion</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028F4F2"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6.1</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E49B504"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1.74</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CB230C5"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1.5</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B05D8F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56</w:t>
            </w:r>
          </w:p>
        </w:tc>
        <w:tc>
          <w:tcPr>
            <w:tcW w:w="442"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A6289E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30.97</w:t>
            </w:r>
          </w:p>
        </w:tc>
        <w:tc>
          <w:tcPr>
            <w:tcW w:w="39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1511F89"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6.62</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033A297"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2.06</w:t>
            </w:r>
          </w:p>
        </w:tc>
        <w:tc>
          <w:tcPr>
            <w:tcW w:w="475"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7F129D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2.69</w:t>
            </w:r>
          </w:p>
        </w:tc>
        <w:tc>
          <w:tcPr>
            <w:tcW w:w="30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9DECC4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0.72</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350EB8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6.93</w:t>
            </w:r>
          </w:p>
        </w:tc>
      </w:tr>
      <w:tr w:rsidR="008569FD" w14:paraId="5EFB6DF1" w14:textId="77777777" w:rsidTr="008569FD">
        <w:trPr>
          <w:jc w:val="center"/>
        </w:trPr>
        <w:tc>
          <w:tcPr>
            <w:tcW w:w="66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A1C45F7"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Metalimnion</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9B4BE3D"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5F31C21"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A8ADC1A"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C2AC18A"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42"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F4F9AC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31.26</w:t>
            </w:r>
          </w:p>
        </w:tc>
        <w:tc>
          <w:tcPr>
            <w:tcW w:w="39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BF1C7B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9.03</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587A83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75"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04E60E4"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0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9E7C2CC"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1.10</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B290040"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6.94</w:t>
            </w:r>
          </w:p>
        </w:tc>
      </w:tr>
      <w:tr w:rsidR="008569FD" w14:paraId="63E8A50D" w14:textId="77777777" w:rsidTr="008569FD">
        <w:trPr>
          <w:jc w:val="center"/>
        </w:trPr>
        <w:tc>
          <w:tcPr>
            <w:tcW w:w="664"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EB59675"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19"/>
                <w:szCs w:val="19"/>
              </w:rPr>
            </w:pPr>
            <w:r>
              <w:rPr>
                <w:rFonts w:eastAsia="Calibri" w:cs="Calibri"/>
                <w:color w:val="000000"/>
                <w:sz w:val="19"/>
                <w:szCs w:val="19"/>
              </w:rPr>
              <w:t>Hypolimnion</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759F38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0E0409B"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61B6DDA"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551FB1E"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42"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51B8D3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31.73</w:t>
            </w:r>
          </w:p>
        </w:tc>
        <w:tc>
          <w:tcPr>
            <w:tcW w:w="39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2D0505E5"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20.10</w:t>
            </w:r>
          </w:p>
        </w:tc>
        <w:tc>
          <w:tcPr>
            <w:tcW w:w="487"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4BFDB4A"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475"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F4C691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No Value</w:t>
            </w:r>
          </w:p>
        </w:tc>
        <w:tc>
          <w:tcPr>
            <w:tcW w:w="309" w:type="pct"/>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16894E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3.13</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4267F2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color w:val="000000"/>
                <w:sz w:val="19"/>
                <w:szCs w:val="19"/>
              </w:rPr>
            </w:pPr>
            <w:r>
              <w:rPr>
                <w:rFonts w:eastAsia="Calibri" w:cs="Calibri"/>
                <w:color w:val="000000"/>
                <w:sz w:val="19"/>
                <w:szCs w:val="19"/>
              </w:rPr>
              <w:t>6.82</w:t>
            </w:r>
          </w:p>
        </w:tc>
      </w:tr>
    </w:tbl>
    <w:p w14:paraId="231D8674" w14:textId="77777777" w:rsidR="008569FD" w:rsidRDefault="008569FD">
      <w:pPr>
        <w:rPr>
          <w:rFonts w:eastAsiaTheme="majorEastAsia" w:cstheme="majorBidi"/>
          <w:b/>
          <w:bCs/>
          <w:color w:val="156082" w:themeColor="accent1"/>
          <w:sz w:val="30"/>
          <w:szCs w:val="32"/>
        </w:rPr>
      </w:pPr>
      <w:bookmarkStart w:id="3" w:name="X4b53b01d67b7c92b0e746b51e62a02861770491"/>
      <w:bookmarkEnd w:id="2"/>
      <w:r>
        <w:rPr>
          <w:bCs/>
        </w:rPr>
        <w:br w:type="page"/>
      </w:r>
    </w:p>
    <w:p w14:paraId="6F10D22A" w14:textId="2BDA8AFE" w:rsidR="00CC3260" w:rsidRDefault="003C7FD9">
      <w:pPr>
        <w:pStyle w:val="Heading2"/>
      </w:pPr>
      <w:r>
        <w:rPr>
          <w:bCs/>
        </w:rPr>
        <w:t>Observations</w:t>
      </w:r>
      <w:r>
        <w:t xml:space="preserve"> </w:t>
      </w:r>
      <w:r>
        <w:rPr>
          <w:i/>
          <w:iCs/>
        </w:rPr>
        <w:t xml:space="preserve">(Refer to Table </w:t>
      </w:r>
      <w:r w:rsidR="008569FD">
        <w:rPr>
          <w:i/>
          <w:iCs/>
        </w:rPr>
        <w:t>1</w:t>
      </w:r>
      <w:r>
        <w:rPr>
          <w:i/>
          <w:iCs/>
        </w:rPr>
        <w:t xml:space="preserve"> and Historical Deep Spot Data Graphics)</w:t>
      </w:r>
      <w:r>
        <w:t>:</w:t>
      </w:r>
    </w:p>
    <w:p w14:paraId="2DD93FCA" w14:textId="77777777" w:rsidR="008569FD" w:rsidRPr="0037562B" w:rsidRDefault="008569FD" w:rsidP="008569FD">
      <w:pPr>
        <w:pStyle w:val="ListParagraph"/>
        <w:numPr>
          <w:ilvl w:val="0"/>
          <w:numId w:val="3"/>
        </w:numPr>
        <w:contextualSpacing w:val="0"/>
        <w:rPr>
          <w:rFonts w:cs="Calibri"/>
        </w:rPr>
      </w:pPr>
      <w:bookmarkStart w:id="4" w:name="Xfcd88e75ca019e3015b02dbe8569bcfe321d949"/>
      <w:r w:rsidRPr="0037562B">
        <w:rPr>
          <w:rFonts w:cs="Calibri"/>
          <w:b/>
          <w:bCs/>
        </w:rPr>
        <w:t>Chlorophyll-a (Chlor-a)</w:t>
      </w:r>
      <w:r w:rsidRPr="0037562B">
        <w:rPr>
          <w:rFonts w:cs="Calibri"/>
        </w:rPr>
        <w:t xml:space="preserve">: Chlorophyll level was within a low range in August and was lower than in previous years. It remained below the state </w:t>
      </w:r>
      <w:proofErr w:type="gramStart"/>
      <w:r w:rsidRPr="0037562B">
        <w:rPr>
          <w:rFonts w:cs="Calibri"/>
        </w:rPr>
        <w:t>median</w:t>
      </w:r>
      <w:proofErr w:type="gramEnd"/>
      <w:r w:rsidRPr="0037562B">
        <w:rPr>
          <w:rFonts w:cs="Calibri"/>
        </w:rPr>
        <w:t xml:space="preserve"> and the threshold for mesotrophic lakes. Visual inspection of historical data indicates relatively stable chlorophyll levels over time.</w:t>
      </w:r>
    </w:p>
    <w:p w14:paraId="0270F2DE" w14:textId="77777777" w:rsidR="008569FD" w:rsidRPr="0037562B" w:rsidRDefault="008569FD" w:rsidP="008569FD">
      <w:pPr>
        <w:pStyle w:val="ListParagraph"/>
        <w:numPr>
          <w:ilvl w:val="0"/>
          <w:numId w:val="3"/>
        </w:numPr>
        <w:contextualSpacing w:val="0"/>
        <w:rPr>
          <w:rFonts w:cs="Calibri"/>
        </w:rPr>
      </w:pPr>
      <w:r w:rsidRPr="0037562B">
        <w:rPr>
          <w:rFonts w:cs="Calibri"/>
          <w:b/>
          <w:bCs/>
        </w:rPr>
        <w:t xml:space="preserve">Conductivity (Cond.)/Chloride: </w:t>
      </w:r>
      <w:r w:rsidRPr="0037562B">
        <w:rPr>
          <w:rFonts w:cs="Calibri"/>
        </w:rPr>
        <w:t>Conductivity in the Epilimnion was within a low range for NH surface waters and was below the state median. Epilimnetic chloride level was also within a low range and below the state median. Visual inspection of historical data indicates relatively stable conductivity levels.</w:t>
      </w:r>
    </w:p>
    <w:p w14:paraId="4221D0E4" w14:textId="77777777" w:rsidR="008569FD" w:rsidRPr="0037562B" w:rsidRDefault="008569FD" w:rsidP="008569FD">
      <w:pPr>
        <w:pStyle w:val="ListParagraph"/>
        <w:numPr>
          <w:ilvl w:val="0"/>
          <w:numId w:val="3"/>
        </w:numPr>
        <w:contextualSpacing w:val="0"/>
        <w:rPr>
          <w:rFonts w:cs="Calibri"/>
        </w:rPr>
      </w:pPr>
      <w:r w:rsidRPr="0037562B">
        <w:rPr>
          <w:rFonts w:cs="Calibri"/>
          <w:b/>
          <w:bCs/>
        </w:rPr>
        <w:t>Color</w:t>
      </w:r>
      <w:r w:rsidRPr="0037562B">
        <w:rPr>
          <w:rFonts w:cs="Calibri"/>
        </w:rPr>
        <w:t>: Apparent color measured in the epilimnion indicates the water was within a moderately tea colored, or brown, range.</w:t>
      </w:r>
    </w:p>
    <w:p w14:paraId="2657950C" w14:textId="77777777" w:rsidR="008569FD" w:rsidRPr="0037562B" w:rsidRDefault="008569FD" w:rsidP="008569FD">
      <w:pPr>
        <w:pStyle w:val="ListParagraph"/>
        <w:numPr>
          <w:ilvl w:val="0"/>
          <w:numId w:val="3"/>
        </w:numPr>
        <w:contextualSpacing w:val="0"/>
        <w:rPr>
          <w:rFonts w:cs="Calibri"/>
        </w:rPr>
      </w:pPr>
      <w:r w:rsidRPr="0037562B">
        <w:rPr>
          <w:rFonts w:cs="Calibri"/>
          <w:b/>
          <w:bCs/>
        </w:rPr>
        <w:t>Total Phosphorus (Total P)</w:t>
      </w:r>
      <w:r w:rsidRPr="0037562B">
        <w:rPr>
          <w:rFonts w:cs="Calibri"/>
        </w:rPr>
        <w:t xml:space="preserve">: Epilimnetic </w:t>
      </w:r>
      <w:r>
        <w:rPr>
          <w:rFonts w:cs="Calibri"/>
        </w:rPr>
        <w:t xml:space="preserve">(upper water layer) </w:t>
      </w:r>
      <w:r w:rsidRPr="0037562B">
        <w:rPr>
          <w:rFonts w:cs="Calibri"/>
        </w:rPr>
        <w:t xml:space="preserve">phosphorus level was within a low range in August and was lower than in previous years. It remained less than the state median and was less than the threshold for mesotrophic lakes. Visual inspection of historical data indicates stable epilimnetic phosphorus levels over time. Total phosphorus values increased down the water column, with </w:t>
      </w:r>
      <w:proofErr w:type="spellStart"/>
      <w:r w:rsidRPr="0037562B">
        <w:rPr>
          <w:rFonts w:cs="Calibri"/>
        </w:rPr>
        <w:t>metalimnetic</w:t>
      </w:r>
      <w:proofErr w:type="spellEnd"/>
      <w:r w:rsidRPr="0037562B">
        <w:rPr>
          <w:rFonts w:cs="Calibri"/>
        </w:rPr>
        <w:t xml:space="preserve"> values still within range but hypolimnetic </w:t>
      </w:r>
      <w:r>
        <w:rPr>
          <w:rFonts w:cs="Calibri"/>
        </w:rPr>
        <w:t xml:space="preserve">(bottom water layer) </w:t>
      </w:r>
      <w:r w:rsidRPr="0037562B">
        <w:rPr>
          <w:rFonts w:cs="Calibri"/>
        </w:rPr>
        <w:t xml:space="preserve">values </w:t>
      </w:r>
      <w:r>
        <w:rPr>
          <w:rFonts w:cs="Calibri"/>
        </w:rPr>
        <w:t>were elevated.</w:t>
      </w:r>
      <w:r w:rsidRPr="0037562B">
        <w:rPr>
          <w:rFonts w:cs="Calibri"/>
        </w:rPr>
        <w:t xml:space="preserve"> This suggests that there may be some internal phosphorus loading which is in alignment with the anoxic conditions of the hypolimnion.</w:t>
      </w:r>
    </w:p>
    <w:p w14:paraId="08FDAC27" w14:textId="77777777" w:rsidR="008569FD" w:rsidRPr="0037562B" w:rsidRDefault="008569FD" w:rsidP="008569FD">
      <w:pPr>
        <w:pStyle w:val="ListParagraph"/>
        <w:numPr>
          <w:ilvl w:val="0"/>
          <w:numId w:val="3"/>
        </w:numPr>
        <w:contextualSpacing w:val="0"/>
        <w:rPr>
          <w:rFonts w:cs="Calibri"/>
        </w:rPr>
      </w:pPr>
      <w:r w:rsidRPr="0037562B">
        <w:rPr>
          <w:rFonts w:cs="Calibri"/>
          <w:b/>
          <w:bCs/>
        </w:rPr>
        <w:t>Transparency (Trans.)</w:t>
      </w:r>
      <w:r w:rsidRPr="0037562B">
        <w:rPr>
          <w:rFonts w:cs="Calibri"/>
        </w:rPr>
        <w:t>: Transparency measured with (VS) and without (NVS) the viewscope was within an average range for the pond but was slightly lower than in previous years. Viewscope transparency is generally higher (better) than NVS transparency and likely a better measure of actual condition. Visual inspection of historical data indicates slightly worse transparency since monitoring began.</w:t>
      </w:r>
    </w:p>
    <w:p w14:paraId="06C20FE4" w14:textId="77777777" w:rsidR="008569FD" w:rsidRPr="0037562B" w:rsidRDefault="008569FD" w:rsidP="008569FD">
      <w:pPr>
        <w:pStyle w:val="ListParagraph"/>
        <w:numPr>
          <w:ilvl w:val="0"/>
          <w:numId w:val="3"/>
        </w:numPr>
        <w:contextualSpacing w:val="0"/>
        <w:rPr>
          <w:rFonts w:cs="Calibri"/>
        </w:rPr>
      </w:pPr>
      <w:r w:rsidRPr="0037562B">
        <w:rPr>
          <w:rFonts w:cs="Calibri"/>
          <w:b/>
          <w:bCs/>
        </w:rPr>
        <w:t>Turbidity (Turb.)</w:t>
      </w:r>
      <w:r w:rsidRPr="0037562B">
        <w:rPr>
          <w:rFonts w:cs="Calibri"/>
        </w:rPr>
        <w:t xml:space="preserve">: Epilimnetic, </w:t>
      </w:r>
      <w:proofErr w:type="spellStart"/>
      <w:r w:rsidRPr="0037562B">
        <w:rPr>
          <w:rFonts w:cs="Calibri"/>
        </w:rPr>
        <w:t>metalimnetic</w:t>
      </w:r>
      <w:proofErr w:type="spellEnd"/>
      <w:r>
        <w:rPr>
          <w:rFonts w:cs="Calibri"/>
        </w:rPr>
        <w:t xml:space="preserve"> and</w:t>
      </w:r>
      <w:r w:rsidRPr="0037562B">
        <w:rPr>
          <w:rFonts w:cs="Calibri"/>
        </w:rPr>
        <w:t xml:space="preserve"> hypolimnetic turbidity levels were within a low range.</w:t>
      </w:r>
    </w:p>
    <w:p w14:paraId="5DE84863" w14:textId="77777777" w:rsidR="008569FD" w:rsidRPr="0037562B" w:rsidRDefault="008569FD" w:rsidP="008569FD">
      <w:pPr>
        <w:pStyle w:val="ListParagraph"/>
        <w:numPr>
          <w:ilvl w:val="0"/>
          <w:numId w:val="3"/>
        </w:numPr>
        <w:contextualSpacing w:val="0"/>
        <w:rPr>
          <w:rFonts w:cs="Calibri"/>
        </w:rPr>
      </w:pPr>
      <w:r w:rsidRPr="0037562B">
        <w:rPr>
          <w:rFonts w:cs="Calibri"/>
          <w:b/>
          <w:bCs/>
        </w:rPr>
        <w:t>pH</w:t>
      </w:r>
      <w:r w:rsidRPr="0037562B">
        <w:rPr>
          <w:rFonts w:cs="Calibri"/>
        </w:rPr>
        <w:t xml:space="preserve">: Epilimnetic, </w:t>
      </w:r>
      <w:proofErr w:type="spellStart"/>
      <w:r w:rsidRPr="0037562B">
        <w:rPr>
          <w:rFonts w:cs="Calibri"/>
        </w:rPr>
        <w:t>metalimnetic</w:t>
      </w:r>
      <w:proofErr w:type="spellEnd"/>
      <w:r>
        <w:rPr>
          <w:rFonts w:cs="Calibri"/>
        </w:rPr>
        <w:t xml:space="preserve"> and</w:t>
      </w:r>
      <w:r w:rsidRPr="0037562B">
        <w:rPr>
          <w:rFonts w:cs="Calibri"/>
        </w:rPr>
        <w:t xml:space="preserve"> hypolimnetic pH levels were within the desirable range of 6.5-8.0 units</w:t>
      </w:r>
      <w:r>
        <w:rPr>
          <w:rFonts w:cs="Calibri"/>
        </w:rPr>
        <w:t xml:space="preserve"> and</w:t>
      </w:r>
      <w:r w:rsidRPr="0037562B">
        <w:rPr>
          <w:rFonts w:cs="Calibri"/>
        </w:rPr>
        <w:t xml:space="preserve"> improved from the slightly acidic conditions measured in 2019. Visual inspection of historical data indicates stable epilimnetic pH levels over time.</w:t>
      </w:r>
    </w:p>
    <w:p w14:paraId="332DDE66" w14:textId="77777777" w:rsidR="008569FD" w:rsidRPr="0037562B" w:rsidRDefault="008569FD" w:rsidP="008569FD">
      <w:pPr>
        <w:pStyle w:val="ListParagraph"/>
        <w:numPr>
          <w:ilvl w:val="0"/>
          <w:numId w:val="3"/>
        </w:numPr>
        <w:contextualSpacing w:val="0"/>
        <w:rPr>
          <w:rFonts w:cs="Calibri"/>
        </w:rPr>
      </w:pPr>
      <w:r w:rsidRPr="0037562B">
        <w:rPr>
          <w:rFonts w:cs="Calibri"/>
          <w:b/>
          <w:bCs/>
        </w:rPr>
        <w:t>T</w:t>
      </w:r>
      <w:r w:rsidRPr="0037562B">
        <w:rPr>
          <w:rFonts w:cs="Calibri"/>
          <w:b/>
        </w:rPr>
        <w:t xml:space="preserve">emperature/Dissolved Oxygen (DO) Profile: </w:t>
      </w:r>
      <w:r w:rsidRPr="0037562B">
        <w:rPr>
          <w:rFonts w:cs="Calibri"/>
          <w:bCs/>
        </w:rPr>
        <w:t xml:space="preserve">Epilimnetic temperatures were approximately 25 °C, with DO concentrations around 8 mg/L. The metalimnion (thermocline) began at approximately 3.0 m, where both temperature and DO </w:t>
      </w:r>
      <w:proofErr w:type="gramStart"/>
      <w:r w:rsidRPr="0037562B">
        <w:rPr>
          <w:rFonts w:cs="Calibri"/>
          <w:bCs/>
        </w:rPr>
        <w:t>declined</w:t>
      </w:r>
      <w:proofErr w:type="gramEnd"/>
      <w:r w:rsidRPr="0037562B">
        <w:rPr>
          <w:rFonts w:cs="Calibri"/>
          <w:bCs/>
        </w:rPr>
        <w:t xml:space="preserve"> rapidly. By 5.0 m (the hypolimnion), temperatures stabilized between 16 and 11 °C</w:t>
      </w:r>
      <w:r>
        <w:rPr>
          <w:rFonts w:cs="Calibri"/>
          <w:bCs/>
        </w:rPr>
        <w:t xml:space="preserve"> and</w:t>
      </w:r>
      <w:r w:rsidRPr="0037562B">
        <w:rPr>
          <w:rFonts w:cs="Calibri"/>
          <w:bCs/>
        </w:rPr>
        <w:t xml:space="preserve"> DO concentrations reached 1.5 mg/L.</w:t>
      </w:r>
    </w:p>
    <w:p w14:paraId="2DD95974" w14:textId="77777777" w:rsidR="00CC3260" w:rsidRDefault="003C7FD9">
      <w:pPr>
        <w:pStyle w:val="Heading3"/>
      </w:pPr>
      <w:r>
        <w:rPr>
          <w:b/>
          <w:bCs/>
        </w:rPr>
        <w:t xml:space="preserve">How </w:t>
      </w:r>
      <w:proofErr w:type="gramStart"/>
      <w:r>
        <w:rPr>
          <w:b/>
          <w:bCs/>
        </w:rPr>
        <w:t>does</w:t>
      </w:r>
      <w:proofErr w:type="gramEnd"/>
      <w:r>
        <w:rPr>
          <w:b/>
          <w:bCs/>
        </w:rPr>
        <w:t xml:space="preserve"> your lake compare to New Hampshire lakes and water quality standards?</w:t>
      </w:r>
    </w:p>
    <w:p w14:paraId="064977CF" w14:textId="6BDDE603" w:rsidR="00CC3260" w:rsidRDefault="003C7FD9" w:rsidP="008569FD">
      <w:pPr>
        <w:pStyle w:val="tablecaption"/>
      </w:pPr>
      <w:r>
        <w:t xml:space="preserve">Table </w:t>
      </w:r>
      <w:r w:rsidR="008569FD">
        <w:t>2</w:t>
      </w:r>
      <w:r>
        <w:t xml:space="preserve">. New Hampshire Median Lake Water Quality Values. </w:t>
      </w:r>
      <w:r>
        <w:t>Median values generated from historic lake monitoring data</w:t>
      </w:r>
    </w:p>
    <w:tbl>
      <w:tblPr>
        <w:tblW w:w="1750" w:type="pct"/>
        <w:jc w:val="center"/>
        <w:tblLook w:val="0420" w:firstRow="1" w:lastRow="0" w:firstColumn="0" w:lastColumn="0" w:noHBand="0" w:noVBand="1"/>
      </w:tblPr>
      <w:tblGrid>
        <w:gridCol w:w="2065"/>
        <w:gridCol w:w="1708"/>
      </w:tblGrid>
      <w:tr w:rsidR="00CC3260" w14:paraId="5D98E45F"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B85EA4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P</w:t>
            </w:r>
            <w:r>
              <w:rPr>
                <w:rFonts w:eastAsia="Calibri" w:cs="Calibri"/>
                <w:b/>
                <w:color w:val="000000"/>
                <w:sz w:val="20"/>
                <w:szCs w:val="20"/>
              </w:rPr>
              <w:t>arameter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B7AB5A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Median Value</w:t>
            </w:r>
          </w:p>
        </w:tc>
      </w:tr>
      <w:tr w:rsidR="00CC3260" w14:paraId="59F8ECD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D7DFCA2"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Alkalinity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551B0CF"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4.5 mg/L</w:t>
            </w:r>
          </w:p>
        </w:tc>
      </w:tr>
      <w:tr w:rsidR="00CC3260" w14:paraId="25F2316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DA390E9"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Chlorophyll-a</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6FAFE14"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4.39 </w:t>
            </w:r>
            <w:proofErr w:type="spellStart"/>
            <w:r>
              <w:rPr>
                <w:rFonts w:eastAsia="Calibri" w:cs="Calibri"/>
                <w:color w:val="000000"/>
                <w:sz w:val="20"/>
                <w:szCs w:val="20"/>
              </w:rPr>
              <w:t>μg</w:t>
            </w:r>
            <w:proofErr w:type="spellEnd"/>
            <w:r>
              <w:rPr>
                <w:rFonts w:eastAsia="Calibri" w:cs="Calibri"/>
                <w:color w:val="000000"/>
                <w:sz w:val="20"/>
                <w:szCs w:val="20"/>
              </w:rPr>
              <w:t>/L</w:t>
            </w:r>
          </w:p>
        </w:tc>
      </w:tr>
      <w:tr w:rsidR="00CC3260" w14:paraId="4832609A"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75D80EC"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Chloride</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927D565"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5 mg/L</w:t>
            </w:r>
          </w:p>
        </w:tc>
      </w:tr>
      <w:tr w:rsidR="00CC3260" w14:paraId="168C2793"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FB0D6C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Conductivity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E2C5A2C"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42.3 </w:t>
            </w:r>
            <w:proofErr w:type="spellStart"/>
            <w:r>
              <w:rPr>
                <w:rFonts w:eastAsia="Calibri" w:cs="Calibri"/>
                <w:color w:val="000000"/>
                <w:sz w:val="20"/>
                <w:szCs w:val="20"/>
              </w:rPr>
              <w:t>μS</w:t>
            </w:r>
            <w:proofErr w:type="spellEnd"/>
            <w:r>
              <w:rPr>
                <w:rFonts w:eastAsia="Calibri" w:cs="Calibri"/>
                <w:color w:val="000000"/>
                <w:sz w:val="20"/>
                <w:szCs w:val="20"/>
              </w:rPr>
              <w:t>/cm</w:t>
            </w:r>
          </w:p>
        </w:tc>
      </w:tr>
      <w:tr w:rsidR="00CC3260" w14:paraId="52B770DC"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9D6E0DC"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Total Phosphorus</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37D2313"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11 </w:t>
            </w:r>
            <w:proofErr w:type="spellStart"/>
            <w:r>
              <w:rPr>
                <w:rFonts w:eastAsia="Calibri" w:cs="Calibri"/>
                <w:color w:val="000000"/>
                <w:sz w:val="20"/>
                <w:szCs w:val="20"/>
              </w:rPr>
              <w:t>μg</w:t>
            </w:r>
            <w:proofErr w:type="spellEnd"/>
            <w:r>
              <w:rPr>
                <w:rFonts w:eastAsia="Calibri" w:cs="Calibri"/>
                <w:color w:val="000000"/>
                <w:sz w:val="20"/>
                <w:szCs w:val="20"/>
              </w:rPr>
              <w:t>/L</w:t>
            </w:r>
          </w:p>
        </w:tc>
      </w:tr>
      <w:tr w:rsidR="00CC3260" w14:paraId="074A7F94"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271836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Transparency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7CB24AB"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3.3 m</w:t>
            </w:r>
          </w:p>
        </w:tc>
      </w:tr>
      <w:tr w:rsidR="00CC3260" w14:paraId="4A100A79"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500D00DE"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1DE73604"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6.6</w:t>
            </w:r>
          </w:p>
        </w:tc>
      </w:tr>
    </w:tbl>
    <w:p w14:paraId="431E7BBF" w14:textId="77777777" w:rsidR="008569FD" w:rsidRDefault="008569FD" w:rsidP="008569FD">
      <w:pPr>
        <w:pStyle w:val="tablecaption"/>
      </w:pPr>
    </w:p>
    <w:p w14:paraId="1C806C39" w14:textId="77777777" w:rsidR="008569FD" w:rsidRDefault="008569FD">
      <w:pPr>
        <w:rPr>
          <w:color w:val="156082" w:themeColor="accent1"/>
        </w:rPr>
      </w:pPr>
      <w:r>
        <w:br w:type="page"/>
      </w:r>
    </w:p>
    <w:p w14:paraId="646EA7AF" w14:textId="037E39EA" w:rsidR="00CC3260" w:rsidRDefault="003C7FD9" w:rsidP="008569FD">
      <w:pPr>
        <w:pStyle w:val="tablecaption"/>
      </w:pPr>
      <w:r>
        <w:t xml:space="preserve">Table </w:t>
      </w:r>
      <w:r w:rsidR="008569FD">
        <w:t>3</w:t>
      </w:r>
      <w:r>
        <w:t xml:space="preserve">. New Hampshire Water Quality Standards. </w:t>
      </w:r>
      <w:r>
        <w:t>Numeric criteria for specific parameters. Water quality violation occurs if thresholds are exceeded.</w:t>
      </w:r>
    </w:p>
    <w:tbl>
      <w:tblPr>
        <w:tblW w:w="2500" w:type="pct"/>
        <w:jc w:val="center"/>
        <w:tblLook w:val="0420" w:firstRow="1" w:lastRow="0" w:firstColumn="0" w:lastColumn="0" w:noHBand="0" w:noVBand="1"/>
      </w:tblPr>
      <w:tblGrid>
        <w:gridCol w:w="1901"/>
        <w:gridCol w:w="3489"/>
      </w:tblGrid>
      <w:tr w:rsidR="00CC3260" w14:paraId="0A1B0B5A"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423DBB7"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P</w:t>
            </w:r>
            <w:r>
              <w:rPr>
                <w:rFonts w:eastAsia="Calibri" w:cs="Calibri"/>
                <w:b/>
                <w:color w:val="000000"/>
                <w:sz w:val="20"/>
                <w:szCs w:val="20"/>
              </w:rPr>
              <w:t>arameter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6EB0A79C"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jc w:val="center"/>
              <w:rPr>
                <w:rFonts w:eastAsia="Calibri" w:cs="Calibri"/>
                <w:b/>
                <w:color w:val="000000"/>
                <w:sz w:val="20"/>
                <w:szCs w:val="20"/>
              </w:rPr>
            </w:pPr>
            <w:r>
              <w:rPr>
                <w:rFonts w:eastAsia="Calibri" w:cs="Calibri"/>
                <w:b/>
                <w:color w:val="000000"/>
                <w:sz w:val="20"/>
                <w:szCs w:val="20"/>
              </w:rPr>
              <w:t>Threshold</w:t>
            </w:r>
          </w:p>
        </w:tc>
      </w:tr>
      <w:tr w:rsidR="00CC3260" w14:paraId="5C85458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A8F42F4"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Chloride</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5085A83"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&gt; 230 mg/L (chronic)</w:t>
            </w:r>
          </w:p>
        </w:tc>
      </w:tr>
      <w:tr w:rsidR="00CC3260" w14:paraId="5E3259EE"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7FCA3D10"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E. coli (beach)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C957EE9"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&gt; 88 </w:t>
            </w:r>
            <w:proofErr w:type="spellStart"/>
            <w:r>
              <w:rPr>
                <w:rFonts w:eastAsia="Calibri" w:cs="Calibri"/>
                <w:color w:val="000000"/>
                <w:sz w:val="20"/>
                <w:szCs w:val="20"/>
              </w:rPr>
              <w:t>cts</w:t>
            </w:r>
            <w:proofErr w:type="spellEnd"/>
            <w:r>
              <w:rPr>
                <w:rFonts w:eastAsia="Calibri" w:cs="Calibri"/>
                <w:color w:val="000000"/>
                <w:sz w:val="20"/>
                <w:szCs w:val="20"/>
              </w:rPr>
              <w:t>/100 mL</w:t>
            </w:r>
          </w:p>
        </w:tc>
      </w:tr>
      <w:tr w:rsidR="00CC3260" w14:paraId="4463CCA1"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CB0DC85"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E. coli (surface water)</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3808CB16"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 xml:space="preserve">&gt; 406 </w:t>
            </w:r>
            <w:proofErr w:type="spellStart"/>
            <w:r>
              <w:rPr>
                <w:rFonts w:eastAsia="Calibri" w:cs="Calibri"/>
                <w:color w:val="000000"/>
                <w:sz w:val="20"/>
                <w:szCs w:val="20"/>
              </w:rPr>
              <w:t>cts</w:t>
            </w:r>
            <w:proofErr w:type="spellEnd"/>
            <w:r>
              <w:rPr>
                <w:rFonts w:eastAsia="Calibri" w:cs="Calibri"/>
                <w:color w:val="000000"/>
                <w:sz w:val="20"/>
                <w:szCs w:val="20"/>
              </w:rPr>
              <w:t>/100 mL</w:t>
            </w:r>
          </w:p>
        </w:tc>
      </w:tr>
      <w:tr w:rsidR="00CC3260" w14:paraId="252CEA45"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3AE1AD3"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pH</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0947DE6E"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between 6.5-8.0 (unless naturally occurring)</w:t>
            </w:r>
          </w:p>
        </w:tc>
      </w:tr>
      <w:tr w:rsidR="00CC3260" w14:paraId="56FBFF28" w14:textId="77777777">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7241768"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b/>
                <w:color w:val="000000"/>
                <w:sz w:val="20"/>
                <w:szCs w:val="20"/>
              </w:rPr>
            </w:pPr>
            <w:r>
              <w:rPr>
                <w:rFonts w:eastAsia="Calibri" w:cs="Calibri"/>
                <w:b/>
                <w:color w:val="000000"/>
                <w:sz w:val="20"/>
                <w:szCs w:val="20"/>
              </w:rPr>
              <w:t>Turbidity</w:t>
            </w:r>
          </w:p>
        </w:tc>
        <w:tc>
          <w:tcPr>
            <w:tcW w:w="0" w:type="auto"/>
            <w:tcBorders>
              <w:top w:val="single" w:sz="8" w:space="0" w:color="000000"/>
              <w:left w:val="single" w:sz="8" w:space="0" w:color="000000"/>
              <w:bottom w:val="single" w:sz="8" w:space="0" w:color="000000"/>
              <w:right w:val="single" w:sz="8" w:space="0" w:color="000000"/>
            </w:tcBorders>
            <w:shd w:val="clear" w:color="auto" w:fill="DCE6F1"/>
            <w:tcMar>
              <w:top w:w="0" w:type="dxa"/>
              <w:left w:w="0" w:type="dxa"/>
              <w:bottom w:w="0" w:type="dxa"/>
              <w:right w:w="0" w:type="dxa"/>
            </w:tcMar>
            <w:vAlign w:val="center"/>
          </w:tcPr>
          <w:p w14:paraId="4EA2CF6A" w14:textId="77777777" w:rsidR="00CC3260" w:rsidRDefault="003C7FD9">
            <w:pPr>
              <w:pBdr>
                <w:top w:val="none" w:sz="0" w:space="0" w:color="000000"/>
                <w:left w:val="none" w:sz="0" w:space="0" w:color="000000"/>
                <w:bottom w:val="none" w:sz="0" w:space="0" w:color="000000"/>
                <w:right w:val="none" w:sz="0" w:space="0" w:color="000000"/>
              </w:pBdr>
              <w:spacing w:after="0" w:line="240" w:lineRule="auto"/>
              <w:ind w:left="100" w:right="100"/>
              <w:rPr>
                <w:rFonts w:eastAsia="Calibri" w:cs="Calibri"/>
                <w:color w:val="000000"/>
                <w:sz w:val="20"/>
                <w:szCs w:val="20"/>
              </w:rPr>
            </w:pPr>
            <w:r>
              <w:rPr>
                <w:rFonts w:eastAsia="Calibri" w:cs="Calibri"/>
                <w:color w:val="000000"/>
                <w:sz w:val="20"/>
                <w:szCs w:val="20"/>
              </w:rPr>
              <w:t>&gt; 10 NTU above natural</w:t>
            </w:r>
          </w:p>
        </w:tc>
      </w:tr>
      <w:bookmarkEnd w:id="0"/>
      <w:bookmarkEnd w:id="3"/>
      <w:bookmarkEnd w:id="4"/>
    </w:tbl>
    <w:p w14:paraId="1C787FB8" w14:textId="77777777" w:rsidR="003C7FD9" w:rsidRDefault="003C7FD9"/>
    <w:sectPr w:rsidR="00000000" w:rsidSect="004F010A">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ABB5" w14:textId="77777777" w:rsidR="003C7FD9" w:rsidRDefault="003C7FD9">
      <w:pPr>
        <w:spacing w:after="0" w:line="240" w:lineRule="auto"/>
      </w:pPr>
      <w:r>
        <w:separator/>
      </w:r>
    </w:p>
  </w:endnote>
  <w:endnote w:type="continuationSeparator" w:id="0">
    <w:p w14:paraId="579250B9" w14:textId="77777777" w:rsidR="003C7FD9" w:rsidRDefault="003C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895" w14:textId="77777777" w:rsidR="003C7FD9" w:rsidRDefault="003C7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BF00" w14:textId="77777777" w:rsidR="003C7FD9" w:rsidRPr="00405EAF" w:rsidRDefault="003C7FD9" w:rsidP="004B7480">
    <w:pPr>
      <w:pStyle w:val="Footer"/>
      <w:jc w:val="center"/>
      <w:rPr>
        <w:sz w:val="20"/>
        <w:szCs w:val="22"/>
      </w:rPr>
    </w:pPr>
    <w:hyperlink r:id="rId1" w:history="1">
      <w:r w:rsidRPr="00405EAF">
        <w:rPr>
          <w:rStyle w:val="Hyperlink"/>
          <w:sz w:val="20"/>
          <w:szCs w:val="22"/>
        </w:rPr>
        <w:t>NHDES Volunteer Lake Assessment Program</w:t>
      </w:r>
    </w:hyperlink>
    <w:r w:rsidRPr="00405EAF">
      <w:rPr>
        <w:sz w:val="20"/>
        <w:szCs w:val="22"/>
      </w:rPr>
      <w:t xml:space="preserve"> (VLAP) | </w:t>
    </w:r>
    <w:hyperlink r:id="rId2" w:history="1">
      <w:r w:rsidRPr="00AA1757">
        <w:rPr>
          <w:rStyle w:val="Hyperlink"/>
          <w:sz w:val="20"/>
          <w:szCs w:val="22"/>
        </w:rPr>
        <w:t>alyssa.n.daigle@des.nh.gov</w:t>
      </w:r>
    </w:hyperlink>
    <w:r>
      <w:rPr>
        <w:sz w:val="20"/>
        <w:szCs w:val="22"/>
      </w:rPr>
      <w:t xml:space="preserve"> | </w:t>
    </w:r>
    <w:hyperlink r:id="rId3" w:history="1">
      <w:r w:rsidRPr="00405EAF">
        <w:rPr>
          <w:rStyle w:val="Hyperlink"/>
          <w:sz w:val="20"/>
          <w:szCs w:val="22"/>
        </w:rPr>
        <w:t>(603) 271-2658</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01CA" w14:textId="77777777" w:rsidR="003C7FD9" w:rsidRPr="006A5328" w:rsidRDefault="003C7FD9" w:rsidP="006A5328">
    <w:pPr>
      <w:pStyle w:val="Footer"/>
      <w:jc w:val="center"/>
      <w:rPr>
        <w:sz w:val="20"/>
        <w:szCs w:val="22"/>
      </w:rPr>
    </w:pPr>
    <w:hyperlink r:id="rId1" w:history="1">
      <w:r w:rsidRPr="00405EAF">
        <w:rPr>
          <w:rStyle w:val="Hyperlink"/>
          <w:sz w:val="20"/>
          <w:szCs w:val="22"/>
        </w:rPr>
        <w:t>NHDES Volunteer Lake Assessment Program</w:t>
      </w:r>
    </w:hyperlink>
    <w:r w:rsidRPr="00405EAF">
      <w:rPr>
        <w:sz w:val="20"/>
        <w:szCs w:val="22"/>
      </w:rPr>
      <w:t xml:space="preserve"> (VLAP) </w:t>
    </w:r>
    <w:r>
      <w:t xml:space="preserve">| </w:t>
    </w:r>
    <w:hyperlink r:id="rId2" w:history="1">
      <w:r w:rsidRPr="00AA1757">
        <w:rPr>
          <w:rStyle w:val="Hyperlink"/>
        </w:rPr>
        <w:t>alyssa.n.daigle@des.nh.gov</w:t>
      </w:r>
    </w:hyperlink>
    <w:r>
      <w:t xml:space="preserve"> </w:t>
    </w:r>
    <w:r w:rsidRPr="00405EAF">
      <w:rPr>
        <w:sz w:val="20"/>
        <w:szCs w:val="22"/>
      </w:rPr>
      <w:t xml:space="preserve">| </w:t>
    </w:r>
    <w:hyperlink r:id="rId3" w:history="1">
      <w:r w:rsidRPr="00405EAF">
        <w:rPr>
          <w:rStyle w:val="Hyperlink"/>
          <w:sz w:val="20"/>
          <w:szCs w:val="22"/>
        </w:rPr>
        <w:t>(603) 271-2658</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9371" w14:textId="77777777" w:rsidR="003C7FD9" w:rsidRDefault="003C7FD9">
      <w:pPr>
        <w:spacing w:after="0" w:line="240" w:lineRule="auto"/>
      </w:pPr>
      <w:r>
        <w:separator/>
      </w:r>
    </w:p>
  </w:footnote>
  <w:footnote w:type="continuationSeparator" w:id="0">
    <w:p w14:paraId="72333C28" w14:textId="77777777" w:rsidR="003C7FD9" w:rsidRDefault="003C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1C87" w14:textId="77777777" w:rsidR="003C7FD9" w:rsidRDefault="003C7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9F25" w14:textId="77777777" w:rsidR="003C7FD9" w:rsidRDefault="003C7FD9" w:rsidP="002E2ADE">
    <w:pPr>
      <w:pStyle w:val="Header"/>
      <w:spacing w:line="480" w:lineRule="auto"/>
      <w:jc w:val="right"/>
    </w:pPr>
    <w:r w:rsidRPr="00383002">
      <w:rPr>
        <w:smallCaps/>
        <w:noProof/>
        <w:sz w:val="36"/>
        <w:szCs w:val="44"/>
      </w:rPr>
      <w:drawing>
        <wp:anchor distT="0" distB="0" distL="114300" distR="114300" simplePos="0" relativeHeight="251661312" behindDoc="1" locked="0" layoutInCell="1" allowOverlap="1" wp14:anchorId="3FDB73E6" wp14:editId="60FA1FBC">
          <wp:simplePos x="0" y="0"/>
          <wp:positionH relativeFrom="column">
            <wp:posOffset>-11430</wp:posOffset>
          </wp:positionH>
          <wp:positionV relativeFrom="paragraph">
            <wp:posOffset>-293076</wp:posOffset>
          </wp:positionV>
          <wp:extent cx="800100" cy="502920"/>
          <wp:effectExtent l="0" t="0" r="0" b="0"/>
          <wp:wrapTight wrapText="bothSides">
            <wp:wrapPolygon edited="0">
              <wp:start x="3600" y="0"/>
              <wp:lineTo x="0" y="5727"/>
              <wp:lineTo x="0" y="17182"/>
              <wp:lineTo x="1029" y="20455"/>
              <wp:lineTo x="14400" y="20455"/>
              <wp:lineTo x="21086" y="14727"/>
              <wp:lineTo x="21086" y="9818"/>
              <wp:lineTo x="11314" y="0"/>
              <wp:lineTo x="3600" y="0"/>
            </wp:wrapPolygon>
          </wp:wrapTight>
          <wp:docPr id="1268430764" name="DES logo" descr="Logo of the New Hampshire Department of Environmental Services or NH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 logo" descr="Logo of the New Hampshire Department of Environmental Services or NHD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5029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6B19A0">
      <w:t>LM-195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2CDC" w14:textId="77777777" w:rsidR="003C7FD9" w:rsidRDefault="003C7FD9" w:rsidP="00EC05F7">
    <w:pPr>
      <w:pStyle w:val="Header"/>
      <w:tabs>
        <w:tab w:val="left" w:pos="11340"/>
      </w:tabs>
      <w:spacing w:line="480" w:lineRule="auto"/>
      <w:ind w:right="270"/>
      <w:jc w:val="right"/>
    </w:pPr>
    <w:r w:rsidRPr="00383002">
      <w:rPr>
        <w:smallCaps/>
        <w:noProof/>
        <w:sz w:val="36"/>
        <w:szCs w:val="44"/>
      </w:rPr>
      <w:drawing>
        <wp:anchor distT="0" distB="0" distL="114300" distR="114300" simplePos="0" relativeHeight="251659264" behindDoc="1" locked="0" layoutInCell="1" allowOverlap="1" wp14:anchorId="76A05FB0" wp14:editId="0183CE77">
          <wp:simplePos x="0" y="0"/>
          <wp:positionH relativeFrom="column">
            <wp:posOffset>-47625</wp:posOffset>
          </wp:positionH>
          <wp:positionV relativeFrom="paragraph">
            <wp:posOffset>-190500</wp:posOffset>
          </wp:positionV>
          <wp:extent cx="800100" cy="502920"/>
          <wp:effectExtent l="0" t="0" r="0" b="0"/>
          <wp:wrapTight wrapText="bothSides">
            <wp:wrapPolygon edited="0">
              <wp:start x="3600" y="0"/>
              <wp:lineTo x="0" y="5727"/>
              <wp:lineTo x="0" y="17182"/>
              <wp:lineTo x="1029" y="20455"/>
              <wp:lineTo x="14400" y="20455"/>
              <wp:lineTo x="21086" y="14727"/>
              <wp:lineTo x="21086" y="9818"/>
              <wp:lineTo x="11314" y="0"/>
              <wp:lineTo x="3600" y="0"/>
            </wp:wrapPolygon>
          </wp:wrapTight>
          <wp:docPr id="1296175409" name="DES logo" descr="Logo of the New Hampshire Department of Environmental Services or NH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 logo" descr="Logo of the New Hampshire Department of Environmental Services or NHDES."/>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5029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LM-001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DE24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4C15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4193F48"/>
    <w:multiLevelType w:val="hybridMultilevel"/>
    <w:tmpl w:val="D1B0E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721201">
    <w:abstractNumId w:val="0"/>
  </w:num>
  <w:num w:numId="2" w16cid:durableId="428887742">
    <w:abstractNumId w:val="1"/>
  </w:num>
  <w:num w:numId="3" w16cid:durableId="464470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260"/>
    <w:rsid w:val="003C7FD9"/>
    <w:rsid w:val="00746375"/>
    <w:rsid w:val="008569FD"/>
    <w:rsid w:val="00CC3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2E31"/>
  <w15:docId w15:val="{5A0A3C39-1FEE-4E51-8FCF-E6A7EFEA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744"/>
  </w:style>
  <w:style w:type="paragraph" w:styleId="Heading1">
    <w:name w:val="heading 1"/>
    <w:basedOn w:val="Normal"/>
    <w:next w:val="Normal"/>
    <w:link w:val="Heading1Char"/>
    <w:autoRedefine/>
    <w:uiPriority w:val="9"/>
    <w:qFormat/>
    <w:rsid w:val="0048023D"/>
    <w:pPr>
      <w:keepNext/>
      <w:keepLines/>
      <w:spacing w:before="360" w:after="80"/>
      <w:jc w:val="center"/>
      <w:outlineLvl w:val="0"/>
    </w:pPr>
    <w:rPr>
      <w:rFonts w:eastAsiaTheme="majorEastAsia" w:cstheme="majorBidi"/>
      <w:color w:val="156082" w:themeColor="accent1"/>
      <w:sz w:val="36"/>
      <w:szCs w:val="40"/>
    </w:rPr>
  </w:style>
  <w:style w:type="paragraph" w:styleId="Heading2">
    <w:name w:val="heading 2"/>
    <w:basedOn w:val="Normal"/>
    <w:next w:val="Normal"/>
    <w:link w:val="Heading2Char"/>
    <w:autoRedefine/>
    <w:uiPriority w:val="9"/>
    <w:unhideWhenUsed/>
    <w:qFormat/>
    <w:rsid w:val="003C7078"/>
    <w:pPr>
      <w:keepNext/>
      <w:keepLines/>
      <w:contextualSpacing/>
      <w:jc w:val="center"/>
      <w:outlineLvl w:val="1"/>
    </w:pPr>
    <w:rPr>
      <w:rFonts w:eastAsiaTheme="majorEastAsia" w:cstheme="majorBidi"/>
      <w:b/>
      <w:color w:val="156082" w:themeColor="accent1"/>
      <w:sz w:val="30"/>
      <w:szCs w:val="32"/>
    </w:rPr>
  </w:style>
  <w:style w:type="paragraph" w:styleId="Heading3">
    <w:name w:val="heading 3"/>
    <w:basedOn w:val="Normal"/>
    <w:next w:val="Normal"/>
    <w:link w:val="Heading3Char"/>
    <w:autoRedefine/>
    <w:uiPriority w:val="9"/>
    <w:unhideWhenUsed/>
    <w:qFormat/>
    <w:rsid w:val="00DC6BBA"/>
    <w:pPr>
      <w:keepNext/>
      <w:keepLines/>
      <w:spacing w:before="160" w:after="80"/>
      <w:jc w:val="center"/>
      <w:outlineLvl w:val="2"/>
    </w:pPr>
    <w:rPr>
      <w:rFonts w:eastAsiaTheme="majorEastAsia" w:cstheme="majorBidi"/>
      <w:color w:val="156082" w:themeColor="accent1"/>
      <w:sz w:val="26"/>
      <w:szCs w:val="28"/>
    </w:rPr>
  </w:style>
  <w:style w:type="paragraph" w:styleId="Heading4">
    <w:name w:val="heading 4"/>
    <w:basedOn w:val="Normal"/>
    <w:next w:val="Normal"/>
    <w:link w:val="Heading4Char"/>
    <w:uiPriority w:val="9"/>
    <w:unhideWhenUsed/>
    <w:qFormat/>
    <w:rsid w:val="00B4124C"/>
    <w:pPr>
      <w:keepNext/>
      <w:keepLines/>
      <w:spacing w:before="80" w:after="40"/>
      <w:jc w:val="center"/>
      <w:outlineLvl w:val="3"/>
    </w:pPr>
    <w:rPr>
      <w:rFonts w:eastAsiaTheme="majorEastAsia" w:cstheme="majorBidi"/>
      <w:iCs/>
      <w:color w:val="156082" w:themeColor="accent1"/>
    </w:rPr>
  </w:style>
  <w:style w:type="paragraph" w:styleId="Heading5">
    <w:name w:val="heading 5"/>
    <w:basedOn w:val="Normal"/>
    <w:next w:val="Normal"/>
    <w:link w:val="Heading5Char"/>
    <w:uiPriority w:val="9"/>
    <w:unhideWhenUsed/>
    <w:qFormat/>
    <w:rsid w:val="00F54A12"/>
    <w:pPr>
      <w:keepNext/>
      <w:keepLines/>
      <w:spacing w:before="80" w:after="40"/>
      <w:jc w:val="center"/>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4B7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7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23D"/>
    <w:rPr>
      <w:rFonts w:eastAsiaTheme="majorEastAsia" w:cstheme="majorBidi"/>
      <w:color w:val="156082" w:themeColor="accent1"/>
      <w:sz w:val="36"/>
      <w:szCs w:val="40"/>
    </w:rPr>
  </w:style>
  <w:style w:type="character" w:customStyle="1" w:styleId="Heading2Char">
    <w:name w:val="Heading 2 Char"/>
    <w:basedOn w:val="DefaultParagraphFont"/>
    <w:link w:val="Heading2"/>
    <w:uiPriority w:val="9"/>
    <w:rsid w:val="003C7078"/>
    <w:rPr>
      <w:rFonts w:eastAsiaTheme="majorEastAsia" w:cstheme="majorBidi"/>
      <w:b/>
      <w:color w:val="156082" w:themeColor="accent1"/>
      <w:sz w:val="30"/>
      <w:szCs w:val="32"/>
    </w:rPr>
  </w:style>
  <w:style w:type="character" w:customStyle="1" w:styleId="Heading3Char">
    <w:name w:val="Heading 3 Char"/>
    <w:basedOn w:val="DefaultParagraphFont"/>
    <w:link w:val="Heading3"/>
    <w:uiPriority w:val="9"/>
    <w:rsid w:val="00DC6BBA"/>
    <w:rPr>
      <w:rFonts w:eastAsiaTheme="majorEastAsia" w:cstheme="majorBidi"/>
      <w:color w:val="156082" w:themeColor="accent1"/>
      <w:sz w:val="26"/>
      <w:szCs w:val="28"/>
    </w:rPr>
  </w:style>
  <w:style w:type="character" w:customStyle="1" w:styleId="Heading4Char">
    <w:name w:val="Heading 4 Char"/>
    <w:basedOn w:val="DefaultParagraphFont"/>
    <w:link w:val="Heading4"/>
    <w:uiPriority w:val="9"/>
    <w:rsid w:val="00B4124C"/>
    <w:rPr>
      <w:rFonts w:eastAsiaTheme="majorEastAsia" w:cstheme="majorBidi"/>
      <w:iCs/>
      <w:color w:val="156082" w:themeColor="accent1"/>
      <w:sz w:val="22"/>
    </w:rPr>
  </w:style>
  <w:style w:type="character" w:customStyle="1" w:styleId="Heading5Char">
    <w:name w:val="Heading 5 Char"/>
    <w:basedOn w:val="DefaultParagraphFont"/>
    <w:link w:val="Heading5"/>
    <w:uiPriority w:val="9"/>
    <w:rsid w:val="00F54A12"/>
    <w:rPr>
      <w:rFonts w:eastAsiaTheme="majorEastAsia" w:cstheme="majorBidi"/>
      <w:color w:val="000000" w:themeColor="text1"/>
    </w:rPr>
  </w:style>
  <w:style w:type="character" w:customStyle="1" w:styleId="Heading6Char">
    <w:name w:val="Heading 6 Char"/>
    <w:basedOn w:val="DefaultParagraphFont"/>
    <w:link w:val="Heading6"/>
    <w:uiPriority w:val="9"/>
    <w:rsid w:val="004B7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7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80"/>
    <w:rPr>
      <w:rFonts w:eastAsiaTheme="majorEastAsia" w:cstheme="majorBidi"/>
      <w:color w:val="272727" w:themeColor="text1" w:themeTint="D8"/>
    </w:rPr>
  </w:style>
  <w:style w:type="paragraph" w:styleId="Title">
    <w:name w:val="Title"/>
    <w:basedOn w:val="Normal"/>
    <w:next w:val="Normal"/>
    <w:link w:val="TitleChar"/>
    <w:uiPriority w:val="10"/>
    <w:qFormat/>
    <w:rsid w:val="00367BED"/>
    <w:pPr>
      <w:spacing w:after="0"/>
      <w:contextualSpacing/>
      <w:jc w:val="center"/>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367BED"/>
    <w:rPr>
      <w:rFonts w:eastAsiaTheme="majorEastAsia" w:cstheme="majorBidi"/>
      <w:b/>
      <w:spacing w:val="-10"/>
      <w:kern w:val="28"/>
      <w:sz w:val="52"/>
      <w:szCs w:val="56"/>
    </w:rPr>
  </w:style>
  <w:style w:type="paragraph" w:styleId="Subtitle">
    <w:name w:val="Subtitle"/>
    <w:basedOn w:val="Normal"/>
    <w:next w:val="Normal"/>
    <w:link w:val="SubtitleChar"/>
    <w:autoRedefine/>
    <w:uiPriority w:val="11"/>
    <w:qFormat/>
    <w:rsid w:val="000469D8"/>
    <w:pPr>
      <w:numPr>
        <w:ilvl w:val="1"/>
      </w:numPr>
      <w:jc w:val="center"/>
    </w:pPr>
    <w:rPr>
      <w:rFonts w:eastAsiaTheme="majorEastAsia" w:cstheme="majorBidi"/>
      <w:color w:val="156082" w:themeColor="accent1"/>
      <w:spacing w:val="15"/>
      <w:sz w:val="28"/>
      <w:szCs w:val="28"/>
    </w:rPr>
  </w:style>
  <w:style w:type="character" w:customStyle="1" w:styleId="SubtitleChar">
    <w:name w:val="Subtitle Char"/>
    <w:basedOn w:val="DefaultParagraphFont"/>
    <w:link w:val="Subtitle"/>
    <w:uiPriority w:val="11"/>
    <w:rsid w:val="000469D8"/>
    <w:rPr>
      <w:rFonts w:eastAsiaTheme="majorEastAsia" w:cstheme="majorBidi"/>
      <w:color w:val="156082" w:themeColor="accent1"/>
      <w:spacing w:val="15"/>
      <w:sz w:val="28"/>
      <w:szCs w:val="28"/>
    </w:rPr>
  </w:style>
  <w:style w:type="paragraph" w:styleId="Quote">
    <w:name w:val="Quote"/>
    <w:basedOn w:val="Normal"/>
    <w:next w:val="Normal"/>
    <w:link w:val="QuoteChar"/>
    <w:uiPriority w:val="29"/>
    <w:qFormat/>
    <w:rsid w:val="004B7480"/>
    <w:pPr>
      <w:spacing w:before="160"/>
      <w:jc w:val="center"/>
    </w:pPr>
    <w:rPr>
      <w:i/>
      <w:iCs/>
      <w:color w:val="404040" w:themeColor="text1" w:themeTint="BF"/>
    </w:rPr>
  </w:style>
  <w:style w:type="character" w:customStyle="1" w:styleId="QuoteChar">
    <w:name w:val="Quote Char"/>
    <w:basedOn w:val="DefaultParagraphFont"/>
    <w:link w:val="Quote"/>
    <w:uiPriority w:val="29"/>
    <w:rsid w:val="004B7480"/>
    <w:rPr>
      <w:i/>
      <w:iCs/>
      <w:color w:val="404040" w:themeColor="text1" w:themeTint="BF"/>
    </w:rPr>
  </w:style>
  <w:style w:type="paragraph" w:styleId="ListParagraph">
    <w:name w:val="List Paragraph"/>
    <w:basedOn w:val="Normal"/>
    <w:uiPriority w:val="34"/>
    <w:qFormat/>
    <w:rsid w:val="004B7480"/>
    <w:pPr>
      <w:ind w:left="720"/>
      <w:contextualSpacing/>
    </w:pPr>
  </w:style>
  <w:style w:type="character" w:styleId="IntenseEmphasis">
    <w:name w:val="Intense Emphasis"/>
    <w:basedOn w:val="DefaultParagraphFont"/>
    <w:uiPriority w:val="21"/>
    <w:qFormat/>
    <w:rsid w:val="004B7480"/>
    <w:rPr>
      <w:i/>
      <w:iCs/>
      <w:color w:val="0F4761" w:themeColor="accent1" w:themeShade="BF"/>
    </w:rPr>
  </w:style>
  <w:style w:type="paragraph" w:styleId="IntenseQuote">
    <w:name w:val="Intense Quote"/>
    <w:basedOn w:val="Normal"/>
    <w:next w:val="Normal"/>
    <w:link w:val="IntenseQuoteChar"/>
    <w:uiPriority w:val="30"/>
    <w:qFormat/>
    <w:rsid w:val="004B7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80"/>
    <w:rPr>
      <w:i/>
      <w:iCs/>
      <w:color w:val="0F4761" w:themeColor="accent1" w:themeShade="BF"/>
    </w:rPr>
  </w:style>
  <w:style w:type="character" w:styleId="IntenseReference">
    <w:name w:val="Intense Reference"/>
    <w:basedOn w:val="DefaultParagraphFont"/>
    <w:uiPriority w:val="32"/>
    <w:qFormat/>
    <w:rsid w:val="004B7480"/>
    <w:rPr>
      <w:b/>
      <w:bCs/>
      <w:smallCaps/>
      <w:color w:val="0F4761" w:themeColor="accent1" w:themeShade="BF"/>
      <w:spacing w:val="5"/>
    </w:rPr>
  </w:style>
  <w:style w:type="paragraph" w:styleId="Header">
    <w:name w:val="header"/>
    <w:basedOn w:val="Normal"/>
    <w:link w:val="HeaderChar"/>
    <w:uiPriority w:val="99"/>
    <w:unhideWhenUsed/>
    <w:rsid w:val="004B7480"/>
    <w:pPr>
      <w:tabs>
        <w:tab w:val="center" w:pos="4680"/>
        <w:tab w:val="right" w:pos="9360"/>
      </w:tabs>
      <w:spacing w:after="0"/>
    </w:pPr>
  </w:style>
  <w:style w:type="character" w:customStyle="1" w:styleId="HeaderChar">
    <w:name w:val="Header Char"/>
    <w:basedOn w:val="DefaultParagraphFont"/>
    <w:link w:val="Header"/>
    <w:uiPriority w:val="99"/>
    <w:rsid w:val="004B7480"/>
  </w:style>
  <w:style w:type="paragraph" w:styleId="Footer">
    <w:name w:val="footer"/>
    <w:basedOn w:val="Normal"/>
    <w:link w:val="FooterChar"/>
    <w:uiPriority w:val="99"/>
    <w:unhideWhenUsed/>
    <w:rsid w:val="004B7480"/>
    <w:pPr>
      <w:tabs>
        <w:tab w:val="center" w:pos="4680"/>
        <w:tab w:val="right" w:pos="9360"/>
      </w:tabs>
      <w:spacing w:after="0"/>
    </w:pPr>
  </w:style>
  <w:style w:type="character" w:customStyle="1" w:styleId="FooterChar">
    <w:name w:val="Footer Char"/>
    <w:basedOn w:val="DefaultParagraphFont"/>
    <w:link w:val="Footer"/>
    <w:uiPriority w:val="99"/>
    <w:rsid w:val="004B7480"/>
  </w:style>
  <w:style w:type="character" w:styleId="Hyperlink">
    <w:name w:val="Hyperlink"/>
    <w:basedOn w:val="DefaultParagraphFont"/>
    <w:uiPriority w:val="99"/>
    <w:unhideWhenUsed/>
    <w:rsid w:val="004B7480"/>
    <w:rPr>
      <w:color w:val="0000FF" w:themeColor="hyperlink"/>
      <w:u w:val="single"/>
    </w:rPr>
  </w:style>
  <w:style w:type="table" w:styleId="TableGrid">
    <w:name w:val="Table Grid"/>
    <w:aliases w:val="Parameter"/>
    <w:basedOn w:val="TableNormal"/>
    <w:uiPriority w:val="39"/>
    <w:rsid w:val="00301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5C9EB" w:themeFill="text2" w:themeFillTint="40"/>
    </w:tcPr>
    <w:tblStylePr w:type="firstRow">
      <w:rPr>
        <w:b/>
      </w:rPr>
    </w:tblStylePr>
    <w:tblStylePr w:type="firstCol">
      <w:pPr>
        <w:jc w:val="left"/>
      </w:pPr>
      <w:rPr>
        <w:rFonts w:asciiTheme="minorHAnsi" w:hAnsiTheme="minorHAnsi"/>
        <w:b/>
        <w:sz w:val="22"/>
      </w:rPr>
      <w:tblPr/>
      <w:tcPr>
        <w:vAlign w:val="center"/>
      </w:tcPr>
    </w:tblStylePr>
  </w:style>
  <w:style w:type="paragraph" w:customStyle="1" w:styleId="CenteredImage">
    <w:name w:val="CenteredImage"/>
    <w:basedOn w:val="Normal"/>
    <w:qFormat/>
    <w:rsid w:val="00E32142"/>
    <w:pPr>
      <w:jc w:val="center"/>
    </w:pPr>
  </w:style>
  <w:style w:type="character" w:styleId="FollowedHyperlink">
    <w:name w:val="FollowedHyperlink"/>
    <w:basedOn w:val="DefaultParagraphFont"/>
    <w:uiPriority w:val="99"/>
    <w:semiHidden/>
    <w:unhideWhenUsed/>
    <w:rsid w:val="005F32DD"/>
    <w:rPr>
      <w:color w:val="96607D" w:themeColor="followedHyperlink"/>
      <w:u w:val="single"/>
    </w:rPr>
  </w:style>
  <w:style w:type="character" w:styleId="UnresolvedMention">
    <w:name w:val="Unresolved Mention"/>
    <w:basedOn w:val="DefaultParagraphFont"/>
    <w:uiPriority w:val="99"/>
    <w:semiHidden/>
    <w:unhideWhenUsed/>
    <w:rsid w:val="008F2F4B"/>
    <w:rPr>
      <w:color w:val="605E5C"/>
      <w:shd w:val="clear" w:color="auto" w:fill="E1DFDD"/>
    </w:rPr>
  </w:style>
  <w:style w:type="paragraph" w:customStyle="1" w:styleId="tablecaption">
    <w:name w:val="table caption"/>
    <w:basedOn w:val="Normal"/>
    <w:link w:val="tablecaptionChar"/>
    <w:autoRedefine/>
    <w:qFormat/>
    <w:rsid w:val="008569FD"/>
    <w:pPr>
      <w:spacing w:before="240"/>
      <w:jc w:val="center"/>
    </w:pPr>
    <w:rPr>
      <w:color w:val="156082" w:themeColor="accent1"/>
    </w:rPr>
  </w:style>
  <w:style w:type="character" w:customStyle="1" w:styleId="tablecaptionChar">
    <w:name w:val="table caption Char"/>
    <w:basedOn w:val="DefaultParagraphFont"/>
    <w:link w:val="tablecaption"/>
    <w:rsid w:val="008569FD"/>
    <w:rPr>
      <w:color w:val="156082" w:themeColor="accent1"/>
    </w:rPr>
  </w:style>
  <w:style w:type="paragraph" w:customStyle="1" w:styleId="figurecaption">
    <w:name w:val="figure caption"/>
    <w:basedOn w:val="Normal"/>
    <w:link w:val="figurecaptionChar"/>
    <w:autoRedefine/>
    <w:qFormat/>
    <w:rsid w:val="000469D8"/>
  </w:style>
  <w:style w:type="character" w:customStyle="1" w:styleId="figurecaptionChar">
    <w:name w:val="figure caption Char"/>
    <w:basedOn w:val="DefaultParagraphFont"/>
    <w:link w:val="figurecaption"/>
    <w:rsid w:val="000469D8"/>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septic/septic-system-care-and-maintenance" TargetMode="Externa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aine.gov/dep/land/watershed/camp/road/"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tension.unh.edu/sites/default/files/migrated_unmanaged_files/Resource004159_Rep5940.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des.nh.gov/sites/g/files/ehbemt341/files/documents/2020-01/homeowner-guide-stormwater.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des.nh.gov/sites/g/files/ehbemt341/files/documents/2020-01/sp-2.pdf" TargetMode="Externa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tel:+16032712658" TargetMode="External"/><Relationship Id="rId2" Type="http://schemas.openxmlformats.org/officeDocument/2006/relationships/hyperlink" Target="mailto:alyssa.n.daigle@des.nh.gov" TargetMode="External"/><Relationship Id="rId1" Type="http://schemas.openxmlformats.org/officeDocument/2006/relationships/hyperlink" Target="https://www.des.nh.gov/water/rivers-and-lakes/volunteer-assessment-programs"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tel:+16032712658" TargetMode="External"/><Relationship Id="rId2" Type="http://schemas.openxmlformats.org/officeDocument/2006/relationships/hyperlink" Target="mailto:alyssa.n.daigle@des.nh.gov" TargetMode="External"/><Relationship Id="rId1" Type="http://schemas.openxmlformats.org/officeDocument/2006/relationships/hyperlink" Target="https://www.des.nh.gov/water/rivers-and-lakes/volunteer-assessment-program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9">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873</Words>
  <Characters>5241</Characters>
  <Application>Microsoft Office Word</Application>
  <DocSecurity>0</DocSecurity>
  <Lines>71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Akers Pond Errol 2025 VLAP Report</dc:title>
  <dc:creator>Alyssa Daigle</dc:creator>
  <cp:keywords>vlap, report, 2025, Watershed Management, vlapreport, AKERS POND, ERROL</cp:keywords>
  <cp:lastModifiedBy>Alyssa Daigle</cp:lastModifiedBy>
  <cp:revision>2</cp:revision>
  <dcterms:created xsi:type="dcterms:W3CDTF">2026-04-03T18:30:00Z</dcterms:created>
  <dcterms:modified xsi:type="dcterms:W3CDTF">2026-04-03T18:30:00Z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keywords">
    <vt:lpwstr>vlap, report, 2025, Watershed Management, vlapreport, AKERS POND, ERROL</vt:lpwstr>
  </property>
</Properties>
</file>