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5.png" ContentType="image/png"/>
  <Override PartName="/word/media/rId22.png" ContentType="image/png"/>
  <Override PartName="/word/media/rId31.jpg" ContentType="image/jpeg"/>
  <Override PartName="/word/media/rId2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p>
      <w:pPr>
        <w:pStyle w:val="SourceCode"/>
      </w:pPr>
      <w:r>
        <w:rPr>
          <w:rStyle w:val="VerbatimChar"/>
        </w:rPr>
        <w:t xml:space="preserve">## ##### **Historical Water Quality Trend Summary for OSSOSSD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500"/>
        <w:tblLook w:firstRow="1" w:lastRow="0" w:firstColumn="0" w:lastColumn="0" w:noHBand="0" w:noVBand="1"/>
      </w:tblPr>
      <w:tr>
        <w:trPr>
          <w:trHeight w:val="54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Trend</w:t>
            </w:r>
          </w:p>
        </w:tc>
      </w:tr>
      <w:tr>
        <w:trPr>
          <w:trHeight w:val="58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r>
        <w:trPr>
          <w:trHeight w:val="58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r>
        <w:trPr>
          <w:trHeight w:val="577"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r>
        <w:trPr>
          <w:trHeight w:val="58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Worsening</w:t>
            </w:r>
          </w:p>
        </w:tc>
      </w:tr>
      <w:tr>
        <w:trPr>
          <w:trHeight w:val="580"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r>
        <w:trPr>
          <w:trHeight w:val="580"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bl>
    <w:bookmarkEnd w:id="21"/>
    <w:bookmarkStart w:id="39" w:name="historical-water-quality-graphics"/>
    <w:p>
      <w:pPr>
        <w:pStyle w:val="Heading3"/>
      </w:pPr>
      <w:r>
        <w:rPr>
          <w:b/>
          <w:bCs/>
        </w:rPr>
        <w:t xml:space="preserve">HISTORICAL WATER QUALITY GRAPHICS</w:t>
      </w:r>
    </w:p>
    <w:p>
      <w:pPr>
        <w:pStyle w:val="FirstParagraph"/>
      </w:pPr>
      <w:r>
        <w:drawing>
          <wp:inline>
            <wp:extent cx="3291840" cy="1881051"/>
            <wp:effectExtent b="0" l="0" r="0" t="0"/>
            <wp:docPr descr="" title="" id="23" name="Picture"/>
            <a:graphic>
              <a:graphicData uri="http://schemas.openxmlformats.org/drawingml/2006/picture">
                <pic:pic>
                  <pic:nvPicPr>
                    <pic:cNvPr descr="../plots/pH_conduc/OSSOSSD_pH_conduc.png" id="24" name="Picture"/>
                    <pic:cNvPicPr>
                      <a:picLocks noChangeArrowheads="1" noChangeAspect="1"/>
                    </pic:cNvPicPr>
                  </pic:nvPicPr>
                  <pic:blipFill>
                    <a:blip r:embed="rId22"/>
                    <a:stretch>
                      <a:fillRect/>
                    </a:stretch>
                  </pic:blipFill>
                  <pic:spPr bwMode="auto">
                    <a:xfrm>
                      <a:off x="0" y="0"/>
                      <a:ext cx="3291840" cy="1881051"/>
                    </a:xfrm>
                    <a:prstGeom prst="rect">
                      <a:avLst/>
                    </a:prstGeom>
                    <a:noFill/>
                    <a:ln w="9525">
                      <a:noFill/>
                      <a:headEnd/>
                      <a:tailEnd/>
                    </a:ln>
                  </pic:spPr>
                </pic:pic>
              </a:graphicData>
            </a:graphic>
          </wp:inline>
        </w:drawing>
      </w:r>
      <w:r>
        <w:drawing>
          <wp:inline>
            <wp:extent cx="3291840" cy="1881051"/>
            <wp:effectExtent b="0" l="0" r="0" t="0"/>
            <wp:docPr descr="" title="" id="26" name="Picture"/>
            <a:graphic>
              <a:graphicData uri="http://schemas.openxmlformats.org/drawingml/2006/picture">
                <pic:pic>
                  <pic:nvPicPr>
                    <pic:cNvPr descr="../plots/chl_tp_secchi/OSSOSSD_tp_chl_secchi.png" id="27" name="Picture"/>
                    <pic:cNvPicPr>
                      <a:picLocks noChangeArrowheads="1" noChangeAspect="1"/>
                    </pic:cNvPicPr>
                  </pic:nvPicPr>
                  <pic:blipFill>
                    <a:blip r:embed="rId25"/>
                    <a:stretch>
                      <a:fillRect/>
                    </a:stretch>
                  </pic:blipFill>
                  <pic:spPr bwMode="auto">
                    <a:xfrm>
                      <a:off x="0" y="0"/>
                      <a:ext cx="3291840" cy="1881051"/>
                    </a:xfrm>
                    <a:prstGeom prst="rect">
                      <a:avLst/>
                    </a:prstGeom>
                    <a:noFill/>
                    <a:ln w="9525">
                      <a:noFill/>
                      <a:headEnd/>
                      <a:tailEnd/>
                    </a:ln>
                  </pic:spPr>
                </pic:pic>
              </a:graphicData>
            </a:graphic>
          </wp:inline>
        </w:drawing>
      </w:r>
      <w:r>
        <w:drawing>
          <wp:inline>
            <wp:extent cx="3291840" cy="2194560"/>
            <wp:effectExtent b="0" l="0" r="0" t="0"/>
            <wp:docPr descr="" title="" id="29" name="Picture"/>
            <a:graphic>
              <a:graphicData uri="http://schemas.openxmlformats.org/drawingml/2006/picture">
                <pic:pic>
                  <pic:nvPicPr>
                    <pic:cNvPr descr="../plots/temp_DO/OSSOSSD_profile.jpg" id="30" name="Picture"/>
                    <pic:cNvPicPr>
                      <a:picLocks noChangeArrowheads="1" noChangeAspect="1"/>
                    </pic:cNvPicPr>
                  </pic:nvPicPr>
                  <pic:blipFill>
                    <a:blip r:embed="rId28"/>
                    <a:stretch>
                      <a:fillRect/>
                    </a:stretch>
                  </pic:blipFill>
                  <pic:spPr bwMode="auto">
                    <a:xfrm>
                      <a:off x="0" y="0"/>
                      <a:ext cx="3291840" cy="2194560"/>
                    </a:xfrm>
                    <a:prstGeom prst="rect">
                      <a:avLst/>
                    </a:prstGeom>
                    <a:noFill/>
                    <a:ln w="9525">
                      <a:noFill/>
                      <a:headEnd/>
                      <a:tailEnd/>
                    </a:ln>
                  </pic:spPr>
                </pic:pic>
              </a:graphicData>
            </a:graphic>
          </wp:inline>
        </w:drawing>
      </w:r>
      <w:r>
        <w:drawing>
          <wp:inline>
            <wp:extent cx="3291840" cy="2194560"/>
            <wp:effectExtent b="0" l="0" r="0" t="0"/>
            <wp:docPr descr="" title="" id="32" name="Picture"/>
            <a:graphic>
              <a:graphicData uri="http://schemas.openxmlformats.org/drawingml/2006/picture">
                <pic:pic>
                  <pic:nvPicPr>
                    <pic:cNvPr descr="../plots/plankton/OSSOSSD_plankton.jpg" id="33" name="Picture"/>
                    <pic:cNvPicPr>
                      <a:picLocks noChangeArrowheads="1" noChangeAspect="1"/>
                    </pic:cNvPicPr>
                  </pic:nvPicPr>
                  <pic:blipFill>
                    <a:blip r:embed="rId31"/>
                    <a:stretch>
                      <a:fillRect/>
                    </a:stretch>
                  </pic:blipFill>
                  <pic:spPr bwMode="auto">
                    <a:xfrm>
                      <a:off x="0" y="0"/>
                      <a:ext cx="3291840" cy="2194560"/>
                    </a:xfrm>
                    <a:prstGeom prst="rect">
                      <a:avLst/>
                    </a:prstGeom>
                    <a:noFill/>
                    <a:ln w="9525">
                      <a:noFill/>
                      <a:headEnd/>
                      <a:tailEnd/>
                    </a:ln>
                  </pic:spPr>
                </pic:pic>
              </a:graphicData>
            </a:graphic>
          </wp:inline>
        </w:drawing>
      </w:r>
    </w:p>
    <w:p>
      <w:pPr>
        <w:pStyle w:val="BodyText"/>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38" w:name="X57e6967cde2dae0d27644a1a767a73845b2c70e"/>
    <w:p>
      <w:pPr>
        <w:pStyle w:val="Heading4"/>
      </w:pPr>
      <w:r>
        <w:rPr>
          <w:b/>
          <w:bCs/>
        </w:rPr>
        <w:t xml:space="preserve">HOW DOES YOUR LAKE COMPARE TO NEW HAMPSHIRE LAKES &amp; WATER QUALITY STANDARDS?</w:t>
      </w:r>
    </w:p>
    <w:bookmarkStart w:id="34" w:name="X293bab81eccfd92a8e17e5eec91c270b09e5bad"/>
    <w:p>
      <w:pPr>
        <w:pStyle w:val="Heading5"/>
      </w:pPr>
      <w:r>
        <w:rPr>
          <w:b/>
          <w:bCs/>
        </w:rPr>
        <w:t xml:space="preserve">New Hampshire Median Lake Water Quality Values</w:t>
      </w:r>
    </w:p>
    <w:bookmarkEnd w:id="34"/>
    <w:bookmarkStart w:id="35"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4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Median Value</w:t>
            </w:r>
          </w:p>
        </w:tc>
      </w:tr>
      <w:tr>
        <w:trPr>
          <w:trHeight w:val="58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4.5 mg/L</w:t>
            </w:r>
          </w:p>
        </w:tc>
      </w:tr>
      <w:tr>
        <w:trPr>
          <w:trHeight w:val="58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4.39 ug/L</w:t>
            </w:r>
          </w:p>
        </w:tc>
      </w:tr>
      <w:tr>
        <w:trPr>
          <w:trHeight w:val="58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5 mg/L</w:t>
            </w:r>
          </w:p>
        </w:tc>
      </w:tr>
      <w:tr>
        <w:trPr>
          <w:trHeight w:val="58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42.3 uS/cm</w:t>
            </w:r>
          </w:p>
        </w:tc>
      </w:tr>
      <w:tr>
        <w:trPr>
          <w:trHeight w:val="580"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11 ug/L</w:t>
            </w:r>
          </w:p>
        </w:tc>
      </w:tr>
      <w:tr>
        <w:trPr>
          <w:trHeight w:val="577"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3.3 m</w:t>
            </w:r>
          </w:p>
        </w:tc>
      </w:tr>
      <w:tr>
        <w:trPr>
          <w:trHeight w:val="575"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6.6</w:t>
            </w:r>
          </w:p>
        </w:tc>
      </w:tr>
    </w:tbl>
    <w:bookmarkEnd w:id="35"/>
    <w:bookmarkStart w:id="36" w:name="new-hampshire-water-quality-standards"/>
    <w:p>
      <w:pPr>
        <w:pStyle w:val="Heading5"/>
      </w:pPr>
      <w:r>
        <w:rPr>
          <w:b/>
          <w:bCs/>
        </w:rPr>
        <w:t xml:space="preserve">New Hampshire Water Quality Standards</w:t>
      </w:r>
    </w:p>
    <w:bookmarkEnd w:id="36"/>
    <w:bookmarkStart w:id="37" w:name="X85932bd6b3c4476162284717e68c46f21eb0e55"/>
    <w:p>
      <w:pPr>
        <w:pStyle w:val="Heading5"/>
      </w:pPr>
      <w:r>
        <w:rPr>
          <w:i/>
          <w:iCs/>
        </w:rPr>
        <w:t xml:space="preserve">Numeric criteria for specific parameters. 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4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Threshold</w:t>
            </w:r>
          </w:p>
        </w:tc>
      </w:tr>
      <w:tr>
        <w:trPr>
          <w:trHeight w:val="58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230 mg/L (chronic)</w:t>
            </w:r>
          </w:p>
        </w:tc>
      </w:tr>
      <w:tr>
        <w:trPr>
          <w:trHeight w:val="58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88 cts/100 mL</w:t>
            </w:r>
          </w:p>
        </w:tc>
      </w:tr>
      <w:tr>
        <w:trPr>
          <w:trHeight w:val="58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406 cts/100 mL</w:t>
            </w:r>
          </w:p>
        </w:tc>
      </w:tr>
      <w:tr>
        <w:trPr>
          <w:trHeight w:val="58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between 6.5-8.0 (unless naturally occurring)</w:t>
            </w:r>
          </w:p>
        </w:tc>
      </w:tr>
      <w:tr>
        <w:trPr>
          <w:trHeight w:val="577"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10 NTU above natural</w:t>
            </w:r>
          </w:p>
        </w:tc>
      </w:tr>
    </w:tbl>
    <w:bookmarkEnd w:id="37"/>
    <w:bookmarkEnd w:id="38"/>
    <w:bookmarkEnd w:id="39"/>
    <w:sectPr w:rsidR="00E56FBC" w:rsidSect="00920CA5">
      <w:headerReference r:id="rId10" w:type="even"/>
      <w:headerReference r:id="rId9" w:type="default"/>
      <w:footerReference r:id="rId12" w:type="even"/>
      <w:footerReference r:id="rId14" w:type="default"/>
      <w:headerReference r:id="rId11" w:type="first"/>
      <w:footerReference r:id="rId13"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Default="004B7480" w:rsidP="004B7480">
    <w:pPr>
      <w:pStyle w:val="Footer"/>
      <w:jc w:val="center"/>
    </w:pPr>
    <w:hyperlink r:id="rId1" w:history="1">
      <w:r w:rsidRPr="00460B91">
        <w:rPr>
          <w:rStyle w:val="Hyperlink"/>
        </w:rPr>
        <w:t>NHDES Volunteer Lake Assessment Program</w:t>
      </w:r>
    </w:hyperlink>
    <w:r>
      <w:t xml:space="preserve"> (VLAP) | </w:t>
    </w:r>
    <w:hyperlink r:id="rId2" w:history="1">
      <w:r>
        <w:rPr>
          <w:rStyle w:val="Hyperlink"/>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77777777" w:rsidR="00920CA5" w:rsidRDefault="00920CA5" w:rsidP="00920CA5">
    <w:pPr>
      <w:pStyle w:val="Header"/>
      <w:tabs>
        <w:tab w:val="left" w:pos="11340"/>
      </w:tabs>
      <w:ind w:right="270"/>
      <w:jc w:val="right"/>
    </w:pPr>
    <w:r>
      <w:t>LM-001</w:t>
    </w:r>
  </w:p>
  <w:p w14:paraId="594A8FAD" w14:textId="19B0CCAB" w:rsidR="00920CA5" w:rsidRDefault="00920CA5">
    <w:pPr>
      <w:pStyle w:val="Header"/>
    </w:pPr>
    <w:r w:rsidRPr="00383002">
      <w:rPr>
        <w:smallCaps/>
        <w:noProof/>
        <w:sz w:val="36"/>
        <w:szCs w:val="44"/>
      </w:rPr>
      <w:drawing>
        <wp:anchor distT="0" distB="0" distL="114300" distR="114300" simplePos="0" relativeHeight="251659264" behindDoc="1" locked="0" layoutInCell="1" allowOverlap="1" wp14:anchorId="1D245BBD" wp14:editId="0746FA99">
          <wp:simplePos x="0" y="0"/>
          <wp:positionH relativeFrom="column">
            <wp:posOffset>-262122</wp:posOffset>
          </wp:positionH>
          <wp:positionV relativeFrom="paragraph">
            <wp:posOffset>-313055</wp:posOffset>
          </wp:positionV>
          <wp:extent cx="1013996" cy="637369"/>
          <wp:effectExtent l="0" t="0" r="0" b="0"/>
          <wp:wrapTight wrapText="bothSides">
            <wp:wrapPolygon edited="0">
              <wp:start x="4060" y="0"/>
              <wp:lineTo x="0" y="4522"/>
              <wp:lineTo x="0" y="17444"/>
              <wp:lineTo x="1624" y="20674"/>
              <wp:lineTo x="13805" y="20674"/>
              <wp:lineTo x="21113" y="15505"/>
              <wp:lineTo x="21113" y="9691"/>
              <wp:lineTo x="10962" y="0"/>
              <wp:lineTo x="406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3996" cy="637369"/>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18173C"/>
    <w:rsid w:val="001D7251"/>
    <w:rsid w:val="001E1F24"/>
    <w:rsid w:val="00301607"/>
    <w:rsid w:val="00317DFA"/>
    <w:rsid w:val="00401AA4"/>
    <w:rsid w:val="004B7480"/>
    <w:rsid w:val="005551D2"/>
    <w:rsid w:val="005E67E0"/>
    <w:rsid w:val="00625B7E"/>
    <w:rsid w:val="006A5979"/>
    <w:rsid w:val="007A0018"/>
    <w:rsid w:val="00850256"/>
    <w:rsid w:val="00920CA5"/>
    <w:rsid w:val="009D1F38"/>
    <w:rsid w:val="00A85323"/>
    <w:rsid w:val="00AE0ECA"/>
    <w:rsid w:val="00AE29E9"/>
    <w:rsid w:val="00B8266E"/>
    <w:rsid w:val="00C0753E"/>
    <w:rsid w:val="00C175D1"/>
    <w:rsid w:val="00C64F97"/>
    <w:rsid w:val="00CB4061"/>
    <w:rsid w:val="00CB72FC"/>
    <w:rsid w:val="00D24744"/>
    <w:rsid w:val="00DB1ABC"/>
    <w:rsid w:val="00DC0EE5"/>
    <w:rsid w:val="00E56FBC"/>
    <w:rsid w:val="00E76113"/>
    <w:rsid w:val="00F54A1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F54A12"/>
    <w:pPr>
      <w:keepNext/>
      <w:keepLines/>
      <w:spacing w:after="80" w:before="360"/>
      <w:jc w:val="center"/>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Normal"/>
    <w:link w:val="Heading2Char"/>
    <w:uiPriority w:val="9"/>
    <w:unhideWhenUsed/>
    <w:qFormat/>
    <w:rsid w:val="00F54A12"/>
    <w:pPr>
      <w:keepNext/>
      <w:keepLines/>
      <w:spacing w:after="80" w:before="160"/>
      <w:jc w:val="center"/>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Normal"/>
    <w:link w:val="Heading3Char"/>
    <w:uiPriority w:val="9"/>
    <w:unhideWhenUsed/>
    <w:qFormat/>
    <w:rsid w:val="00F54A12"/>
    <w:pPr>
      <w:keepNext/>
      <w:keepLines/>
      <w:spacing w:after="80" w:before="160"/>
      <w:jc w:val="center"/>
      <w:outlineLvl w:val="2"/>
    </w:pPr>
    <w:rPr>
      <w:rFonts w:cstheme="majorBidi" w:eastAsiaTheme="majorEastAsia"/>
      <w:color w:themeColor="text1" w:val="000000"/>
      <w:sz w:val="28"/>
      <w:szCs w:val="28"/>
    </w:rPr>
  </w:style>
  <w:style w:styleId="Heading4" w:type="paragraph">
    <w:name w:val="heading 4"/>
    <w:basedOn w:val="Normal"/>
    <w:next w:val="Normal"/>
    <w:link w:val="Heading4Char"/>
    <w:uiPriority w:val="9"/>
    <w:unhideWhenUsed/>
    <w:qFormat/>
    <w:rsid w:val="00F54A12"/>
    <w:pPr>
      <w:keepNext/>
      <w:keepLines/>
      <w:spacing w:after="40" w:before="80"/>
      <w:jc w:val="center"/>
      <w:outlineLvl w:val="3"/>
    </w:pPr>
    <w:rPr>
      <w:rFonts w:cstheme="majorBidi" w:eastAsiaTheme="majorEastAsia"/>
      <w:iCs/>
      <w:color w:themeColor="text1" w:val="000000"/>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4A12"/>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rsid w:val="00F54A12"/>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rsid w:val="00F54A12"/>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rsid w:val="00F54A12"/>
    <w:rPr>
      <w:rFonts w:cstheme="majorBidi" w:eastAsiaTheme="majorEastAsia"/>
      <w:iCs/>
      <w:color w:themeColor="text1" w:val="000000"/>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4B7480"/>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B748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jpg" /><Relationship Type="http://schemas.openxmlformats.org/officeDocument/2006/relationships/image" Id="rId28" Target="media/rId28.jp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2025-10-10T20:15:14Z</dcterms:created>
  <dcterms:modified xsi:type="dcterms:W3CDTF">2025-10-10T20:15:14Z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