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740"/>
        <w:gridCol w:w="1740"/>
        <w:gridCol w:w="3660"/>
        <w:tblGridChange w:id="0">
          <w:tblGrid>
            <w:gridCol w:w="2220"/>
            <w:gridCol w:w="1740"/>
            <w:gridCol w:w="1740"/>
            <w:gridCol w:w="3660"/>
          </w:tblGrid>
        </w:tblGridChange>
      </w:tblGrid>
      <w:tr>
        <w:trPr>
          <w:cantSplit w:val="0"/>
          <w:trHeight w:val="5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Beta (β) -glucosidase B</w:t>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rtl w:val="0"/>
              </w:rPr>
              <w:t xml:space="preserve">in silico: Supervised </w:t>
            </w:r>
            <w:r w:rsidDel="00000000" w:rsidR="00000000" w:rsidRPr="00000000">
              <w:rPr>
                <w:rtl w:val="0"/>
              </w:rPr>
              <w:t xml:space="preserve">- May 29, 2023 to July 16, 2023</w:t>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Acknowledgements: </w:t>
            </w:r>
          </w:p>
          <w:p w:rsidR="00000000" w:rsidDel="00000000" w:rsidP="00000000" w:rsidRDefault="00000000" w:rsidRPr="00000000" w14:paraId="0000000B">
            <w:pPr>
              <w:rPr>
                <w:b w:val="1"/>
                <w:sz w:val="32"/>
                <w:szCs w:val="32"/>
              </w:rPr>
            </w:pPr>
            <w:r w:rsidDel="00000000" w:rsidR="00000000" w:rsidRPr="00000000">
              <w:rPr>
                <w:color w:val="222222"/>
                <w:highlight w:val="white"/>
                <w:rtl w:val="0"/>
              </w:rPr>
              <w:t xml:space="preserve">This data set was produced by students and faculty members of the Design to Data (D2D) undergraduate research program, led by Ashley Vater and Professor Justin B. Siegel at University of California, Davis.</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Citation: </w:t>
            </w:r>
          </w:p>
          <w:p w:rsidR="00000000" w:rsidDel="00000000" w:rsidP="00000000" w:rsidRDefault="00000000" w:rsidRPr="00000000" w14:paraId="00000010">
            <w:pPr>
              <w:ind w:left="0" w:firstLine="0"/>
              <w:rPr/>
            </w:pPr>
            <w:r w:rsidDel="00000000" w:rsidR="00000000" w:rsidRPr="00000000">
              <w:rPr>
                <w:color w:val="222222"/>
                <w:highlight w:val="white"/>
                <w:rtl w:val="0"/>
              </w:rPr>
              <w:t xml:space="preserve">D2D Database. 2018-. University of California, Davis: Design to Data. [updated 2024 Feb 15; accessed Apr 2023]. </w:t>
            </w:r>
            <w:hyperlink r:id="rId6">
              <w:r w:rsidDel="00000000" w:rsidR="00000000" w:rsidRPr="00000000">
                <w:rPr>
                  <w:color w:val="1155cc"/>
                  <w:highlight w:val="white"/>
                  <w:u w:val="single"/>
                  <w:rtl w:val="0"/>
                </w:rPr>
                <w:t xml:space="preserve">https://d2dcure.com/data/?protein=BglB</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Additional documentation and resources: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Vater, A., Mayoral, J., Nunez-Castilla, J., Labonte, J. W., Briggs, L. A., Gray, J. J., ... &amp; Siegel, J. B. (2020). Development of a broadly accessible, computationally guided biochemistry course-based undergraduate research experience. Journal of Chemical Education, 98(2), 400-409</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Huang, P., Chu, S. K., Frizzo, H. N., Connolly, M. P., Caster, R. W., &amp; Siegel, J. B. (2020). Evaluating protein engineering thermostability prediction tools using an independently generated dataset. ACS omega, 5(12), 6487-6493.</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Carlin, D. A., Hapig-Ward, S., Chan, B. W., Damrau, N., Riley, M., Caster, R. W., ... &amp; Siegel, J. B. (2017). Thermal stability and kinetic constants for 129 variants of a family 1 glycoside hydrolase reveal that enzyme activity and stability can be separately designed. PLoS One, 12(5), e0176255.</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rtl w:val="0"/>
              </w:rPr>
              <w:t xml:space="preserve">Challenge Problem:</w:t>
            </w:r>
          </w:p>
          <w:p w:rsidR="00000000" w:rsidDel="00000000" w:rsidP="00000000" w:rsidRDefault="00000000" w:rsidRPr="00000000" w14:paraId="0000001C">
            <w:pPr>
              <w:rPr/>
            </w:pPr>
            <w:r w:rsidDel="00000000" w:rsidR="00000000" w:rsidRPr="00000000">
              <w:rPr>
                <w:rtl w:val="0"/>
              </w:rPr>
              <w:t xml:space="preserve">Score each of the following three properties: 1) expression, 2) activity, and 3) melting point. The range of scoring is arbitrary.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Note: </w:t>
            </w:r>
            <w:r w:rsidDel="00000000" w:rsidR="00000000" w:rsidRPr="00000000">
              <w:rPr>
                <w:rtl w:val="0"/>
              </w:rPr>
              <w:t xml:space="preserve">Although the training data included an expression column, the test data was from a previously unpublished source that did not include expression data. The request to predict expression was an oversight by the tournament committee, and due to this, the teams were not judged on expression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Sequence Length:</w:t>
            </w:r>
          </w:p>
          <w:p w:rsidR="00000000" w:rsidDel="00000000" w:rsidP="00000000" w:rsidRDefault="00000000" w:rsidRPr="00000000" w14:paraId="00000023">
            <w:pPr>
              <w:rPr/>
            </w:pPr>
            <w:r w:rsidDel="00000000" w:rsidR="00000000" w:rsidRPr="00000000">
              <w:rPr>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Mutation(s): </w:t>
            </w:r>
          </w:p>
          <w:p w:rsidR="00000000" w:rsidDel="00000000" w:rsidP="00000000" w:rsidRDefault="00000000" w:rsidRPr="00000000" w14:paraId="00000025">
            <w:pPr>
              <w:rPr/>
            </w:pPr>
            <w:r w:rsidDel="00000000" w:rsidR="00000000" w:rsidRPr="00000000">
              <w:rPr>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Classification: </w:t>
            </w:r>
          </w:p>
          <w:p w:rsidR="00000000" w:rsidDel="00000000" w:rsidP="00000000" w:rsidRDefault="00000000" w:rsidRPr="00000000" w14:paraId="00000027">
            <w:pPr>
              <w:rPr>
                <w:b w:val="1"/>
              </w:rPr>
            </w:pPr>
            <w:r w:rsidDel="00000000" w:rsidR="00000000" w:rsidRPr="00000000">
              <w:rPr>
                <w:rtl w:val="0"/>
              </w:rPr>
              <w:t xml:space="preserve"> HYDROLASE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PDB Xtal Structure: </w:t>
            </w:r>
          </w:p>
          <w:p w:rsidR="00000000" w:rsidDel="00000000" w:rsidP="00000000" w:rsidRDefault="00000000" w:rsidRPr="00000000" w14:paraId="00000029">
            <w:pPr>
              <w:rPr/>
            </w:pPr>
            <w:r w:rsidDel="00000000" w:rsidR="00000000" w:rsidRPr="00000000">
              <w:rPr>
                <w:rtl w:val="0"/>
              </w:rPr>
              <w:t xml:space="preserve">2O9P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UniProt Number: </w:t>
            </w:r>
            <w:r w:rsidDel="00000000" w:rsidR="00000000" w:rsidRPr="00000000">
              <w:rPr>
                <w:rtl w:val="0"/>
              </w:rPr>
              <w:t xml:space="preserve">P22505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Molar Mass: </w:t>
            </w:r>
            <w:r w:rsidDel="00000000" w:rsidR="00000000" w:rsidRPr="00000000">
              <w:rPr>
                <w:rtl w:val="0"/>
              </w:rPr>
              <w:t xml:space="preserve">51,573 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EC Number: </w:t>
            </w:r>
          </w:p>
          <w:p w:rsidR="00000000" w:rsidDel="00000000" w:rsidP="00000000" w:rsidRDefault="00000000" w:rsidRPr="00000000" w14:paraId="0000002D">
            <w:pPr>
              <w:rPr/>
            </w:pPr>
            <w:r w:rsidDel="00000000" w:rsidR="00000000" w:rsidRPr="00000000">
              <w:rPr>
                <w:rtl w:val="0"/>
              </w:rPr>
              <w:t xml:space="preserve">3.2.1.21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Extinction Coefficient (εBglB):</w:t>
            </w:r>
            <w:r w:rsidDel="00000000" w:rsidR="00000000" w:rsidRPr="00000000">
              <w:rPr>
                <w:rtl w:val="0"/>
              </w:rPr>
              <w:t xml:space="preserve"> </w:t>
            </w:r>
          </w:p>
          <w:p w:rsidR="00000000" w:rsidDel="00000000" w:rsidP="00000000" w:rsidRDefault="00000000" w:rsidRPr="00000000" w14:paraId="0000002F">
            <w:pPr>
              <w:rPr>
                <w:b w:val="1"/>
              </w:rPr>
            </w:pPr>
            <w:r w:rsidDel="00000000" w:rsidR="00000000" w:rsidRPr="00000000">
              <w:rPr>
                <w:rFonts w:ascii="Arial Unicode MS" w:cs="Arial Unicode MS" w:eastAsia="Arial Unicode MS" w:hAnsi="Arial Unicode MS"/>
                <w:rtl w:val="0"/>
              </w:rPr>
              <w:t xml:space="preserve">113,330 m−1 cm−1</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Expression System: </w:t>
            </w:r>
            <w:r w:rsidDel="00000000" w:rsidR="00000000" w:rsidRPr="00000000">
              <w:rPr>
                <w:rtl w:val="0"/>
              </w:rPr>
              <w:t xml:space="preserve">Escherichia coli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Organism(s):</w:t>
            </w:r>
            <w:r w:rsidDel="00000000" w:rsidR="00000000" w:rsidRPr="00000000">
              <w:rPr>
                <w:rtl w:val="0"/>
              </w:rPr>
              <w:t xml:space="preserve"> Paenibacillus polymyxa</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Target Sequence:</w:t>
            </w:r>
          </w:p>
          <w:p w:rsidR="00000000" w:rsidDel="00000000" w:rsidP="00000000" w:rsidRDefault="00000000" w:rsidRPr="00000000" w14:paraId="00000035">
            <w:pPr>
              <w:rPr/>
            </w:pPr>
            <w:r w:rsidDel="00000000" w:rsidR="00000000" w:rsidRPr="00000000">
              <w:rPr>
                <w:rtl w:val="0"/>
              </w:rPr>
              <w:t xml:space="preserve">NTFIFPATFMWGTSTSSYQIEGGTDEGGRTPSIWDTFCQIPGKVIGGDCGDVACDHFHHFKEDVQLMKQLGFLHYRFSVAWPRIMPAAGIINEEGLLFYEHLLDEIELAGLIPMLTLYHWDLPQWIEDEGGWTQRETIQHFKTYASVIMDRFGERINWWNTINEPYCASILGYGTGEHAPGHENWREAFTAAHHILMCHGIASNLHKEKGLTGKIGITLNMEHVDAASERPEDVAAAIRRDGFINRWFAEPLFNGKYPEDMVEWYGTYLNGLDFVQPGDMELIQQPGDFLGINYYTRSIIRSTNDASLLQVEQVHMEEPVTDMGWEIHPESFYKLLTRIEKDFSKGLPILITENGAAMRDELVNGQIEDTGRHGYIEEHLKACHRFIEEGGQLKGYFVWSFLDNFEWAWGYSKRFGIVHINYETQERTPKQSALWFKQMMAKNGF</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Substrate for activity measurement:</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para-nitrophenyl-β-d-glucopyranose (pNPG)</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2dcure.com/data/?protein=Bg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