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pPr>
      <w:r>
        <w:rPr>
          <w:b/>
          <w:bCs/>
          <w:color w:val="6D4BD1"/>
          <w:spacing w:val="60"/>
          <w:sz w:val="22"/>
          <w:szCs w:val="22"/>
        </w:rPr>
        <w:t xml:space="preserve">CONCEPT DOCUMENT</w:t>
      </w:r>
    </w:p>
    <w:p>
      <w:pPr>
        <w:spacing w:after="80"/>
      </w:pPr>
      <w:r>
        <w:rPr>
          <w:b/>
          <w:bCs/>
          <w:color w:val="12406F"/>
          <w:sz w:val="64"/>
          <w:szCs w:val="64"/>
        </w:rPr>
        <w:t xml:space="preserve">Relief Map</w:t>
      </w:r>
    </w:p>
    <w:p>
      <w:pPr>
        <w:spacing w:after="360"/>
      </w:pPr>
      <w:r>
        <w:rPr>
          <w:color w:val="1F56AD"/>
          <w:sz w:val="32"/>
          <w:szCs w:val="32"/>
        </w:rPr>
        <w:t xml:space="preserve">A cultural intelligence and implicit-bias learning tool for UN humanitarian fieldwork</w:t>
      </w:r>
    </w:p>
    <w:p>
      <w:pPr>
        <w:spacing w:after="120" w:line="276"/>
      </w:pPr>
      <w:r>
        <w:rPr>
          <w:sz w:val="24"/>
          <w:szCs w:val="24"/>
        </w:rPr>
        <w:t xml:space="preserve">Includes an outline of a complementary global team collaboration and implicit-bias tool, </w:t>
      </w:r>
      <w:r>
        <w:rPr>
          <w:b/>
          <w:bCs/>
          <w:sz w:val="24"/>
          <w:szCs w:val="24"/>
        </w:rPr>
        <w:t xml:space="preserve">Team Compass</w:t>
      </w:r>
      <w:r>
        <w:rPr>
          <w:sz w:val="24"/>
          <w:szCs w:val="24"/>
        </w:rPr>
        <w:t xml:space="preserve">.</w:t>
      </w:r>
    </w:p>
    <w:p>
      <w:pPr>
        <w:spacing w:after="5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Prepared by</w:t>
            </w:r>
          </w:p>
        </w:tc>
        <w:tc>
          <w:tcPr>
            <w:tcW w:type="dxa" w:w="67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[Your name]</w:t>
            </w:r>
          </w:p>
        </w:tc>
      </w:tr>
      <w:tr>
        <w:trPr>
          <w:cantSplit/>
        </w:trPr>
        <w:tc>
          <w:tcPr>
            <w:tcW w:type="dxa" w:w="26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Course / programme</w:t>
            </w:r>
          </w:p>
        </w:tc>
        <w:tc>
          <w:tcPr>
            <w:tcW w:type="dxa" w:w="67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[Course name and code], New York University</w:t>
            </w:r>
          </w:p>
        </w:tc>
      </w:tr>
      <w:tr>
        <w:trPr>
          <w:cantSplit/>
        </w:trPr>
        <w:tc>
          <w:tcPr>
            <w:tcW w:type="dxa" w:w="26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Coaching</w:t>
            </w:r>
          </w:p>
        </w:tc>
        <w:tc>
          <w:tcPr>
            <w:tcW w:type="dxa" w:w="67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Dr. Kristine Kerr (30-minute coaching session: see Section 2)</w:t>
            </w:r>
          </w:p>
        </w:tc>
      </w:tr>
      <w:tr>
        <w:trPr>
          <w:cantSplit/>
        </w:trPr>
        <w:tc>
          <w:tcPr>
            <w:tcW w:type="dxa" w:w="26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Working prototype</w:t>
            </w:r>
          </w:p>
        </w:tc>
        <w:tc>
          <w:tcPr>
            <w:tcW w:type="dxa" w:w="67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https://alyssaselassie.github.io/Workforce-with-the-United-Nations/</w:t>
            </w:r>
          </w:p>
        </w:tc>
      </w:tr>
      <w:tr>
        <w:trPr>
          <w:cantSplit/>
        </w:trPr>
        <w:tc>
          <w:tcPr>
            <w:tcW w:type="dxa" w:w="26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Date</w:t>
            </w:r>
          </w:p>
        </w:tc>
        <w:tc>
          <w:tcPr>
            <w:tcW w:type="dxa" w:w="67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October 2026</w:t>
            </w:r>
          </w:p>
        </w:tc>
      </w:tr>
    </w:tbl>
    <w:p>
      <w:pPr>
        <w:spacing w:after="300"/>
      </w:pPr>
    </w:p>
    <w:p>
      <w:pPr>
        <w:spacing w:after="120" w:line="276"/>
      </w:pPr>
      <w:r>
        <w:rPr>
          <w:i/>
          <w:iCs/>
          <w:color w:val="5B6678"/>
          <w:sz w:val="19"/>
          <w:szCs w:val="19"/>
        </w:rPr>
        <w:t xml:space="preserve">Learning prototype for academic purposes. Not an official United Nations product, and not endorsed by the United Nations. All scenarios are fictional composites and do not describe real communities.</w:t>
      </w:r>
    </w:p>
    <w:p>
      <w:r>
        <w:br w:type="page"/>
      </w:r>
    </w:p>
    <w:p>
      <w:pPr>
        <w:pStyle w:val="Heading1"/>
      </w:pPr>
      <w:r>
        <w:t xml:space="preserve">Contents</w:t>
      </w:r>
    </w:p>
    <w:p>
      <w:pPr>
        <w:spacing w:after="70"/>
      </w:pPr>
      <w:r>
        <w:rPr>
          <w:sz w:val="22"/>
          <w:szCs w:val="22"/>
        </w:rPr>
        <w:t xml:space="preserve">1. Executive summary</w:t>
      </w:r>
    </w:p>
    <w:p>
      <w:pPr>
        <w:spacing w:after="70"/>
      </w:pPr>
      <w:r>
        <w:rPr>
          <w:sz w:val="22"/>
          <w:szCs w:val="22"/>
        </w:rPr>
        <w:t xml:space="preserve">2. Coaching session with Dr. Kristine Kerr</w:t>
      </w:r>
    </w:p>
    <w:p>
      <w:pPr>
        <w:spacing w:after="70"/>
      </w:pPr>
      <w:r>
        <w:rPr>
          <w:sz w:val="22"/>
          <w:szCs w:val="22"/>
        </w:rPr>
        <w:t xml:space="preserve">3. Relief Map: concept and learning design</w:t>
      </w:r>
    </w:p>
    <w:p>
      <w:pPr>
        <w:spacing w:after="70"/>
      </w:pPr>
      <w:r>
        <w:rPr>
          <w:sz w:val="22"/>
          <w:szCs w:val="22"/>
        </w:rPr>
        <w:t xml:space="preserve">4. Learner journey</w:t>
      </w:r>
    </w:p>
    <w:p>
      <w:pPr>
        <w:spacing w:after="70"/>
      </w:pPr>
      <w:r>
        <w:rPr>
          <w:sz w:val="22"/>
          <w:szCs w:val="22"/>
        </w:rPr>
        <w:t xml:space="preserve">5. Sample scenarios, questions, response choices and feedback</w:t>
      </w:r>
    </w:p>
    <w:p>
      <w:pPr>
        <w:spacing w:after="70"/>
      </w:pPr>
      <w:r>
        <w:rPr>
          <w:sz w:val="22"/>
          <w:szCs w:val="22"/>
        </w:rPr>
        <w:t xml:space="preserve">6. Feedback design</w:t>
      </w:r>
    </w:p>
    <w:p>
      <w:pPr>
        <w:spacing w:after="70"/>
      </w:pPr>
      <w:r>
        <w:rPr>
          <w:sz w:val="22"/>
          <w:szCs w:val="22"/>
        </w:rPr>
        <w:t xml:space="preserve">7. Proposed scoring</w:t>
      </w:r>
    </w:p>
    <w:p>
      <w:pPr>
        <w:spacing w:after="70"/>
      </w:pPr>
      <w:r>
        <w:rPr>
          <w:sz w:val="22"/>
          <w:szCs w:val="22"/>
        </w:rPr>
        <w:t xml:space="preserve">8. Annotated prototype screens: Relief Map</w:t>
      </w:r>
    </w:p>
    <w:p>
      <w:pPr>
        <w:spacing w:after="70"/>
      </w:pPr>
      <w:r>
        <w:rPr>
          <w:sz w:val="22"/>
          <w:szCs w:val="22"/>
        </w:rPr>
        <w:t xml:space="preserve">9. Outline: Team Compass, a global team collaboration and implicit-bias tool</w:t>
      </w:r>
    </w:p>
    <w:p>
      <w:pPr>
        <w:spacing w:after="70"/>
      </w:pPr>
      <w:r>
        <w:rPr>
          <w:sz w:val="22"/>
          <w:szCs w:val="22"/>
        </w:rPr>
        <w:t xml:space="preserve">10. Evaluation, risks and next steps</w:t>
      </w:r>
    </w:p>
    <w:p>
      <w:pPr>
        <w:spacing w:after="70"/>
      </w:pPr>
      <w:r>
        <w:rPr>
          <w:sz w:val="22"/>
          <w:szCs w:val="22"/>
        </w:rPr>
        <w:t xml:space="preserve">11. References</w:t>
      </w:r>
    </w:p>
    <w:p>
      <w:pPr>
        <w:spacing w:after="70"/>
      </w:pPr>
      <w:r>
        <w:rPr>
          <w:sz w:val="22"/>
          <w:szCs w:val="22"/>
        </w:rPr>
        <w:t xml:space="preserve">Appendix: Mission dataset and verification status</w:t>
      </w:r>
    </w:p>
    <w:p>
      <w:pPr>
        <w:pStyle w:val="Heading1"/>
      </w:pPr>
      <w:r>
        <w:t xml:space="preserve">1. Executive summary</w:t>
      </w:r>
    </w:p>
    <w:p>
      <w:pPr>
        <w:spacing w:after="120" w:line="276"/>
      </w:pPr>
      <w:r>
        <w:t xml:space="preserve">United Nations personnel are deployed into contexts shaped by histories, languages, power relationships and community norms that differ from their own. Under time pressure and insecurity, decisions are often made quickly, and that is exactly when mental shortcuts such as stereotyping, anchoring and affinity bias are most likely to shape who is consulted, whose information is trusted and who receives help. Training on these topics is often abstract and disconnected from where staff actually serve.</w:t>
      </w:r>
    </w:p>
    <w:p>
      <w:pPr>
        <w:spacing w:after="120" w:line="276"/>
      </w:pPr>
      <w:r>
        <w:rPr>
          <w:b/>
          <w:bCs/>
        </w:rPr>
        <w:t xml:space="preserve">Relief Map</w:t>
      </w:r>
      <w:r>
        <w:t xml:space="preserve"> links learning to place. Learners start from an interactive map of the UN field missions listed on unmissions.org, explore the mandate and geographic scope of their duty station, and then practise realistic decisions in short branching scenarios tied to that mission context. Every choice receives immediate, explanatory feedback and is scored on four competencies: </w:t>
      </w:r>
      <w:r>
        <w:rPr>
          <w:b/>
          <w:bCs/>
        </w:rPr>
        <w:t xml:space="preserve">Cultural Intelligence</w:t>
      </w:r>
      <w:r>
        <w:t xml:space="preserve">, </w:t>
      </w:r>
      <w:r>
        <w:rPr>
          <w:b/>
          <w:bCs/>
        </w:rPr>
        <w:t xml:space="preserve">Bias Awareness</w:t>
      </w:r>
      <w:r>
        <w:t xml:space="preserve">, </w:t>
      </w:r>
      <w:r>
        <w:rPr>
          <w:b/>
          <w:bCs/>
        </w:rPr>
        <w:t xml:space="preserve">Evidence-Based Decisions</w:t>
      </w:r>
      <w:r>
        <w:t xml:space="preserve"> and </w:t>
      </w:r>
      <w:r>
        <w:rPr>
          <w:b/>
          <w:bCs/>
        </w:rPr>
        <w:t xml:space="preserve">Do No Harm &amp; Inclusion</w:t>
      </w:r>
      <w:r>
        <w:t xml:space="preserve">. A bias toolkit and the five-step </w:t>
      </w:r>
      <w:r>
        <w:rPr>
          <w:b/>
          <w:bCs/>
        </w:rPr>
        <w:t xml:space="preserve">PAUSE</w:t>
      </w:r>
      <w:r>
        <w:t xml:space="preserve"> protocol turn insights into habits that transfer to real work.</w:t>
      </w:r>
    </w:p>
    <w:p>
      <w:pPr>
        <w:spacing w:after="120" w:line="276"/>
      </w:pPr>
      <w:r>
        <w:t xml:space="preserve">Because bias is reinforced in team routines (who speaks first, whose expertise counts, which voices are missing), the concept is paired with </w:t>
      </w:r>
      <w:r>
        <w:rPr>
          <w:b/>
          <w:bCs/>
        </w:rPr>
        <w:t xml:space="preserve">Team Compass</w:t>
      </w:r>
      <w:r>
        <w:t xml:space="preserve">, a complementary global team collaboration and implicit-bias tool. Its first module, </w:t>
      </w:r>
      <w:r>
        <w:rPr>
          <w:i/>
          <w:iCs/>
        </w:rPr>
        <w:t xml:space="preserve">Team Debrief</w:t>
      </w:r>
      <w:r>
        <w:t xml:space="preserve">, is already working in the prototype. Section 9 outlines the full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56AD" w:sz="24"/>
              <w:bottom w:val="none" w:color="FFFFFF" w:sz="0"/>
              <w:right w:val="none" w:color="FFFFFF" w:sz="0"/>
            </w:tcBorders>
            <w:shd w:fill="EAF2FF" w:color="auto" w:val="clear"/>
            <w:tcMar>
              <w:top w:type="dxa" w:w="120"/>
              <w:left w:type="dxa" w:w="200"/>
              <w:bottom w:type="dxa" w:w="120"/>
              <w:right w:type="dxa" w:w="200"/>
            </w:tcMar>
          </w:tcPr>
          <w:p>
            <w:pPr>
              <w:spacing w:after="60"/>
            </w:pPr>
            <w:r>
              <w:rPr>
                <w:b/>
                <w:bCs/>
                <w:color w:val="1F56AD"/>
                <w:sz w:val="21"/>
                <w:szCs w:val="21"/>
              </w:rPr>
              <w:t xml:space="preserve">What this document contains</w:t>
            </w:r>
          </w:p>
          <w:p>
            <w:pPr>
              <w:spacing w:after="50" w:line="260"/>
            </w:pPr>
            <w:r>
              <w:rPr>
                <w:b/>
                <w:bCs/>
                <w:sz w:val="20"/>
                <w:szCs w:val="20"/>
              </w:rPr>
              <w:t xml:space="preserve">Learner journey</w:t>
            </w:r>
            <w:r>
              <w:rPr>
                <w:sz w:val="20"/>
                <w:szCs w:val="20"/>
              </w:rPr>
              <w:t xml:space="preserve"> for Relief Map (Section 4) and a team journey for Team Compass (Section 9.4).</w:t>
            </w:r>
          </w:p>
          <w:p>
            <w:pPr>
              <w:spacing w:after="50" w:line="260"/>
            </w:pPr>
            <w:r>
              <w:rPr>
                <w:b/>
                <w:bCs/>
                <w:sz w:val="20"/>
                <w:szCs w:val="20"/>
              </w:rPr>
              <w:t xml:space="preserve">Sample scenarios, questions, response choices and feedback</w:t>
            </w:r>
            <w:r>
              <w:rPr>
                <w:sz w:val="20"/>
                <w:szCs w:val="20"/>
              </w:rPr>
              <w:t xml:space="preserve">, taken directly from the working prototype (Section 5).</w:t>
            </w:r>
          </w:p>
          <w:p>
            <w:pPr>
              <w:spacing w:after="50" w:line="260"/>
            </w:pPr>
            <w:r>
              <w:rPr>
                <w:b/>
                <w:bCs/>
                <w:sz w:val="20"/>
                <w:szCs w:val="20"/>
              </w:rPr>
              <w:t xml:space="preserve">Proposed scoring</w:t>
            </w:r>
            <w:r>
              <w:rPr>
                <w:sz w:val="20"/>
                <w:szCs w:val="20"/>
              </w:rPr>
              <w:t xml:space="preserve">: competency rubric, calculation, profile bands and safeguards (Section 7).</w:t>
            </w:r>
          </w:p>
          <w:p>
            <w:pPr>
              <w:spacing w:after="50" w:line="260"/>
            </w:pPr>
            <w:r>
              <w:rPr>
                <w:b/>
                <w:bCs/>
                <w:sz w:val="20"/>
                <w:szCs w:val="20"/>
              </w:rPr>
              <w:t xml:space="preserve">Annotated prototype screens</w:t>
            </w:r>
            <w:r>
              <w:rPr>
                <w:sz w:val="20"/>
                <w:szCs w:val="20"/>
              </w:rPr>
              <w:t xml:space="preserve"> for both tools, including a concept mockup of planned Team Compass features (Sections 8 and 9.7).</w:t>
            </w:r>
          </w:p>
          <w:p>
            <w:pPr>
              <w:spacing w:after="50" w:line="260"/>
            </w:pPr>
            <w:r>
              <w:rPr>
                <w:b/>
                <w:bCs/>
                <w:sz w:val="20"/>
                <w:szCs w:val="20"/>
              </w:rPr>
              <w:t xml:space="preserve">Working prototype:</w:t>
            </w:r>
            <w:r>
              <w:rPr>
                <w:sz w:val="20"/>
                <w:szCs w:val="20"/>
              </w:rPr>
              <w:t xml:space="preserve"> https://alyssaselassie.github.io/Workforce-with-the-United-Nations/</w:t>
            </w:r>
          </w:p>
        </w:tc>
      </w:tr>
    </w:tbl>
    <w:p>
      <w:pPr>
        <w:pStyle w:val="Heading1"/>
      </w:pPr>
      <w:r>
        <w:t xml:space="preserve">2. Coaching session with Dr. Kristine Kerr</w:t>
      </w:r>
    </w:p>
    <w:p>
      <w:pPr>
        <w:spacing w:after="120" w:line="276"/>
      </w:pPr>
      <w:r>
        <w:t xml:space="preserve">A 30-minute coaching session with Dr. Kristine Kerr is part of this assignment. Its purpose is to test the learning design before it is finalised. The session details and notes below are completed by the author once the session has taken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Item</w:t>
            </w:r>
          </w:p>
        </w:tc>
        <w:tc>
          <w:tcPr>
            <w:tcW w:type="dxa" w:w="67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Details</w:t>
            </w:r>
          </w:p>
        </w:tc>
      </w:tr>
      <w:tr>
        <w:trPr>
          <w:cantSplit/>
        </w:trPr>
        <w:tc>
          <w:tcPr>
            <w:tcW w:type="dxa" w:w="26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Status</w:t>
            </w:r>
          </w:p>
        </w:tc>
        <w:tc>
          <w:tcPr>
            <w:tcW w:type="dxa" w:w="67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[Scheduled / completed]</w:t>
            </w:r>
          </w:p>
        </w:tc>
      </w:tr>
      <w:tr>
        <w:trPr>
          <w:cantSplit/>
        </w:trPr>
        <w:tc>
          <w:tcPr>
            <w:tcW w:type="dxa" w:w="26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Date and time</w:t>
            </w:r>
          </w:p>
        </w:tc>
        <w:tc>
          <w:tcPr>
            <w:tcW w:type="dxa" w:w="67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[Date, time and time zone]</w:t>
            </w:r>
          </w:p>
        </w:tc>
      </w:tr>
      <w:tr>
        <w:trPr>
          <w:cantSplit/>
        </w:trPr>
        <w:tc>
          <w:tcPr>
            <w:tcW w:type="dxa" w:w="26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Format</w:t>
            </w:r>
          </w:p>
        </w:tc>
        <w:tc>
          <w:tcPr>
            <w:tcW w:type="dxa" w:w="67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[In person / Zoom]</w:t>
            </w:r>
          </w:p>
        </w:tc>
      </w:tr>
      <w:tr>
        <w:trPr>
          <w:cantSplit/>
        </w:trPr>
        <w:tc>
          <w:tcPr>
            <w:tcW w:type="dxa" w:w="26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Materials shared in advance</w:t>
            </w:r>
          </w:p>
        </w:tc>
        <w:tc>
          <w:tcPr>
            <w:tcW w:type="dxa" w:w="67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This concept document and the prototype link (https://alyssaselassie.github.io/Workforce-with-the-United-Nations/)</w:t>
            </w:r>
          </w:p>
        </w:tc>
      </w:tr>
    </w:tbl>
    <w:p>
      <w:pPr>
        <w:pStyle w:val="Heading2"/>
      </w:pPr>
      <w:r>
        <w:t xml:space="preserve">2.1 Proposed 30-minute agenda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900"/>
        <w:gridCol w:w="3160"/>
      </w:tblGrid>
      <w:tr>
        <w:trPr>
          <w:tblHeader/>
        </w:trPr>
        <w:tc>
          <w:tcPr>
            <w:tcW w:type="dxa" w:w="13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Time</w:t>
            </w:r>
          </w:p>
        </w:tc>
        <w:tc>
          <w:tcPr>
            <w:tcW w:type="dxa" w:w="49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Focus</w:t>
            </w:r>
          </w:p>
        </w:tc>
        <w:tc>
          <w:tcPr>
            <w:tcW w:type="dxa" w:w="31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Outcome sought</w:t>
            </w:r>
          </w:p>
        </w:tc>
      </w:tr>
      <w:tr>
        <w:trPr>
          <w:cantSplit/>
        </w:trPr>
        <w:tc>
          <w:tcPr>
            <w:tcW w:type="dxa" w:w="1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0–5 min</w:t>
            </w:r>
          </w:p>
        </w:tc>
        <w:tc>
          <w:tcPr>
            <w:tcW w:type="dxa" w:w="4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Context and goals: who the learners are and what problem the tool addresses</w:t>
            </w:r>
          </w:p>
        </w:tc>
        <w:tc>
          <w:tcPr>
            <w:tcW w:type="dxa" w:w="31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Shared understanding of scope</w:t>
            </w:r>
          </w:p>
        </w:tc>
      </w:tr>
      <w:tr>
        <w:trPr>
          <w:cantSplit/>
        </w:trPr>
        <w:tc>
          <w:tcPr>
            <w:tcW w:type="dxa" w:w="1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5–15 min</w:t>
            </w:r>
          </w:p>
        </w:tc>
        <w:tc>
          <w:tcPr>
            <w:tcW w:type="dxa" w:w="49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Live walkthrough: map → scenario → feedback → team debrief</w:t>
            </w:r>
          </w:p>
        </w:tc>
        <w:tc>
          <w:tcPr>
            <w:tcW w:type="dxa" w:w="31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First impressions of the learner experience</w:t>
            </w:r>
          </w:p>
        </w:tc>
      </w:tr>
      <w:tr>
        <w:trPr>
          <w:cantSplit/>
        </w:trPr>
        <w:tc>
          <w:tcPr>
            <w:tcW w:type="dxa" w:w="1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15–25 min</w:t>
            </w:r>
          </w:p>
        </w:tc>
        <w:tc>
          <w:tcPr>
            <w:tcW w:type="dxa" w:w="4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Coaching questions (below)</w:t>
            </w:r>
          </w:p>
        </w:tc>
        <w:tc>
          <w:tcPr>
            <w:tcW w:type="dxa" w:w="31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Specific guidance on scenarios, scoring and the team tool</w:t>
            </w:r>
          </w:p>
        </w:tc>
      </w:tr>
      <w:tr>
        <w:trPr>
          <w:cantSplit/>
        </w:trPr>
        <w:tc>
          <w:tcPr>
            <w:tcW w:type="dxa" w:w="1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25–30 min</w:t>
            </w:r>
          </w:p>
        </w:tc>
        <w:tc>
          <w:tcPr>
            <w:tcW w:type="dxa" w:w="49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Priorities and next steps</w:t>
            </w:r>
          </w:p>
        </w:tc>
        <w:tc>
          <w:tcPr>
            <w:tcW w:type="dxa" w:w="31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Two or three agreed revisions before submission</w:t>
            </w:r>
          </w:p>
        </w:tc>
      </w:tr>
    </w:tbl>
    <w:p>
      <w:pPr>
        <w:pStyle w:val="Heading2"/>
      </w:pPr>
      <w:r>
        <w:t xml:space="preserve">2.2 Questions for the coaching session</w:t>
      </w:r>
    </w:p>
    <w:p>
      <w:pPr>
        <w:pStyle w:val="ListParagraph"/>
        <w:numPr>
          <w:ilvl w:val="0"/>
          <w:numId w:val="2"/>
        </w:numPr>
        <w:spacing w:after="60" w:line="264"/>
      </w:pPr>
      <w:r>
        <w:t xml:space="preserve">Do the four competencies (CQ, Bias Awareness, Evidence, Do No Harm) capture what matters most for UN field personnel, or should one be split or replaced?</w:t>
      </w:r>
    </w:p>
    <w:p>
      <w:pPr>
        <w:pStyle w:val="ListParagraph"/>
        <w:numPr>
          <w:ilvl w:val="0"/>
          <w:numId w:val="2"/>
        </w:numPr>
        <w:spacing w:after="60" w:line="264"/>
      </w:pPr>
      <w:r>
        <w:t xml:space="preserve">Are the scenarios realistic and culturally respectful? Do any risk reinforcing stereotypes despite being fictional?</w:t>
      </w:r>
    </w:p>
    <w:p>
      <w:pPr>
        <w:pStyle w:val="ListParagraph"/>
        <w:numPr>
          <w:ilvl w:val="0"/>
          <w:numId w:val="2"/>
        </w:numPr>
        <w:spacing w:after="60" w:line="264"/>
      </w:pPr>
      <w:r>
        <w:t xml:space="preserve">Is numeric scoring appropriate for a reflective topic, or should the tool rely more on qualitative feedback and reflection?</w:t>
      </w:r>
    </w:p>
    <w:p>
      <w:pPr>
        <w:pStyle w:val="ListParagraph"/>
        <w:numPr>
          <w:ilvl w:val="0"/>
          <w:numId w:val="2"/>
        </w:numPr>
        <w:spacing w:after="60" w:line="264"/>
      </w:pPr>
      <w:r>
        <w:t xml:space="preserve">How can the team tool make it safe for national staff and junior colleagues to disagree with senior colleagues?</w:t>
      </w:r>
    </w:p>
    <w:p>
      <w:pPr>
        <w:pStyle w:val="ListParagraph"/>
        <w:numPr>
          <w:ilvl w:val="0"/>
          <w:numId w:val="2"/>
        </w:numPr>
        <w:spacing w:after="60" w:line="264"/>
      </w:pPr>
      <w:r>
        <w:t xml:space="preserve">What evidence of learning would be most persuasive to UN training focal points if the tool were piloted?</w:t>
      </w:r>
    </w:p>
    <w:p>
      <w:pPr>
        <w:pStyle w:val="Heading2"/>
      </w:pPr>
      <w:r>
        <w:t xml:space="preserve">2.3 Notes and agreed revisions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Feedback received</w:t>
            </w:r>
          </w:p>
        </w:tc>
        <w:tc>
          <w:tcPr>
            <w:tcW w:type="dxa" w:w="46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Revision made in response</w:t>
            </w:r>
          </w:p>
        </w:tc>
      </w:tr>
      <w:tr>
        <w:trPr>
          <w:cantSplit/>
        </w:trPr>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p>
        </w:tc>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p>
        </w:tc>
      </w:tr>
      <w:tr>
        <w:trPr>
          <w:cantSplit/>
        </w:trPr>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p>
        </w:tc>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p>
        </w:tc>
      </w:tr>
      <w:tr>
        <w:trPr>
          <w:cantSplit/>
        </w:trPr>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p>
        </w:tc>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p>
        </w:tc>
      </w:tr>
    </w:tbl>
    <w:p>
      <w:r>
        <w:br w:type="page"/>
      </w:r>
    </w:p>
    <w:p>
      <w:pPr>
        <w:pStyle w:val="Heading1"/>
      </w:pPr>
      <w:r>
        <w:t xml:space="preserve">3. Relief Map: concept and learning design</w:t>
      </w:r>
    </w:p>
    <w:p>
      <w:pPr>
        <w:pStyle w:val="Heading2"/>
      </w:pPr>
      <w:r>
        <w:t xml:space="preserve">3.1 Purpose</w:t>
      </w:r>
    </w:p>
    <w:p>
      <w:pPr>
        <w:spacing w:after="120" w:line="276"/>
      </w:pPr>
      <w:r>
        <w:t xml:space="preserve">Relief Map helps UN personnel </w:t>
      </w:r>
      <w:r>
        <w:rPr>
          <w:b/>
          <w:bCs/>
        </w:rPr>
        <w:t xml:space="preserve">develop cultural sensitivity, recognise implicit bias and make more inclusive, evidence-based decisions</w:t>
      </w:r>
      <w:r>
        <w:t xml:space="preserve"> before and during humanitarian fieldwork. It is designed as a short, repeatable digital learning experience (10–15 minutes per session) that complements, rather than replaces, existing pre-deployment training.</w:t>
      </w:r>
    </w:p>
    <w:p>
      <w:pPr>
        <w:pStyle w:val="Heading2"/>
      </w:pPr>
      <w:r>
        <w:t xml:space="preserve">3.2 Learning objectives</w:t>
      </w:r>
    </w:p>
    <w:p>
      <w:pPr>
        <w:spacing w:after="120" w:line="276"/>
      </w:pPr>
      <w:r>
        <w:t xml:space="preserve">After using Relief Map, learners will be able to:</w:t>
      </w:r>
    </w:p>
    <w:p>
      <w:pPr>
        <w:pStyle w:val="ListParagraph"/>
        <w:numPr>
          <w:ilvl w:val="0"/>
          <w:numId w:val="3"/>
        </w:numPr>
        <w:spacing w:after="60" w:line="264"/>
      </w:pPr>
      <w:r>
        <w:rPr>
          <w:b/>
          <w:bCs/>
        </w:rPr>
        <w:t xml:space="preserve">Locate</w:t>
      </w:r>
      <w:r>
        <w:t xml:space="preserve"> their mission on the map and </w:t>
      </w:r>
      <w:r>
        <w:rPr>
          <w:b/>
          <w:bCs/>
        </w:rPr>
        <w:t xml:space="preserve">describe</w:t>
      </w:r>
      <w:r>
        <w:t xml:space="preserve"> its mandate type and geographic scope, including the multiple countries covered by regional mandates.</w:t>
      </w:r>
    </w:p>
    <w:p>
      <w:pPr>
        <w:pStyle w:val="ListParagraph"/>
        <w:numPr>
          <w:ilvl w:val="0"/>
          <w:numId w:val="3"/>
        </w:numPr>
        <w:spacing w:after="60" w:line="264"/>
      </w:pPr>
      <w:r>
        <w:rPr>
          <w:b/>
          <w:bCs/>
        </w:rPr>
        <w:t xml:space="preserve">Identify</w:t>
      </w:r>
      <w:r>
        <w:t xml:space="preserve"> at least five common cognitive biases (for example affinity bias, anchoring, availability, attribution error and threat bias) in realistic field situations.</w:t>
      </w:r>
    </w:p>
    <w:p>
      <w:pPr>
        <w:pStyle w:val="ListParagraph"/>
        <w:numPr>
          <w:ilvl w:val="0"/>
          <w:numId w:val="3"/>
        </w:numPr>
        <w:spacing w:after="60" w:line="264"/>
      </w:pPr>
      <w:r>
        <w:rPr>
          <w:b/>
          <w:bCs/>
        </w:rPr>
        <w:t xml:space="preserve">Apply</w:t>
      </w:r>
      <w:r>
        <w:t xml:space="preserve"> the PAUSE protocol to check assumptions before a decision that affects communities.</w:t>
      </w:r>
    </w:p>
    <w:p>
      <w:pPr>
        <w:pStyle w:val="ListParagraph"/>
        <w:numPr>
          <w:ilvl w:val="0"/>
          <w:numId w:val="3"/>
        </w:numPr>
        <w:spacing w:after="60" w:line="264"/>
      </w:pPr>
      <w:r>
        <w:rPr>
          <w:b/>
          <w:bCs/>
        </w:rPr>
        <w:t xml:space="preserve">Choose</w:t>
      </w:r>
      <w:r>
        <w:t xml:space="preserve"> courses of action that include the people most affected (women, youth, minorities, people with disabilities and displaced people) and that respect the humanitarian principles.</w:t>
      </w:r>
    </w:p>
    <w:p>
      <w:pPr>
        <w:pStyle w:val="ListParagraph"/>
        <w:numPr>
          <w:ilvl w:val="0"/>
          <w:numId w:val="3"/>
        </w:numPr>
        <w:spacing w:after="60" w:line="264"/>
      </w:pPr>
      <w:r>
        <w:rPr>
          <w:b/>
          <w:bCs/>
        </w:rPr>
        <w:t xml:space="preserve">Reflect</w:t>
      </w:r>
      <w:r>
        <w:t xml:space="preserve"> on their own patterns and </w:t>
      </w:r>
      <w:r>
        <w:rPr>
          <w:b/>
          <w:bCs/>
        </w:rPr>
        <w:t xml:space="preserve">discuss</w:t>
      </w:r>
      <w:r>
        <w:t xml:space="preserve"> them with colleagues using structured team debriefs.</w:t>
      </w:r>
    </w:p>
    <w:p>
      <w:pPr>
        <w:pStyle w:val="Heading2"/>
      </w:pPr>
      <w:r>
        <w:t xml:space="preserve">3.3 Target learners and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Dimension</w:t>
            </w:r>
          </w:p>
        </w:tc>
        <w:tc>
          <w:tcPr>
            <w:tcW w:type="dxa" w:w="71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Design response</w:t>
            </w:r>
          </w:p>
        </w:tc>
      </w:tr>
      <w:tr>
        <w:trPr>
          <w:cantSplit/>
        </w:trPr>
        <w:tc>
          <w:tcPr>
            <w:tcW w:type="dxa" w:w="22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Learners</w:t>
            </w:r>
          </w:p>
        </w:tc>
        <w:tc>
          <w:tcPr>
            <w:tcW w:type="dxa" w:w="71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Civilian, uniformed and national staff of UN peace operations and humanitarian partners, from new arrivals to team leaders.</w:t>
            </w:r>
          </w:p>
        </w:tc>
      </w:tr>
      <w:tr>
        <w:trPr>
          <w:cantSplit/>
        </w:trPr>
        <w:tc>
          <w:tcPr>
            <w:tcW w:type="dxa" w:w="22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When</w:t>
            </w:r>
          </w:p>
        </w:tc>
        <w:tc>
          <w:tcPr>
            <w:tcW w:type="dxa" w:w="71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Pre-deployment (orientation), induction week and refreshers during the mission when the context changes.</w:t>
            </w:r>
          </w:p>
        </w:tc>
      </w:tr>
      <w:tr>
        <w:trPr>
          <w:cantSplit/>
        </w:trPr>
        <w:tc>
          <w:tcPr>
            <w:tcW w:type="dxa" w:w="22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Where</w:t>
            </w:r>
          </w:p>
        </w:tc>
        <w:tc>
          <w:tcPr>
            <w:tcW w:type="dxa" w:w="71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Browser on laptop or phone. Static site with no login. Progress is stored on the device, which suits low-bandwidth or shared-device settings.</w:t>
            </w:r>
          </w:p>
        </w:tc>
      </w:tr>
      <w:tr>
        <w:trPr>
          <w:cantSplit/>
        </w:trPr>
        <w:tc>
          <w:tcPr>
            <w:tcW w:type="dxa" w:w="22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Time</w:t>
            </w:r>
          </w:p>
        </w:tc>
        <w:tc>
          <w:tcPr>
            <w:tcW w:type="dxa" w:w="71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10–15 minutes per scenario. Self-paced. Team debriefs take 30–45 minutes.</w:t>
            </w:r>
          </w:p>
        </w:tc>
      </w:tr>
      <w:tr>
        <w:trPr>
          <w:cantSplit/>
        </w:trPr>
        <w:tc>
          <w:tcPr>
            <w:tcW w:type="dxa" w:w="22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Language and access</w:t>
            </w:r>
          </w:p>
        </w:tc>
        <w:tc>
          <w:tcPr>
            <w:tcW w:type="dxa" w:w="71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Plain English with keyboard and screen-reader support. Translation into French, Arabic and Spanish is planned (see Section 10).</w:t>
            </w:r>
          </w:p>
        </w:tc>
      </w:tr>
    </w:tbl>
    <w:p>
      <w:pPr>
        <w:pStyle w:val="Heading2"/>
      </w:pPr>
      <w:r>
        <w:t xml:space="preserve">3.4 Content foundation</w:t>
      </w:r>
    </w:p>
    <w:p>
      <w:pPr>
        <w:spacing w:after="120" w:line="276"/>
      </w:pPr>
      <w:r>
        <w:t xml:space="preserve">The map is built from the UN field missions directory on </w:t>
      </w:r>
      <w:r>
        <w:rPr>
          <w:b/>
          <w:bCs/>
        </w:rPr>
        <w:t xml:space="preserve">unmissions.org</w:t>
      </w:r>
      <w:r>
        <w:t xml:space="preserve">, the primary reference specified for this project, alongside the UN's "Deliver Humanitarian Aid" page for the humanitarian principles and coordination system. Every entry keeps its official name, geographic scope and source URL. Regional and multi-country mandates are represented as such, with every country in scope listed, rather than reduced to a single country.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5360"/>
      </w:tblGrid>
      <w:tr>
        <w:trPr>
          <w:tblHeader/>
        </w:trPr>
        <w:tc>
          <w:tcPr>
            <w:tcW w:type="dxa" w:w="3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Category</w:t>
            </w:r>
          </w:p>
        </w:tc>
        <w:tc>
          <w:tcPr>
            <w:tcW w:type="dxa" w:w="1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Entries</w:t>
            </w:r>
          </w:p>
        </w:tc>
        <w:tc>
          <w:tcPr>
            <w:tcW w:type="dxa" w:w="53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Examples</w:t>
            </w:r>
          </w:p>
        </w:tc>
      </w:tr>
      <w:tr>
        <w:trPr>
          <w:cantSplit/>
        </w:trPr>
        <w:tc>
          <w:tcPr>
            <w:tcW w:type="dxa" w:w="3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Peacekeeping operations (DPO)</w:t>
            </w:r>
          </w:p>
        </w:tc>
        <w:tc>
          <w:tcPr>
            <w:tcW w:type="dxa" w:w="1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11</w:t>
            </w:r>
          </w:p>
        </w:tc>
        <w:tc>
          <w:tcPr>
            <w:tcW w:type="dxa" w:w="5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MINUSCA, MONUSCO, UNMISS, UNIFIL, UNMOGIP, UNTSO</w:t>
            </w:r>
          </w:p>
        </w:tc>
      </w:tr>
      <w:tr>
        <w:trPr>
          <w:cantSplit/>
        </w:trPr>
        <w:tc>
          <w:tcPr>
            <w:tcW w:type="dxa" w:w="3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Special political missions (DPPA)</w:t>
            </w:r>
          </w:p>
        </w:tc>
        <w:tc>
          <w:tcPr>
            <w:tcW w:type="dxa" w:w="1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7</w:t>
            </w:r>
          </w:p>
        </w:tc>
        <w:tc>
          <w:tcPr>
            <w:tcW w:type="dxa" w:w="5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UNAMA, BINUH, UNSMIL, UNTMIS, UNVMC, UNSCO, UNSCOL</w:t>
            </w:r>
          </w:p>
        </w:tc>
      </w:tr>
      <w:tr>
        <w:trPr>
          <w:cantSplit/>
        </w:trPr>
        <w:tc>
          <w:tcPr>
            <w:tcW w:type="dxa" w:w="3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Regional offices (DPPA)</w:t>
            </w:r>
          </w:p>
        </w:tc>
        <w:tc>
          <w:tcPr>
            <w:tcW w:type="dxa" w:w="1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4</w:t>
            </w:r>
          </w:p>
        </w:tc>
        <w:tc>
          <w:tcPr>
            <w:tcW w:type="dxa" w:w="5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UNOWAS (16 countries), UNOCA (11), UNRCCA (5), UNOAU</w:t>
            </w:r>
          </w:p>
        </w:tc>
      </w:tr>
      <w:tr>
        <w:trPr>
          <w:cantSplit/>
        </w:trPr>
        <w:tc>
          <w:tcPr>
            <w:tcW w:type="dxa" w:w="3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Envoys and good offices (DPPA)</w:t>
            </w:r>
          </w:p>
        </w:tc>
        <w:tc>
          <w:tcPr>
            <w:tcW w:type="dxa" w:w="1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5</w:t>
            </w:r>
          </w:p>
        </w:tc>
        <w:tc>
          <w:tcPr>
            <w:tcW w:type="dxa" w:w="5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Special Envoys for Syria, Yemen, the Great Lakes and the Horn of Africa; Cyprus Good Offices</w:t>
            </w:r>
          </w:p>
        </w:tc>
      </w:tr>
      <w:tr>
        <w:trPr>
          <w:cantSplit/>
        </w:trPr>
        <w:tc>
          <w:tcPr>
            <w:tcW w:type="dxa" w:w="3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Support offices (DOS)</w:t>
            </w:r>
          </w:p>
        </w:tc>
        <w:tc>
          <w:tcPr>
            <w:tcW w:type="dxa" w:w="1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2</w:t>
            </w:r>
          </w:p>
        </w:tc>
        <w:tc>
          <w:tcPr>
            <w:tcW w:type="dxa" w:w="5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UNSOS (Somalia), UNSOH (Haiti)</w:t>
            </w:r>
          </w:p>
        </w:tc>
      </w:tr>
      <w:tr>
        <w:trPr>
          <w:cantSplit/>
        </w:trPr>
        <w:tc>
          <w:tcPr>
            <w:tcW w:type="dxa" w:w="3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Total mapped</w:t>
            </w:r>
          </w:p>
        </w:tc>
        <w:tc>
          <w:tcPr>
            <w:tcW w:type="dxa" w:w="1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29</w:t>
            </w:r>
          </w:p>
        </w:tc>
        <w:tc>
          <w:tcPr>
            <w:tcW w:type="dxa" w:w="5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Recently concluded missions (UNMHA, UNAMI, UNITAMS, MINUSMA) are listed but not mapped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4561D" w:sz="24"/>
              <w:bottom w:val="none" w:color="FFFFFF" w:sz="0"/>
              <w:right w:val="none" w:color="FFFFFF" w:sz="0"/>
            </w:tcBorders>
            <w:shd w:fill="FFF4E5" w:color="auto" w:val="clear"/>
            <w:tcMar>
              <w:top w:type="dxa" w:w="120"/>
              <w:left w:type="dxa" w:w="200"/>
              <w:bottom w:type="dxa" w:w="120"/>
              <w:right w:type="dxa" w:w="200"/>
            </w:tcMar>
          </w:tcPr>
          <w:p>
            <w:pPr>
              <w:spacing w:after="60"/>
            </w:pPr>
            <w:r>
              <w:rPr>
                <w:b/>
                <w:bCs/>
                <w:color w:val="C4561D"/>
                <w:sz w:val="21"/>
                <w:szCs w:val="21"/>
              </w:rPr>
              <w:t xml:space="preserve">Accuracy safeguard</w:t>
            </w:r>
          </w:p>
          <w:p>
            <w:pPr>
              <w:spacing w:after="50" w:line="260"/>
            </w:pPr>
            <w:r>
              <w:rPr>
                <w:sz w:val="20"/>
                <w:szCs w:val="20"/>
              </w:rPr>
              <w:t xml:space="preserve">Each entry has a verification flag. 18 entries are confirmed against UN sources. 11 are flagged </w:t>
            </w:r>
            <w:r>
              <w:rPr>
                <w:i/>
                <w:iCs/>
                <w:sz w:val="20"/>
                <w:szCs w:val="20"/>
              </w:rPr>
              <w:t xml:space="preserve">check status</w:t>
            </w:r>
            <w:r>
              <w:rPr>
                <w:sz w:val="20"/>
                <w:szCs w:val="20"/>
              </w:rPr>
              <w:t xml:space="preserve"> (mandates ending or under renewal, such as UNTMIS and UNVMC on 31 October 2026) or </w:t>
            </w:r>
            <w:r>
              <w:rPr>
                <w:i/>
                <w:iCs/>
                <w:sz w:val="20"/>
                <w:szCs w:val="20"/>
              </w:rPr>
              <w:t xml:space="preserve">check listing</w:t>
            </w:r>
            <w:r>
              <w:rPr>
                <w:sz w:val="20"/>
                <w:szCs w:val="20"/>
              </w:rPr>
              <w:t xml:space="preserve"> (presences whose listing on the directory should be confirmed). The appendix lists them. The flags appear in the interface so learners and facilitators always see how current the information is.</w:t>
            </w:r>
          </w:p>
        </w:tc>
      </w:tr>
    </w:tbl>
    <w:p>
      <w:pPr>
        <w:pStyle w:val="Heading1"/>
      </w:pPr>
      <w:r>
        <w:t xml:space="preserve">4. Learner journey</w:t>
      </w:r>
    </w:p>
    <w:p>
      <w:pPr>
        <w:spacing w:after="120" w:line="276"/>
      </w:pPr>
      <w:r>
        <w:t xml:space="preserve">The journey moves from </w:t>
      </w:r>
      <w:r>
        <w:rPr>
          <w:b/>
          <w:bCs/>
        </w:rPr>
        <w:t xml:space="preserve">place</w:t>
      </w:r>
      <w:r>
        <w:t xml:space="preserve"> (where am I going?) to </w:t>
      </w:r>
      <w:r>
        <w:rPr>
          <w:b/>
          <w:bCs/>
        </w:rPr>
        <w:t xml:space="preserve">self</w:t>
      </w:r>
      <w:r>
        <w:t xml:space="preserve"> (what am I assuming?) to </w:t>
      </w:r>
      <w:r>
        <w:rPr>
          <w:b/>
          <w:bCs/>
        </w:rPr>
        <w:t xml:space="preserve">practice</w:t>
      </w:r>
      <w:r>
        <w:t xml:space="preserve"> (what would I do?) to </w:t>
      </w:r>
      <w:r>
        <w:rPr>
          <w:b/>
          <w:bCs/>
        </w:rPr>
        <w:t xml:space="preserve">team</w:t>
      </w:r>
      <w:r>
        <w:t xml:space="preserve"> (how do we decide together?). It is a loop rather than a one-off course: learners return when their context changes.</w:t>
      </w:r>
    </w:p>
    <w:p>
      <w:pPr>
        <w:keepNext/>
        <w:spacing w:after="60" w:before="120"/>
        <w:jc w:val="center"/>
      </w:pPr>
      <w:r>
        <w:drawing>
          <wp:inline distT="0" distB="0" distL="0" distR="0">
            <wp:extent cx="5905500" cy="1581150"/>
            <wp:effectExtent t="0" r="0" b="0" l="0"/>
            <wp:docPr id="1" name="J-journey" descr="Relief Map learner journey: six stages across three phases, repeated during the mission." title="Relief Map learner journey: six stages across three phases, repeated during the 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581150"/>
                    </a:xfrm>
                    <a:prstGeom prst="rect">
                      <a:avLst/>
                    </a:prstGeom>
                  </pic:spPr>
                </pic:pic>
              </a:graphicData>
            </a:graphic>
          </wp:inline>
        </w:drawing>
      </w:r>
    </w:p>
    <w:p>
      <w:pPr>
        <w:spacing w:after="160"/>
        <w:jc w:val="center"/>
      </w:pPr>
      <w:r>
        <w:rPr>
          <w:b/>
          <w:bCs/>
          <w:color w:val="5B6678"/>
          <w:sz w:val="19"/>
          <w:szCs w:val="19"/>
        </w:rPr>
        <w:t xml:space="preserve">Figure 1. </w:t>
      </w:r>
      <w:r>
        <w:rPr>
          <w:i/>
          <w:iCs/>
          <w:color w:val="5B6678"/>
          <w:sz w:val="19"/>
          <w:szCs w:val="19"/>
        </w:rPr>
        <w:t xml:space="preserve">Relief Map learner journey: six stages across three phases, repeated during the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50"/>
        <w:gridCol w:w="2810"/>
        <w:gridCol w:w="2600"/>
      </w:tblGrid>
      <w:tr>
        <w:trPr>
          <w:tblHeader/>
        </w:trPr>
        <w:tc>
          <w:tcPr>
            <w:tcW w:type="dxa" w:w="13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Stage</w:t>
            </w:r>
          </w:p>
        </w:tc>
        <w:tc>
          <w:tcPr>
            <w:tcW w:type="dxa" w:w="265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What the learner does</w:t>
            </w:r>
          </w:p>
        </w:tc>
        <w:tc>
          <w:tcPr>
            <w:tcW w:type="dxa" w:w="281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What the tool provides</w:t>
            </w:r>
          </w:p>
        </w:tc>
        <w:tc>
          <w:tcPr>
            <w:tcW w:type="dxa" w:w="26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Evidence of learning</w:t>
            </w:r>
          </w:p>
        </w:tc>
      </w:tr>
      <w:tr>
        <w:trPr>
          <w:cantSplit/>
        </w:trPr>
        <w:tc>
          <w:tcPr>
            <w:tcW w:type="dxa" w:w="1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 Orient</w:t>
            </w:r>
          </w:p>
        </w:tc>
        <w:tc>
          <w:tcPr>
            <w:tcW w:type="dxa" w:w="26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Finds their duty station on the map. Reads its mandate, scope and source.</w:t>
            </w:r>
          </w:p>
        </w:tc>
        <w:tc>
          <w:tcPr>
            <w:tcW w:type="dxa" w:w="28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Interactive map, filters, mission panel, verification flag, official source link</w:t>
            </w:r>
          </w:p>
        </w:tc>
        <w:tc>
          <w:tcPr>
            <w:tcW w:type="dxa" w:w="26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Can describe the mandate type and every country in scope</w:t>
            </w:r>
          </w:p>
        </w:tc>
      </w:tr>
      <w:tr>
        <w:trPr>
          <w:cantSplit/>
        </w:trPr>
        <w:tc>
          <w:tcPr>
            <w:tcW w:type="dxa" w:w="1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 Reflect</w:t>
            </w:r>
          </w:p>
        </w:tc>
        <w:tc>
          <w:tcPr>
            <w:tcW w:type="dxa" w:w="26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Answers pre-deployment prompts about knowledge, assumptions and missing voices.</w:t>
            </w:r>
          </w:p>
        </w:tc>
        <w:tc>
          <w:tcPr>
            <w:tcW w:type="dxa" w:w="28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Mission-specific reflection prompts (extra prompts for multi-country and contested contexts)</w:t>
            </w:r>
          </w:p>
        </w:tc>
        <w:tc>
          <w:tcPr>
            <w:tcW w:type="dxa" w:w="26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Written assumptions to revisit later</w:t>
            </w:r>
          </w:p>
        </w:tc>
      </w:tr>
      <w:tr>
        <w:trPr>
          <w:cantSplit/>
        </w:trPr>
        <w:tc>
          <w:tcPr>
            <w:tcW w:type="dxa" w:w="1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 Practise</w:t>
            </w:r>
          </w:p>
        </w:tc>
        <w:tc>
          <w:tcPr>
            <w:tcW w:type="dxa" w:w="26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Plays the scenarios linked to the mission.</w:t>
            </w:r>
          </w:p>
        </w:tc>
        <w:tc>
          <w:tcPr>
            <w:tcW w:type="dxa" w:w="28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Branching scenarios with role, setting, context and 3–4 response choices</w:t>
            </w:r>
          </w:p>
        </w:tc>
        <w:tc>
          <w:tcPr>
            <w:tcW w:type="dxa" w:w="26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Choices made under realistic constraints</w:t>
            </w:r>
          </w:p>
        </w:tc>
      </w:tr>
      <w:tr>
        <w:trPr>
          <w:cantSplit/>
        </w:trPr>
        <w:tc>
          <w:tcPr>
            <w:tcW w:type="dxa" w:w="1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 Learn from feedback</w:t>
            </w:r>
          </w:p>
        </w:tc>
        <w:tc>
          <w:tcPr>
            <w:tcW w:type="dxa" w:w="26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Reads why the choice worked or did not, and sees the strongest option.</w:t>
            </w:r>
          </w:p>
        </w:tc>
        <w:tc>
          <w:tcPr>
            <w:tcW w:type="dxa" w:w="28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Rating, competency scores, the bias at play, a counter-strategy and the strongest option</w:t>
            </w:r>
          </w:p>
        </w:tc>
        <w:tc>
          <w:tcPr>
            <w:tcW w:type="dxa" w:w="26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Recognises the bias by name. Score change on replay</w:t>
            </w:r>
          </w:p>
        </w:tc>
      </w:tr>
      <w:tr>
        <w:trPr>
          <w:cantSplit/>
        </w:trPr>
        <w:tc>
          <w:tcPr>
            <w:tcW w:type="dxa" w:w="1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5. Internalise</w:t>
            </w:r>
          </w:p>
        </w:tc>
        <w:tc>
          <w:tcPr>
            <w:tcW w:type="dxa" w:w="26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Studies the bias library. Uses the PAUSE assumption check for a real decision.</w:t>
            </w:r>
          </w:p>
        </w:tc>
        <w:tc>
          <w:tcPr>
            <w:tcW w:type="dxa" w:w="28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Bias toolkit, PAUSE worksheet, progress dashboard</w:t>
            </w:r>
          </w:p>
        </w:tc>
        <w:tc>
          <w:tcPr>
            <w:tcW w:type="dxa" w:w="26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Completed worksheet. Competency profile over time</w:t>
            </w:r>
          </w:p>
        </w:tc>
      </w:tr>
      <w:tr>
        <w:trPr>
          <w:cantSplit/>
        </w:trPr>
        <w:tc>
          <w:tcPr>
            <w:tcW w:type="dxa" w:w="1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6. Discuss</w:t>
            </w:r>
          </w:p>
        </w:tc>
        <w:tc>
          <w:tcPr>
            <w:tcW w:type="dxa" w:w="26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Debriefs with the team, comparing perspectives, voting and agreeing actions.</w:t>
            </w:r>
          </w:p>
        </w:tc>
        <w:tc>
          <w:tcPr>
            <w:tcW w:type="dxa" w:w="28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Team Debrief (first module of Team Compass)</w:t>
            </w:r>
          </w:p>
        </w:tc>
        <w:tc>
          <w:tcPr>
            <w:tcW w:type="dxa" w:w="26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Team action plan. Participation across roles</w:t>
            </w:r>
          </w:p>
        </w:tc>
      </w:tr>
    </w:tbl>
    <w:p>
      <w:r>
        <w:br w:type="page"/>
      </w:r>
    </w:p>
    <w:p>
      <w:pPr>
        <w:pStyle w:val="Heading1"/>
      </w:pPr>
      <w:r>
        <w:t xml:space="preserve">5. Sample scenarios, questions, response choices and feedback</w:t>
      </w:r>
    </w:p>
    <w:p>
      <w:pPr>
        <w:spacing w:after="120" w:line="276"/>
      </w:pPr>
      <w:r>
        <w:t xml:space="preserve">The prototype contains </w:t>
      </w:r>
      <w:r>
        <w:rPr>
          <w:b/>
          <w:bCs/>
        </w:rPr>
        <w:t xml:space="preserve">10 scenarios</w:t>
      </w:r>
      <w:r>
        <w:t xml:space="preserve"> (18 decisions, 50 response choices). All are fictional composites that use invented places, so no real community is described or stereotyped. Each is linked to mission contexts by the </w:t>
      </w:r>
      <w:r>
        <w:rPr>
          <w:i/>
          <w:iCs/>
        </w:rPr>
        <w:t xml:space="preserve">type of challenge</w:t>
      </w:r>
      <w:r>
        <w:t xml:space="preserve"> involved, not by claims about a specific population. Three complete scenarios follow, exactly as they appear in the prototype, with the score each choice earns on the four competencies (0–3 each).</w:t>
      </w:r>
    </w:p>
    <w:p>
      <w:pPr>
        <w:pStyle w:val="Heading3"/>
      </w:pPr>
      <w:r>
        <w:t xml:space="preserve">Who speaks for the community?</w:t>
      </w:r>
    </w:p>
    <w:p>
      <w:pPr>
        <w:spacing w:after="120" w:line="276"/>
      </w:pPr>
      <w:r>
        <w:rPr>
          <w:b/>
          <w:bCs/>
          <w:sz w:val="20"/>
          <w:szCs w:val="20"/>
        </w:rPr>
        <w:t xml:space="preserve">Role:</w:t>
      </w:r>
      <w:r>
        <w:rPr>
          <w:sz w:val="20"/>
          <w:szCs w:val="20"/>
        </w:rPr>
        <w:t xml:space="preserve"> Civil Affairs Officer  ·  </w:t>
      </w:r>
      <w:r>
        <w:rPr>
          <w:b/>
          <w:bCs/>
          <w:sz w:val="20"/>
          <w:szCs w:val="20"/>
        </w:rPr>
        <w:t xml:space="preserve">Setting:</w:t>
      </w:r>
      <w:r>
        <w:rPr>
          <w:sz w:val="20"/>
          <w:szCs w:val="20"/>
        </w:rPr>
        <w:t xml:space="preserve"> Kalero, a fictional town near a site sheltering displaced families.  ·  </w:t>
      </w:r>
      <w:r>
        <w:rPr>
          <w:b/>
          <w:bCs/>
          <w:sz w:val="20"/>
          <w:szCs w:val="20"/>
        </w:rPr>
        <w:t xml:space="preserve">Mission contexts:</w:t>
      </w:r>
      <w:r>
        <w:rPr>
          <w:sz w:val="20"/>
          <w:szCs w:val="20"/>
        </w:rPr>
        <w:t xml:space="preserve"> UNMISS, MINUSCA, UNISFA  ·  </w:t>
      </w:r>
      <w:r>
        <w:rPr>
          <w:b/>
          <w:bCs/>
          <w:sz w:val="20"/>
          <w:szCs w:val="20"/>
        </w:rPr>
        <w:t xml:space="preserve">Bias focus:</w:t>
      </w:r>
      <w:r>
        <w:rPr>
          <w:sz w:val="20"/>
          <w:szCs w:val="20"/>
        </w:rPr>
        <w:t xml:space="preserve"> Gender bias, Affinity bias, Availability heuristic</w:t>
      </w:r>
    </w:p>
    <w:p>
      <w:pPr>
        <w:spacing w:after="120" w:line="276"/>
      </w:pPr>
      <w:r>
        <w:rPr>
          <w:b/>
          <w:bCs/>
        </w:rPr>
        <w:t xml:space="preserve">Decision 1.</w:t>
      </w:r>
      <w:r>
        <w:t xml:space="preserve"> Your team leader suggests holding the consultation tomorrow morning with the five community leaders who usually attend mission meetings, all of them older men. What do you recommend?</w:t>
      </w:r>
    </w:p>
    <w:p>
      <w:pPr>
        <w:spacing w:after="120" w:line="276"/>
      </w:pPr>
      <w:r>
        <w:rPr>
          <w:i/>
          <w:iCs/>
          <w:color w:val="5B6678"/>
          <w:sz w:val="20"/>
          <w:szCs w:val="20"/>
        </w:rPr>
        <w:t xml:space="preserve">Context shown to the learner:</w:t>
      </w:r>
      <w:r>
        <w:rPr>
          <w:color w:val="5B6678"/>
          <w:sz w:val="20"/>
          <w:szCs w:val="20"/>
        </w:rPr>
        <w:t xml:space="preserve"> Women and girls collect most of the water at the site. There have been reports of harassment on the walk to the current water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2280"/>
        <w:gridCol w:w="1120"/>
        <w:gridCol w:w="1140"/>
        <w:gridCol w:w="4000"/>
      </w:tblGrid>
      <w:tr>
        <w:trPr>
          <w:tblHeader/>
        </w:trPr>
        <w:tc>
          <w:tcPr>
            <w:tcW w:type="dxa" w:w="8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Option</w:t>
            </w:r>
          </w:p>
        </w:tc>
        <w:tc>
          <w:tcPr>
            <w:tcW w:type="dxa" w:w="22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Response choice</w:t>
            </w:r>
          </w:p>
        </w:tc>
        <w:tc>
          <w:tcPr>
            <w:tcW w:type="dxa" w:w="11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Rating</w:t>
            </w:r>
          </w:p>
        </w:tc>
        <w:tc>
          <w:tcPr>
            <w:tcW w:type="dxa" w:w="11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CQ · Bias · Evid. · Harm</w:t>
            </w:r>
          </w:p>
        </w:tc>
        <w:tc>
          <w:tcPr>
            <w:tcW w:type="dxa" w:w="4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Feedback shown to the learner</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Go ahead as planned. The leaders represent the community and know the site best.</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Reconsider</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0 · 0 · 1 · 0</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The leaders matter, but they are the easiest voices to reach, not necessarily the most affected ones. Women and girls carry most of the risk on the water route, so a meeting without them could produce a plan that increases harm. </w:t>
            </w:r>
            <w:r>
              <w:rPr>
                <w:i/>
                <w:iCs/>
                <w:sz w:val="19"/>
                <w:szCs w:val="19"/>
              </w:rPr>
              <w:t xml:space="preserve">Bias flagged: Availability heuristic, Gender bias.</w:t>
            </w:r>
          </w:p>
        </w:tc>
      </w:tr>
      <w:tr>
        <w:trPr>
          <w:cantSplit/>
        </w:trPr>
        <w:tc>
          <w:tcPr>
            <w:tcW w:type="dxa" w:w="8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w:t>
            </w:r>
          </w:p>
        </w:tc>
        <w:tc>
          <w:tcPr>
            <w:tcW w:type="dxa" w:w="22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Meet the leaders, and also hold separate sessions with women and adolescent girls, run by female staff, at times and places they choose.</w:t>
            </w:r>
          </w:p>
        </w:tc>
        <w:tc>
          <w:tcPr>
            <w:tcW w:type="dxa" w:w="11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Strong</w:t>
            </w:r>
          </w:p>
        </w:tc>
        <w:tc>
          <w:tcPr>
            <w:tcW w:type="dxa" w:w="11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3 · 3 · 3 · 3</w:t>
            </w:r>
          </w:p>
        </w:tc>
        <w:tc>
          <w:tcPr>
            <w:tcW w:type="dxa" w:w="4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This respects existing structures and makes sure the people most affected are heard safely. Separate, facilitated sessions are standard good practice for accountability to affected populations.</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Skip the leaders, who may be gatekeepers, and talk only to women at the water point.</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Partial</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 · 2 · 2 · 1</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You are right to centre women, but bypassing recognised leaders can cause tension and backlash against the women who spoke up. Approaching people at the water point also isn't a safe or private space for them. </w:t>
            </w:r>
            <w:r>
              <w:rPr>
                <w:i/>
                <w:iCs/>
                <w:sz w:val="19"/>
                <w:szCs w:val="19"/>
              </w:rPr>
              <w:t xml:space="preserve">Bias flagged: Stereotyping.</w:t>
            </w:r>
          </w:p>
        </w:tc>
      </w:tr>
      <w:tr>
        <w:trPr>
          <w:cantSplit/>
        </w:trPr>
        <w:tc>
          <w:tcPr>
            <w:tcW w:type="dxa" w:w="8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D</w:t>
            </w:r>
          </w:p>
        </w:tc>
        <w:tc>
          <w:tcPr>
            <w:tcW w:type="dxa" w:w="22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Send an online survey to the leaders' phones so they can forward it.</w:t>
            </w:r>
          </w:p>
        </w:tc>
        <w:tc>
          <w:tcPr>
            <w:tcW w:type="dxa" w:w="11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Reconsider</w:t>
            </w:r>
          </w:p>
        </w:tc>
        <w:tc>
          <w:tcPr>
            <w:tcW w:type="dxa" w:w="11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0 · 1 · 1 · 0</w:t>
            </w:r>
          </w:p>
        </w:tc>
        <w:tc>
          <w:tcPr>
            <w:tcW w:type="dxa" w:w="4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Digital access is unequal by gender, age and income, and routing the survey through gatekeepers filters who receives it. The data will look tidy but be unrepresentative. </w:t>
            </w:r>
            <w:r>
              <w:rPr>
                <w:i/>
                <w:iCs/>
                <w:sz w:val="19"/>
                <w:szCs w:val="19"/>
              </w:rPr>
              <w:t xml:space="preserve">Bias flagged: Availability heuristic.</w:t>
            </w:r>
          </w:p>
        </w:tc>
      </w:tr>
    </w:tbl>
    <w:p>
      <w:pPr>
        <w:spacing w:after="100"/>
      </w:pPr>
    </w:p>
    <w:p>
      <w:pPr>
        <w:spacing w:after="120" w:line="276"/>
      </w:pPr>
      <w:r>
        <w:rPr>
          <w:b/>
          <w:bCs/>
        </w:rPr>
        <w:t xml:space="preserve">Decision 2.</w:t>
      </w:r>
      <w:r>
        <w:t xml:space="preserve"> Turnout at the women's session is low. A colleague says, 'They clearly don't care much about this.' How do you respond?</w:t>
      </w:r>
    </w:p>
    <w:p>
      <w:pPr>
        <w:spacing w:after="120" w:line="276"/>
      </w:pPr>
      <w:r>
        <w:rPr>
          <w:i/>
          <w:iCs/>
          <w:color w:val="5B6678"/>
          <w:sz w:val="20"/>
          <w:szCs w:val="20"/>
        </w:rPr>
        <w:t xml:space="preserve">Context shown to the learner:</w:t>
      </w:r>
      <w:r>
        <w:rPr>
          <w:color w:val="5B6678"/>
          <w:sz w:val="20"/>
          <w:szCs w:val="20"/>
        </w:rPr>
        <w:t xml:space="preserve"> The session was held at 10:00 on a market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2280"/>
        <w:gridCol w:w="1120"/>
        <w:gridCol w:w="1140"/>
        <w:gridCol w:w="4000"/>
      </w:tblGrid>
      <w:tr>
        <w:trPr>
          <w:tblHeader/>
        </w:trPr>
        <w:tc>
          <w:tcPr>
            <w:tcW w:type="dxa" w:w="8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Option</w:t>
            </w:r>
          </w:p>
        </w:tc>
        <w:tc>
          <w:tcPr>
            <w:tcW w:type="dxa" w:w="22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Response choice</w:t>
            </w:r>
          </w:p>
        </w:tc>
        <w:tc>
          <w:tcPr>
            <w:tcW w:type="dxa" w:w="11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Rating</w:t>
            </w:r>
          </w:p>
        </w:tc>
        <w:tc>
          <w:tcPr>
            <w:tcW w:type="dxa" w:w="11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CQ · Bias · Evid. · Harm</w:t>
            </w:r>
          </w:p>
        </w:tc>
        <w:tc>
          <w:tcPr>
            <w:tcW w:type="dxa" w:w="4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Feedback shown to the learner</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Agree and move on with the leaders' input. You gave them the chance.</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Reconsider</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0 · 0 · 0 · 0</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This is the fundamental attribution error: reading the situation as indifference when the timing may simply have been unworkable. </w:t>
            </w:r>
            <w:r>
              <w:rPr>
                <w:i/>
                <w:iCs/>
                <w:sz w:val="19"/>
                <w:szCs w:val="19"/>
              </w:rPr>
              <w:t xml:space="preserve">Bias flagged: Fundamental attribution error.</w:t>
            </w:r>
          </w:p>
        </w:tc>
      </w:tr>
      <w:tr>
        <w:trPr>
          <w:cantSplit/>
        </w:trPr>
        <w:tc>
          <w:tcPr>
            <w:tcW w:type="dxa" w:w="8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w:t>
            </w:r>
          </w:p>
        </w:tc>
        <w:tc>
          <w:tcPr>
            <w:tcW w:type="dxa" w:w="22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Ask female national staff and women's groups what timing, location and childcare arrangements would work, then reschedule.</w:t>
            </w:r>
          </w:p>
        </w:tc>
        <w:tc>
          <w:tcPr>
            <w:tcW w:type="dxa" w:w="11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Strong</w:t>
            </w:r>
          </w:p>
        </w:tc>
        <w:tc>
          <w:tcPr>
            <w:tcW w:type="dxa" w:w="11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3 · 3 · 3 · 3</w:t>
            </w:r>
          </w:p>
        </w:tc>
        <w:tc>
          <w:tcPr>
            <w:tcW w:type="dxa" w:w="4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You looked for circumstantial explanations and drew on local knowledge, which is CQ Strategy in practice. Market days, care work and safety on the way to a venue often explain low turnout.</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Offer a cash incentive for attending the next session.</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Partial</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 · 1 · 1 · 1</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Paying people for their time can be appropriate if the policy allows it, but it doesn't address the cause, can distort who attends and can create expectations. Fix access first. </w:t>
            </w:r>
            <w:r>
              <w:rPr>
                <w:i/>
                <w:iCs/>
                <w:sz w:val="19"/>
                <w:szCs w:val="19"/>
              </w:rPr>
              <w:t xml:space="preserve">Bias flagged: Saviour / paternalism bias.</w:t>
            </w:r>
          </w:p>
        </w:tc>
      </w:tr>
    </w:tbl>
    <w:p>
      <w:pPr>
        <w:spacing w:after="100"/>
      </w:pPr>
    </w:p>
    <w:p>
      <w:pPr>
        <w:spacing w:after="120" w:line="276"/>
      </w:pPr>
      <w:r>
        <w:rPr>
          <w:b/>
          <w:bCs/>
          <w:sz w:val="20"/>
          <w:szCs w:val="20"/>
        </w:rPr>
        <w:t xml:space="preserve">Debrief takeaways:</w:t>
      </w:r>
      <w:r>
        <w:rPr>
          <w:sz w:val="20"/>
          <w:szCs w:val="20"/>
        </w:rPr>
        <w:t xml:space="preserve"> The easiest voices to reach are not always the most affected. Low participation usually reflects barriers, not indifference. Work with existing community structures while creating safe spaces for those they leave out.</w:t>
      </w:r>
    </w:p>
    <w:p>
      <w:pPr>
        <w:spacing w:after="120" w:line="276"/>
      </w:pPr>
      <w:r>
        <w:rPr>
          <w:b/>
          <w:bCs/>
          <w:sz w:val="20"/>
          <w:szCs w:val="20"/>
        </w:rPr>
        <w:t xml:space="preserve">Reflection question:</w:t>
      </w:r>
      <w:r>
        <w:rPr>
          <w:sz w:val="20"/>
          <w:szCs w:val="20"/>
        </w:rPr>
        <w:t xml:space="preserve"> Think of a recent decision you made. Whose input was easiest to get, and whose did you not hear?</w:t>
      </w:r>
    </w:p>
    <w:p>
      <w:pPr>
        <w:pStyle w:val="Heading3"/>
      </w:pPr>
      <w:r>
        <w:t xml:space="preserve">Lost in translation</w:t>
      </w:r>
    </w:p>
    <w:p>
      <w:pPr>
        <w:spacing w:after="120" w:line="276"/>
      </w:pPr>
      <w:r>
        <w:rPr>
          <w:b/>
          <w:bCs/>
          <w:sz w:val="20"/>
          <w:szCs w:val="20"/>
        </w:rPr>
        <w:t xml:space="preserve">Role:</w:t>
      </w:r>
      <w:r>
        <w:rPr>
          <w:sz w:val="20"/>
          <w:szCs w:val="20"/>
        </w:rPr>
        <w:t xml:space="preserve"> Political Affairs Officer  ·  </w:t>
      </w:r>
      <w:r>
        <w:rPr>
          <w:b/>
          <w:bCs/>
          <w:sz w:val="20"/>
          <w:szCs w:val="20"/>
        </w:rPr>
        <w:t xml:space="preserve">Setting:</w:t>
      </w:r>
      <w:r>
        <w:rPr>
          <w:sz w:val="20"/>
          <w:szCs w:val="20"/>
        </w:rPr>
        <w:t xml:space="preserve"> Drehan, a fictional district where two villages are in a land dispute.  ·  </w:t>
      </w:r>
      <w:r>
        <w:rPr>
          <w:b/>
          <w:bCs/>
          <w:sz w:val="20"/>
          <w:szCs w:val="20"/>
        </w:rPr>
        <w:t xml:space="preserve">Mission contexts:</w:t>
      </w:r>
      <w:r>
        <w:rPr>
          <w:sz w:val="20"/>
          <w:szCs w:val="20"/>
        </w:rPr>
        <w:t xml:space="preserve"> UNAMA, UNSMIL, OSES, OSESGY  ·  </w:t>
      </w:r>
      <w:r>
        <w:rPr>
          <w:b/>
          <w:bCs/>
          <w:sz w:val="20"/>
          <w:szCs w:val="20"/>
        </w:rPr>
        <w:t xml:space="preserve">Bias focus:</w:t>
      </w:r>
      <w:r>
        <w:rPr>
          <w:sz w:val="20"/>
          <w:szCs w:val="20"/>
        </w:rPr>
        <w:t xml:space="preserve"> Confirmation bias, Language bias, Affinity bias</w:t>
      </w:r>
    </w:p>
    <w:p>
      <w:pPr>
        <w:spacing w:after="120" w:line="276"/>
      </w:pPr>
      <w:r>
        <w:rPr>
          <w:b/>
          <w:bCs/>
        </w:rPr>
        <w:t xml:space="preserve">Decision 1.</w:t>
      </w:r>
      <w:r>
        <w:t xml:space="preserve"> For three weeks, every interview about the dispute has gone through one highly regarded interpreter, Samir, who is from one of the two villages. His accounts consistently favour one side. What do you do?</w:t>
      </w:r>
    </w:p>
    <w:p>
      <w:pPr>
        <w:spacing w:after="120" w:line="276"/>
      </w:pPr>
      <w:r>
        <w:rPr>
          <w:i/>
          <w:iCs/>
          <w:color w:val="5B6678"/>
          <w:sz w:val="20"/>
          <w:szCs w:val="20"/>
        </w:rPr>
        <w:t xml:space="preserve">Context shown to the learner:</w:t>
      </w:r>
      <w:r>
        <w:rPr>
          <w:color w:val="5B6678"/>
          <w:sz w:val="20"/>
          <w:szCs w:val="20"/>
        </w:rPr>
        <w:t xml:space="preserve"> Samir is professional and well liked. Your draft report already leans towards the side his accounts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2280"/>
        <w:gridCol w:w="1120"/>
        <w:gridCol w:w="1140"/>
        <w:gridCol w:w="4000"/>
      </w:tblGrid>
      <w:tr>
        <w:trPr>
          <w:tblHeader/>
        </w:trPr>
        <w:tc>
          <w:tcPr>
            <w:tcW w:type="dxa" w:w="8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Option</w:t>
            </w:r>
          </w:p>
        </w:tc>
        <w:tc>
          <w:tcPr>
            <w:tcW w:type="dxa" w:w="22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Response choice</w:t>
            </w:r>
          </w:p>
        </w:tc>
        <w:tc>
          <w:tcPr>
            <w:tcW w:type="dxa" w:w="11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Rating</w:t>
            </w:r>
          </w:p>
        </w:tc>
        <w:tc>
          <w:tcPr>
            <w:tcW w:type="dxa" w:w="11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CQ · Bias · Evid. · Harm</w:t>
            </w:r>
          </w:p>
        </w:tc>
        <w:tc>
          <w:tcPr>
            <w:tcW w:type="dxa" w:w="4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Feedback shown to the learner</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Keep working with Samir. He has been reliable, and the accounts are consistent.</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Reconsider</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0 · 0 · 0 · 1</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The accounts may be consistent because they all come through one channel. Liking and trusting an interpreter (affinity) can hide a structural source of bias, and the report risks taking sides. </w:t>
            </w:r>
            <w:r>
              <w:rPr>
                <w:i/>
                <w:iCs/>
                <w:sz w:val="19"/>
                <w:szCs w:val="19"/>
              </w:rPr>
              <w:t xml:space="preserve">Bias flagged: Confirmation bias, Affinity bias.</w:t>
            </w:r>
          </w:p>
        </w:tc>
      </w:tr>
      <w:tr>
        <w:trPr>
          <w:cantSplit/>
        </w:trPr>
        <w:tc>
          <w:tcPr>
            <w:tcW w:type="dxa" w:w="8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w:t>
            </w:r>
          </w:p>
        </w:tc>
        <w:tc>
          <w:tcPr>
            <w:tcW w:type="dxa" w:w="22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Bring in a second interpreter who is not affiliated with either village, re-interview key sources, and note the limitation in the report.</w:t>
            </w:r>
          </w:p>
        </w:tc>
        <w:tc>
          <w:tcPr>
            <w:tcW w:type="dxa" w:w="11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Strong</w:t>
            </w:r>
          </w:p>
        </w:tc>
        <w:tc>
          <w:tcPr>
            <w:tcW w:type="dxa" w:w="11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3 · 3 · 3 · 3</w:t>
            </w:r>
          </w:p>
        </w:tc>
        <w:tc>
          <w:tcPr>
            <w:tcW w:type="dxa" w:w="4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Triangulating sources and stating uncertainty openly protects the mission's impartiality. It also handles the issue discreetly, without accusing Samir of anything.</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Dismiss Samir and discard his interviews.</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Partial</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 · 1 · 1 · 0</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This assumes bad faith without evidence. It may harm a colleague who could face risks for working with the UN, and it throws away usable data. Diversify your sources instead. </w:t>
            </w:r>
            <w:r>
              <w:rPr>
                <w:i/>
                <w:iCs/>
                <w:sz w:val="19"/>
                <w:szCs w:val="19"/>
              </w:rPr>
              <w:t xml:space="preserve">Bias flagged: Fundamental attribution error.</w:t>
            </w:r>
          </w:p>
        </w:tc>
      </w:tr>
    </w:tbl>
    <w:p>
      <w:pPr>
        <w:spacing w:after="100"/>
      </w:pPr>
    </w:p>
    <w:p>
      <w:pPr>
        <w:spacing w:after="120" w:line="276"/>
      </w:pPr>
      <w:r>
        <w:rPr>
          <w:b/>
          <w:bCs/>
        </w:rPr>
        <w:t xml:space="preserve">Decision 2.</w:t>
      </w:r>
      <w:r>
        <w:t xml:space="preserve"> A village elder speaks at length in indirect, proverb-rich language. A colleague calls the elder 'evasive' and suggests leaving the testimony out. What do you do?</w:t>
      </w:r>
    </w:p>
    <w:p>
      <w:pPr>
        <w:spacing w:after="120" w:line="276"/>
      </w:pPr>
      <w:r>
        <w:rPr>
          <w:i/>
          <w:iCs/>
          <w:color w:val="5B6678"/>
          <w:sz w:val="20"/>
          <w:szCs w:val="20"/>
        </w:rPr>
        <w:t xml:space="preserve">Context shown to the learner:</w:t>
      </w:r>
      <w:r>
        <w:rPr>
          <w:color w:val="5B6678"/>
          <w:sz w:val="20"/>
          <w:szCs w:val="20"/>
        </w:rPr>
        <w:t xml:space="preserve"> Several national staff members say this style is a respected way of discussing sensitive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2280"/>
        <w:gridCol w:w="1120"/>
        <w:gridCol w:w="1140"/>
        <w:gridCol w:w="4000"/>
      </w:tblGrid>
      <w:tr>
        <w:trPr>
          <w:tblHeader/>
        </w:trPr>
        <w:tc>
          <w:tcPr>
            <w:tcW w:type="dxa" w:w="8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Option</w:t>
            </w:r>
          </w:p>
        </w:tc>
        <w:tc>
          <w:tcPr>
            <w:tcW w:type="dxa" w:w="22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Response choice</w:t>
            </w:r>
          </w:p>
        </w:tc>
        <w:tc>
          <w:tcPr>
            <w:tcW w:type="dxa" w:w="11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Rating</w:t>
            </w:r>
          </w:p>
        </w:tc>
        <w:tc>
          <w:tcPr>
            <w:tcW w:type="dxa" w:w="11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CQ · Bias · Evid. · Harm</w:t>
            </w:r>
          </w:p>
        </w:tc>
        <w:tc>
          <w:tcPr>
            <w:tcW w:type="dxa" w:w="4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Feedback shown to the learner</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Leave it out. You need clear, direct statements.</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Reconsider</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0 · 0 · 1 · 0</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Judging one communication style by the norms of another is ethnocentrism. Indirect speech can carry precise meaning that is lost if you only accept direct answers. </w:t>
            </w:r>
            <w:r>
              <w:rPr>
                <w:i/>
                <w:iCs/>
                <w:sz w:val="19"/>
                <w:szCs w:val="19"/>
              </w:rPr>
              <w:t xml:space="preserve">Bias flagged: Ethnocentrism, Language bias.</w:t>
            </w:r>
          </w:p>
        </w:tc>
      </w:tr>
      <w:tr>
        <w:trPr>
          <w:cantSplit/>
        </w:trPr>
        <w:tc>
          <w:tcPr>
            <w:tcW w:type="dxa" w:w="8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w:t>
            </w:r>
          </w:p>
        </w:tc>
        <w:tc>
          <w:tcPr>
            <w:tcW w:type="dxa" w:w="22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Ask national colleagues to help interpret the meaning and context, and record both the literal and the interpreted meaning.</w:t>
            </w:r>
          </w:p>
        </w:tc>
        <w:tc>
          <w:tcPr>
            <w:tcW w:type="dxa" w:w="11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Strong</w:t>
            </w:r>
          </w:p>
        </w:tc>
        <w:tc>
          <w:tcPr>
            <w:tcW w:type="dxa" w:w="11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3 · 3 · 3 · 2</w:t>
            </w:r>
          </w:p>
        </w:tc>
        <w:tc>
          <w:tcPr>
            <w:tcW w:type="dxa" w:w="4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This is CQ Knowledge and Strategy: you recognise that communication norms differ and draw on contextual expertise to understand the testimony.</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Include the testimony, but ask the elder to answer yes or no next time.</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Partial</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 · 1 · 2 · 1</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Including the testimony is good, but demanding a different communication style can come across as disrespectful and may reduce how much people are willing to say. </w:t>
            </w:r>
            <w:r>
              <w:rPr>
                <w:i/>
                <w:iCs/>
                <w:sz w:val="19"/>
                <w:szCs w:val="19"/>
              </w:rPr>
              <w:t xml:space="preserve">Bias flagged: Ethnocentrism.</w:t>
            </w:r>
          </w:p>
        </w:tc>
      </w:tr>
    </w:tbl>
    <w:p>
      <w:pPr>
        <w:spacing w:after="100"/>
      </w:pPr>
    </w:p>
    <w:p>
      <w:pPr>
        <w:spacing w:after="120" w:line="276"/>
      </w:pPr>
      <w:r>
        <w:rPr>
          <w:b/>
          <w:bCs/>
          <w:sz w:val="20"/>
          <w:szCs w:val="20"/>
        </w:rPr>
        <w:t xml:space="preserve">Debrief takeaways:</w:t>
      </w:r>
      <w:r>
        <w:rPr>
          <w:sz w:val="20"/>
          <w:szCs w:val="20"/>
        </w:rPr>
        <w:t xml:space="preserve"> A single information channel produces consistency, not truth. Communication styles differ, and indirectness is not evasiveness. State the limits of your sources openly in your reporting.</w:t>
      </w:r>
    </w:p>
    <w:p>
      <w:pPr>
        <w:spacing w:after="120" w:line="276"/>
      </w:pPr>
      <w:r>
        <w:rPr>
          <w:b/>
          <w:bCs/>
          <w:sz w:val="20"/>
          <w:szCs w:val="20"/>
        </w:rPr>
        <w:t xml:space="preserve">Reflection question:</w:t>
      </w:r>
      <w:r>
        <w:rPr>
          <w:sz w:val="20"/>
          <w:szCs w:val="20"/>
        </w:rPr>
        <w:t xml:space="preserve"> Which communication styles do you instinctively read as 'credible'? Where did that preference come from?</w:t>
      </w:r>
    </w:p>
    <w:p>
      <w:pPr>
        <w:spacing w:after="120"/>
      </w:pPr>
    </w:p>
    <w:p>
      <w:pPr>
        <w:pStyle w:val="Heading3"/>
      </w:pPr>
      <w:r>
        <w:t xml:space="preserve">The approaching farmer</w:t>
      </w:r>
    </w:p>
    <w:p>
      <w:pPr>
        <w:spacing w:after="120" w:line="276"/>
      </w:pPr>
      <w:r>
        <w:rPr>
          <w:b/>
          <w:bCs/>
          <w:sz w:val="20"/>
          <w:szCs w:val="20"/>
        </w:rPr>
        <w:t xml:space="preserve">Role:</w:t>
      </w:r>
      <w:r>
        <w:rPr>
          <w:sz w:val="20"/>
          <w:szCs w:val="20"/>
        </w:rPr>
        <w:t xml:space="preserve"> Patrol Leader / Civil-Military Liaison  ·  </w:t>
      </w:r>
      <w:r>
        <w:rPr>
          <w:b/>
          <w:bCs/>
          <w:sz w:val="20"/>
          <w:szCs w:val="20"/>
        </w:rPr>
        <w:t xml:space="preserve">Setting:</w:t>
      </w:r>
      <w:r>
        <w:rPr>
          <w:sz w:val="20"/>
          <w:szCs w:val="20"/>
        </w:rPr>
        <w:t xml:space="preserve"> Farmland near a fictional village during the harvest season.  ·  </w:t>
      </w:r>
      <w:r>
        <w:rPr>
          <w:b/>
          <w:bCs/>
          <w:sz w:val="20"/>
          <w:szCs w:val="20"/>
        </w:rPr>
        <w:t xml:space="preserve">Mission contexts:</w:t>
      </w:r>
      <w:r>
        <w:rPr>
          <w:sz w:val="20"/>
          <w:szCs w:val="20"/>
        </w:rPr>
        <w:t xml:space="preserve"> UNIFIL, UNSCOL  ·  </w:t>
      </w:r>
      <w:r>
        <w:rPr>
          <w:b/>
          <w:bCs/>
          <w:sz w:val="20"/>
          <w:szCs w:val="20"/>
        </w:rPr>
        <w:t xml:space="preserve">Bias focus:</w:t>
      </w:r>
      <w:r>
        <w:rPr>
          <w:sz w:val="20"/>
          <w:szCs w:val="20"/>
        </w:rPr>
        <w:t xml:space="preserve"> Threat bias, Stereotyping, Anchoring</w:t>
      </w:r>
    </w:p>
    <w:p>
      <w:pPr>
        <w:spacing w:after="120" w:line="276"/>
      </w:pPr>
      <w:r>
        <w:rPr>
          <w:b/>
          <w:bCs/>
        </w:rPr>
        <w:t xml:space="preserve">Decision 1.</w:t>
      </w:r>
      <w:r>
        <w:t xml:space="preserve"> A man in his twenties walks quickly towards your patrol, waving his arms and shouting in a language your team doesn't speak. Your morning briefing mentioned 'tensions with young men in the area'. What do you do?</w:t>
      </w:r>
    </w:p>
    <w:p>
      <w:pPr>
        <w:spacing w:after="120" w:line="276"/>
      </w:pPr>
      <w:r>
        <w:rPr>
          <w:i/>
          <w:iCs/>
          <w:color w:val="5B6678"/>
          <w:sz w:val="20"/>
          <w:szCs w:val="20"/>
        </w:rPr>
        <w:t xml:space="preserve">Context shown to the learner:</w:t>
      </w:r>
      <w:r>
        <w:rPr>
          <w:color w:val="5B6678"/>
          <w:sz w:val="20"/>
          <w:szCs w:val="20"/>
        </w:rPr>
        <w:t xml:space="preserve"> Your language assistant is with the vehicle about 30 metres behind.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2280"/>
        <w:gridCol w:w="1120"/>
        <w:gridCol w:w="1140"/>
        <w:gridCol w:w="4000"/>
      </w:tblGrid>
      <w:tr>
        <w:trPr>
          <w:tblHeader/>
        </w:trPr>
        <w:tc>
          <w:tcPr>
            <w:tcW w:type="dxa" w:w="8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Option</w:t>
            </w:r>
          </w:p>
        </w:tc>
        <w:tc>
          <w:tcPr>
            <w:tcW w:type="dxa" w:w="22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Response choice</w:t>
            </w:r>
          </w:p>
        </w:tc>
        <w:tc>
          <w:tcPr>
            <w:tcW w:type="dxa" w:w="11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Rating</w:t>
            </w:r>
          </w:p>
        </w:tc>
        <w:tc>
          <w:tcPr>
            <w:tcW w:type="dxa" w:w="11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CQ · Bias · Evid. · Harm</w:t>
            </w:r>
          </w:p>
        </w:tc>
        <w:tc>
          <w:tcPr>
            <w:tcW w:type="dxa" w:w="4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Feedback shown to the learner</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Treat him as a threat and order him to stop and get on the ground.</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Reconsider</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0 · 0 · 0 · 0</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The briefing anchored a group stereotype onto one individual. Escalating without any information could harm a civilian and damage community relations. </w:t>
            </w:r>
            <w:r>
              <w:rPr>
                <w:i/>
                <w:iCs/>
                <w:sz w:val="19"/>
                <w:szCs w:val="19"/>
              </w:rPr>
              <w:t xml:space="preserve">Bias flagged: Threat bias, Anchoring, Stereotyping.</w:t>
            </w:r>
          </w:p>
        </w:tc>
      </w:tr>
      <w:tr>
        <w:trPr>
          <w:cantSplit/>
        </w:trPr>
        <w:tc>
          <w:tcPr>
            <w:tcW w:type="dxa" w:w="8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w:t>
            </w:r>
          </w:p>
        </w:tc>
        <w:tc>
          <w:tcPr>
            <w:tcW w:type="dxa" w:w="22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Follow force-protection procedures while signalling calm, keep a safe distance, call the language assistant forward and find out what he needs.</w:t>
            </w:r>
          </w:p>
        </w:tc>
        <w:tc>
          <w:tcPr>
            <w:tcW w:type="dxa" w:w="11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Strong</w:t>
            </w:r>
          </w:p>
        </w:tc>
        <w:tc>
          <w:tcPr>
            <w:tcW w:type="dxa" w:w="11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3 · 3 · 3 · 3</w:t>
            </w:r>
          </w:p>
        </w:tc>
        <w:tc>
          <w:tcPr>
            <w:tcW w:type="dxa" w:w="4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Safety and de-escalation go together. He might be warning you about unexploded ordnance or crop damage. Information comes before interpretation.</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Ignore him and keep driving to stay on schedule.</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Partial</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 · 1 · 0 · 1</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This avoids escalation but may miss urgent information and reinforce a view of the mission as indifferent.</w:t>
            </w:r>
          </w:p>
        </w:tc>
      </w:tr>
    </w:tbl>
    <w:p>
      <w:pPr>
        <w:spacing w:after="100"/>
      </w:pPr>
    </w:p>
    <w:p>
      <w:pPr>
        <w:spacing w:after="120" w:line="276"/>
      </w:pPr>
      <w:r>
        <w:rPr>
          <w:b/>
          <w:bCs/>
        </w:rPr>
        <w:t xml:space="preserve">Decision 2.</w:t>
      </w:r>
      <w:r>
        <w:t xml:space="preserve"> It turns out he was warning you about an unexploded device near the track. How should the team follow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2280"/>
        <w:gridCol w:w="1120"/>
        <w:gridCol w:w="1140"/>
        <w:gridCol w:w="4000"/>
      </w:tblGrid>
      <w:tr>
        <w:trPr>
          <w:tblHeader/>
        </w:trPr>
        <w:tc>
          <w:tcPr>
            <w:tcW w:type="dxa" w:w="8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Option</w:t>
            </w:r>
          </w:p>
        </w:tc>
        <w:tc>
          <w:tcPr>
            <w:tcW w:type="dxa" w:w="22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Response choice</w:t>
            </w:r>
          </w:p>
        </w:tc>
        <w:tc>
          <w:tcPr>
            <w:tcW w:type="dxa" w:w="112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Rating</w:t>
            </w:r>
          </w:p>
        </w:tc>
        <w:tc>
          <w:tcPr>
            <w:tcW w:type="dxa" w:w="11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CQ · Bias · Evid. · Harm</w:t>
            </w:r>
          </w:p>
        </w:tc>
        <w:tc>
          <w:tcPr>
            <w:tcW w:type="dxa" w:w="4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Feedback shown to the learner</w:t>
            </w:r>
          </w:p>
        </w:tc>
      </w:tr>
      <w:tr>
        <w:trPr>
          <w:cantSplit/>
        </w:trPr>
        <w:tc>
          <w:tcPr>
            <w:tcW w:type="dxa" w:w="8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w:t>
            </w:r>
          </w:p>
        </w:tc>
        <w:tc>
          <w:tcPr>
            <w:tcW w:type="dxa" w:w="22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Report the device, thank him, record the interaction, and in the debrief discuss how the morning briefing shaped the team's first reaction.</w:t>
            </w:r>
          </w:p>
        </w:tc>
        <w:tc>
          <w:tcPr>
            <w:tcW w:type="dxa" w:w="112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Strong</w:t>
            </w:r>
          </w:p>
        </w:tc>
        <w:tc>
          <w:tcPr>
            <w:tcW w:type="dxa" w:w="11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 · 3 · 3 · 3</w:t>
            </w:r>
          </w:p>
        </w:tc>
        <w:tc>
          <w:tcPr>
            <w:tcW w:type="dxa" w:w="4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Reflecting openly on how the briefing primed the team's reaction turns one incident into learning for the whole team.</w:t>
            </w:r>
          </w:p>
        </w:tc>
      </w:tr>
      <w:tr>
        <w:trPr>
          <w:cantSplit/>
        </w:trPr>
        <w:tc>
          <w:tcPr>
            <w:tcW w:type="dxa" w:w="8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w:t>
            </w:r>
          </w:p>
        </w:tc>
        <w:tc>
          <w:tcPr>
            <w:tcW w:type="dxa" w:w="22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Report the device only.</w:t>
            </w:r>
          </w:p>
        </w:tc>
        <w:tc>
          <w:tcPr>
            <w:tcW w:type="dxa" w:w="112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Partial</w:t>
            </w:r>
          </w:p>
        </w:tc>
        <w:tc>
          <w:tcPr>
            <w:tcW w:type="dxa" w:w="11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1 · 0 · 2 · 2</w:t>
            </w:r>
          </w:p>
        </w:tc>
        <w:tc>
          <w:tcPr>
            <w:tcW w:type="dxa" w:w="4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This handles the immediate risk but misses the chance to learn about how the team reacted.</w:t>
            </w:r>
          </w:p>
        </w:tc>
      </w:tr>
    </w:tbl>
    <w:p>
      <w:pPr>
        <w:spacing w:after="100"/>
      </w:pPr>
    </w:p>
    <w:p>
      <w:pPr>
        <w:spacing w:after="120" w:line="276"/>
      </w:pPr>
      <w:r>
        <w:rPr>
          <w:b/>
          <w:bCs/>
          <w:sz w:val="20"/>
          <w:szCs w:val="20"/>
        </w:rPr>
        <w:t xml:space="preserve">Debrief takeaways:</w:t>
      </w:r>
      <w:r>
        <w:rPr>
          <w:sz w:val="20"/>
          <w:szCs w:val="20"/>
        </w:rPr>
        <w:t xml:space="preserve"> Briefings can prime threat bias, so separate group trends from individual behaviour. De-escalation and force protection go together. Debrief your reactions as well as your actions.</w:t>
      </w:r>
    </w:p>
    <w:p>
      <w:pPr>
        <w:spacing w:after="120" w:line="276"/>
      </w:pPr>
      <w:r>
        <w:rPr>
          <w:b/>
          <w:bCs/>
          <w:sz w:val="20"/>
          <w:szCs w:val="20"/>
        </w:rPr>
        <w:t xml:space="preserve">Reflection question:</w:t>
      </w:r>
      <w:r>
        <w:rPr>
          <w:sz w:val="20"/>
          <w:szCs w:val="20"/>
        </w:rPr>
        <w:t xml:space="preserve"> How do your briefings describe local populations, and what might that prime you to see?</w:t>
      </w:r>
    </w:p>
    <w:p>
      <w:pPr>
        <w:pStyle w:val="Heading2"/>
      </w:pPr>
      <w:r>
        <w:t xml:space="preserve">5.1 Full scenario bank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700"/>
        <w:gridCol w:w="2060"/>
        <w:gridCol w:w="1900"/>
      </w:tblGrid>
      <w:tr>
        <w:trPr>
          <w:tblHeader/>
        </w:trPr>
        <w:tc>
          <w:tcPr>
            <w:tcW w:type="dxa" w:w="37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Scenario</w:t>
            </w:r>
          </w:p>
        </w:tc>
        <w:tc>
          <w:tcPr>
            <w:tcW w:type="dxa" w:w="17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Learner role</w:t>
            </w:r>
          </w:p>
        </w:tc>
        <w:tc>
          <w:tcPr>
            <w:tcW w:type="dxa" w:w="20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Mission contexts</w:t>
            </w:r>
          </w:p>
        </w:tc>
        <w:tc>
          <w:tcPr>
            <w:tcW w:type="dxa" w:w="19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Bias focus</w:t>
            </w:r>
          </w:p>
        </w:tc>
      </w:tr>
      <w:tr>
        <w:trPr>
          <w:cantSplit/>
        </w:trPr>
        <w:tc>
          <w:tcPr>
            <w:tcW w:type="dxa" w:w="3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Who speaks for the community?</w:t>
            </w:r>
            <w:r>
              <w:rPr>
                <w:sz w:val="19"/>
                <w:szCs w:val="19"/>
              </w:rPr>
              <w:t xml:space="preserve">: Plan a consultation on relocating water points near a protection-of-civilians site.</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Civil Affairs Officer</w:t>
            </w:r>
          </w:p>
        </w:tc>
        <w:tc>
          <w:tcPr>
            <w:tcW w:type="dxa" w:w="20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UNMISS, MINUSCA, UNISFA</w:t>
            </w:r>
          </w:p>
        </w:tc>
        <w:tc>
          <w:tcPr>
            <w:tcW w:type="dxa" w:w="1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Gender bias, Affinity bias, Availability heuristic</w:t>
            </w:r>
          </w:p>
        </w:tc>
      </w:tr>
      <w:tr>
        <w:trPr>
          <w:cantSplit/>
        </w:trPr>
        <w:tc>
          <w:tcPr>
            <w:tcW w:type="dxa" w:w="3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Lost in translation</w:t>
            </w:r>
            <w:r>
              <w:rPr>
                <w:sz w:val="19"/>
                <w:szCs w:val="19"/>
              </w:rPr>
              <w:t xml:space="preserve">: Assess conflicting accounts of a local dispute that reached you through one interpreter.</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Political Affairs Officer</w:t>
            </w:r>
          </w:p>
        </w:tc>
        <w:tc>
          <w:tcPr>
            <w:tcW w:type="dxa" w:w="20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UNAMA, UNSMIL, OSES, OSESGY</w:t>
            </w:r>
          </w:p>
        </w:tc>
        <w:tc>
          <w:tcPr>
            <w:tcW w:type="dxa" w:w="19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Confirmation bias, Language bias, Affinity bias</w:t>
            </w:r>
          </w:p>
        </w:tc>
      </w:tr>
      <w:tr>
        <w:trPr>
          <w:cantSplit/>
        </w:trPr>
        <w:tc>
          <w:tcPr>
            <w:tcW w:type="dxa" w:w="3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Whose expertise counts?</w:t>
            </w:r>
            <w:r>
              <w:rPr>
                <w:sz w:val="19"/>
                <w:szCs w:val="19"/>
              </w:rPr>
              <w:t xml:space="preserve">: A national colleague's warning conflicts with a visiting consultant's recommendation.</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Programme Manager</w:t>
            </w:r>
          </w:p>
        </w:tc>
        <w:tc>
          <w:tcPr>
            <w:tcW w:type="dxa" w:w="20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MONUSCO, UNAMA, UNOWAS, UNOAU, O/SESG-HoA</w:t>
            </w:r>
          </w:p>
        </w:tc>
        <w:tc>
          <w:tcPr>
            <w:tcW w:type="dxa" w:w="1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Authority and credential bias, Language bias, Groupthink</w:t>
            </w:r>
          </w:p>
        </w:tc>
      </w:tr>
      <w:tr>
        <w:trPr>
          <w:cantSplit/>
        </w:trPr>
        <w:tc>
          <w:tcPr>
            <w:tcW w:type="dxa" w:w="3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The data we can reach</w:t>
            </w:r>
            <w:r>
              <w:rPr>
                <w:sz w:val="19"/>
                <w:szCs w:val="19"/>
              </w:rPr>
              <w:t xml:space="preserve">: Prioritise assistance using a needs assessment with significant gaps.</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Humanitarian Liaison Officer</w:t>
            </w:r>
          </w:p>
        </w:tc>
        <w:tc>
          <w:tcPr>
            <w:tcW w:type="dxa" w:w="20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UNMISS, UNTMIS, UNSOS, UNSCO, OSESGY</w:t>
            </w:r>
          </w:p>
        </w:tc>
        <w:tc>
          <w:tcPr>
            <w:tcW w:type="dxa" w:w="19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Availability heuristic, Deficit framing, Confirmation bias</w:t>
            </w:r>
          </w:p>
        </w:tc>
      </w:tr>
      <w:tr>
        <w:trPr>
          <w:cantSplit/>
        </w:trPr>
        <w:tc>
          <w:tcPr>
            <w:tcW w:type="dxa" w:w="3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When rumours spread</w:t>
            </w:r>
            <w:r>
              <w:rPr>
                <w:sz w:val="19"/>
                <w:szCs w:val="19"/>
              </w:rPr>
              <w:t xml:space="preserve">: Respond to a damaging rumour about the mission circulating on social media.</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Public Information Officer</w:t>
            </w:r>
          </w:p>
        </w:tc>
        <w:tc>
          <w:tcPr>
            <w:tcW w:type="dxa" w:w="20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MONUSCO, MINUSCA, O/SESG-GL</w:t>
            </w:r>
          </w:p>
        </w:tc>
        <w:tc>
          <w:tcPr>
            <w:tcW w:type="dxa" w:w="1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Fundamental attribution error, Stereotyping, Confirmation bias</w:t>
            </w:r>
          </w:p>
        </w:tc>
      </w:tr>
      <w:tr>
        <w:trPr>
          <w:cantSplit/>
        </w:trPr>
        <w:tc>
          <w:tcPr>
            <w:tcW w:type="dxa" w:w="3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An invitation to dinner</w:t>
            </w:r>
            <w:r>
              <w:rPr>
                <w:sz w:val="19"/>
                <w:szCs w:val="19"/>
              </w:rPr>
              <w:t xml:space="preserve">: Balance local hospitality norms with UN standards of conduct.</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Regional Liaison Officer</w:t>
            </w:r>
          </w:p>
        </w:tc>
        <w:tc>
          <w:tcPr>
            <w:tcW w:type="dxa" w:w="20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UNOWAS, UNOCA, UNRCCA, UNSOS</w:t>
            </w:r>
          </w:p>
        </w:tc>
        <w:tc>
          <w:tcPr>
            <w:tcW w:type="dxa" w:w="19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Ethnocentrism, Stereotyping</w:t>
            </w:r>
          </w:p>
        </w:tc>
      </w:tr>
      <w:tr>
        <w:trPr>
          <w:cantSplit/>
        </w:trPr>
        <w:tc>
          <w:tcPr>
            <w:tcW w:type="dxa" w:w="3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Carrying history</w:t>
            </w:r>
            <w:r>
              <w:rPr>
                <w:sz w:val="19"/>
                <w:szCs w:val="19"/>
              </w:rPr>
              <w:t xml:space="preserve">: Engage a community whose past experience of international presences has eroded trust.</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Community Engagement Officer</w:t>
            </w:r>
          </w:p>
        </w:tc>
        <w:tc>
          <w:tcPr>
            <w:tcW w:type="dxa" w:w="20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BINUH, UNSOH</w:t>
            </w:r>
          </w:p>
        </w:tc>
        <w:tc>
          <w:tcPr>
            <w:tcW w:type="dxa" w:w="1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Saviour / paternalism bias, Fundamental attribution error, Deficit framing</w:t>
            </w:r>
          </w:p>
        </w:tc>
      </w:tr>
      <w:tr>
        <w:trPr>
          <w:cantSplit/>
        </w:trPr>
        <w:tc>
          <w:tcPr>
            <w:tcW w:type="dxa" w:w="3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Beyond the label</w:t>
            </w:r>
            <w:r>
              <w:rPr>
                <w:sz w:val="19"/>
                <w:szCs w:val="19"/>
              </w:rPr>
              <w:t xml:space="preserve">: Design a reintegration dialogue that includes former combatants and host communities.</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Verification Officer</w:t>
            </w:r>
          </w:p>
        </w:tc>
        <w:tc>
          <w:tcPr>
            <w:tcW w:type="dxa" w:w="20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UNVMC</w:t>
            </w:r>
          </w:p>
        </w:tc>
        <w:tc>
          <w:tcPr>
            <w:tcW w:type="dxa" w:w="19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Stereotyping, Deficit framing, Gender bias</w:t>
            </w:r>
          </w:p>
        </w:tc>
      </w:tr>
      <w:tr>
        <w:trPr>
          <w:cantSplit/>
        </w:trPr>
        <w:tc>
          <w:tcPr>
            <w:tcW w:type="dxa" w:w="3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What's in a name?</w:t>
            </w:r>
            <w:r>
              <w:rPr>
                <w:sz w:val="19"/>
                <w:szCs w:val="19"/>
              </w:rPr>
              <w:t xml:space="preserve">: Handle contested place names and terminology impartially.</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Reporting Officer</w:t>
            </w:r>
          </w:p>
        </w:tc>
        <w:tc>
          <w:tcPr>
            <w:tcW w:type="dxa" w:w="20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UNMIK, UNFICYP, Good Offices (Cyprus), MINURSO, UNISFA, UNDOF, UNTSO, UNMOGIP, UNSCO</w:t>
            </w:r>
          </w:p>
        </w:tc>
        <w:tc>
          <w:tcPr>
            <w:tcW w:type="dxa" w:w="1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Affinity bias, Language bias, Anchoring</w:t>
            </w:r>
          </w:p>
        </w:tc>
      </w:tr>
      <w:tr>
        <w:trPr>
          <w:cantSplit/>
        </w:trPr>
        <w:tc>
          <w:tcPr>
            <w:tcW w:type="dxa" w:w="3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The approaching farmer</w:t>
            </w:r>
            <w:r>
              <w:rPr>
                <w:sz w:val="19"/>
                <w:szCs w:val="19"/>
              </w:rPr>
              <w:t xml:space="preserve">: Make a split-second judgement during a patrol near agricultural land.</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Patrol Leader / Civil-Military Liaison</w:t>
            </w:r>
          </w:p>
        </w:tc>
        <w:tc>
          <w:tcPr>
            <w:tcW w:type="dxa" w:w="20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UNIFIL, UNSCOL</w:t>
            </w:r>
          </w:p>
        </w:tc>
        <w:tc>
          <w:tcPr>
            <w:tcW w:type="dxa" w:w="19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Threat bias, Stereotyping, Anchoring</w:t>
            </w:r>
          </w:p>
        </w:tc>
      </w:tr>
    </w:tbl>
    <w:p>
      <w:pPr>
        <w:pStyle w:val="Heading2"/>
      </w:pPr>
      <w:r>
        <w:t xml:space="preserve">5.2 Pre-deployment reflection questions (map panel)</w:t>
      </w:r>
    </w:p>
    <w:p>
      <w:pPr>
        <w:spacing w:after="120" w:line="276"/>
      </w:pPr>
      <w:r>
        <w:t xml:space="preserve">Each mission panel asks open reflection questions. These are generated from the mission data, so multi-country mandates and contexts with contested terminology receive extra prompts:</w:t>
      </w:r>
    </w:p>
    <w:p>
      <w:pPr>
        <w:pStyle w:val="ListParagraph"/>
        <w:numPr>
          <w:ilvl w:val="0"/>
          <w:numId w:val="4"/>
        </w:numPr>
        <w:spacing w:after="60" w:line="264"/>
      </w:pPr>
      <w:r>
        <w:t xml:space="preserve">What do I actually know about the history and current context of this country (or each country in this mandate), and what am I assuming?</w:t>
      </w:r>
    </w:p>
    <w:p>
      <w:pPr>
        <w:pStyle w:val="ListParagraph"/>
        <w:numPr>
          <w:ilvl w:val="0"/>
          <w:numId w:val="4"/>
        </w:numPr>
        <w:spacing w:after="60" w:line="264"/>
      </w:pPr>
      <w:r>
        <w:rPr>
          <w:i/>
          <w:iCs/>
        </w:rPr>
        <w:t xml:space="preserve">(Regional mandates)</w:t>
      </w:r>
      <w:r>
        <w:t xml:space="preserve"> This mandate covers 16 countries or areas. How will I avoid generalising one place's dynamics onto the others?</w:t>
      </w:r>
    </w:p>
    <w:p>
      <w:pPr>
        <w:pStyle w:val="ListParagraph"/>
        <w:numPr>
          <w:ilvl w:val="0"/>
          <w:numId w:val="4"/>
        </w:numPr>
        <w:spacing w:after="60" w:line="264"/>
      </w:pPr>
      <w:r>
        <w:t xml:space="preserve">Who among my national colleagues can help me understand local communication norms, and how will I make space for their expertise?</w:t>
      </w:r>
    </w:p>
    <w:p>
      <w:pPr>
        <w:pStyle w:val="ListParagraph"/>
        <w:numPr>
          <w:ilvl w:val="0"/>
          <w:numId w:val="4"/>
        </w:numPr>
        <w:spacing w:after="60" w:line="264"/>
      </w:pPr>
      <w:r>
        <w:t xml:space="preserve">Which groups (women, youth, minorities, people with disabilities, displaced people) are least likely to be heard by this mission, and how can I reach them?</w:t>
      </w:r>
    </w:p>
    <w:p>
      <w:pPr>
        <w:pStyle w:val="ListParagraph"/>
        <w:numPr>
          <w:ilvl w:val="0"/>
          <w:numId w:val="4"/>
        </w:numPr>
        <w:spacing w:after="60" w:line="264"/>
      </w:pPr>
      <w:r>
        <w:rPr>
          <w:i/>
          <w:iCs/>
        </w:rPr>
        <w:t xml:space="preserve">(Contested contexts)</w:t>
      </w:r>
      <w:r>
        <w:t xml:space="preserve"> Which terms are contested here, and what is the mission's approved terminology?</w:t>
      </w:r>
    </w:p>
    <w:p>
      <w:pPr>
        <w:pStyle w:val="Heading1"/>
      </w:pPr>
      <w:r>
        <w:t xml:space="preserve">6. Feedback design</w:t>
      </w:r>
    </w:p>
    <w:p>
      <w:pPr>
        <w:spacing w:after="120" w:line="276"/>
      </w:pPr>
      <w:r>
        <w:t xml:space="preserve">Feedback is the core of the learning experience. It is designed to be </w:t>
      </w:r>
      <w:r>
        <w:rPr>
          <w:b/>
          <w:bCs/>
        </w:rPr>
        <w:t xml:space="preserve">immediate, explanatory and non-punitive</w:t>
      </w:r>
      <w:r>
        <w:t xml:space="preserve">. It explains the reasoning and trade-offs behind each option rather than simply marking answers right or wrong, because in real fieldwork several options can be defensible.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700"/>
        <w:gridCol w:w="2560"/>
      </w:tblGrid>
      <w:tr>
        <w:trPr>
          <w:tblHeader/>
        </w:trPr>
        <w:tc>
          <w:tcPr>
            <w:tcW w:type="dxa" w:w="15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Layer</w:t>
            </w:r>
          </w:p>
        </w:tc>
        <w:tc>
          <w:tcPr>
            <w:tcW w:type="dxa" w:w="16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When</w:t>
            </w:r>
          </w:p>
        </w:tc>
        <w:tc>
          <w:tcPr>
            <w:tcW w:type="dxa" w:w="37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What the learner sees</w:t>
            </w:r>
          </w:p>
        </w:tc>
        <w:tc>
          <w:tcPr>
            <w:tcW w:type="dxa" w:w="25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Purpose</w:t>
            </w:r>
          </w:p>
        </w:tc>
      </w:tr>
      <w:tr>
        <w:trPr>
          <w:cantSplit/>
        </w:trPr>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Choice feedback</w:t>
            </w:r>
          </w:p>
        </w:tc>
        <w:tc>
          <w:tcPr>
            <w:tcW w:type="dxa" w:w="16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Immediately after each decision</w:t>
            </w:r>
          </w:p>
        </w:tc>
        <w:tc>
          <w:tcPr>
            <w:tcW w:type="dxa" w:w="3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Rating (Strong / Partial / Reconsider), a 2–3 sentence explanation, scores on the four competencies, the bias at play with a counter-strategy, and the strongest option if a different one was chosen</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Corrects misconceptions at the moment of decision and names the bias</w:t>
            </w:r>
          </w:p>
        </w:tc>
      </w:tr>
      <w:tr>
        <w:trPr>
          <w:cantSplit/>
        </w:trPr>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Scenario debrief</w:t>
            </w:r>
          </w:p>
        </w:tc>
        <w:tc>
          <w:tcPr>
            <w:tcW w:type="dxa" w:w="16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End of each scenario</w:t>
            </w:r>
          </w:p>
        </w:tc>
        <w:tc>
          <w:tcPr>
            <w:tcW w:type="dxa" w:w="3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Overall and per-competency results, the biases that shaped the learner's choices, three key takeaways and a personal reflection question</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Consolidates learning and prompts self-reflection</w:t>
            </w:r>
          </w:p>
        </w:tc>
      </w:tr>
      <w:tr>
        <w:trPr>
          <w:cantSplit/>
        </w:trPr>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Profile feedback</w:t>
            </w:r>
          </w:p>
        </w:tc>
        <w:tc>
          <w:tcPr>
            <w:tcW w:type="dxa" w:w="16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Progress page</w:t>
            </w:r>
          </w:p>
        </w:tc>
        <w:tc>
          <w:tcPr>
            <w:tcW w:type="dxa" w:w="3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Competency profile across scenarios, the lowest competency, the most frequent biases with links to the toolkit, and saved reflections</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Shows patterns over time and directs further practice</w:t>
            </w:r>
          </w:p>
        </w:tc>
      </w:tr>
      <w:tr>
        <w:trPr>
          <w:cantSplit/>
        </w:trPr>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Team feedback</w:t>
            </w:r>
          </w:p>
        </w:tc>
        <w:tc>
          <w:tcPr>
            <w:tcW w:type="dxa" w:w="16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Team Debrief</w:t>
            </w:r>
          </w:p>
        </w:tc>
        <w:tc>
          <w:tcPr>
            <w:tcW w:type="dxa" w:w="3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Group vote compared with the guidance, a "who's missing" alert, and a summary of participation by perspective</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Moves reflection from the individual to the team</w:t>
            </w:r>
          </w:p>
        </w:tc>
      </w:tr>
    </w:tbl>
    <w:p>
      <w:pPr>
        <w:pStyle w:val="Heading2"/>
      </w:pPr>
      <w:r>
        <w:t xml:space="preserve">6.1 Feedback-writing principles</w:t>
      </w:r>
    </w:p>
    <w:p>
      <w:pPr>
        <w:pStyle w:val="ListParagraph"/>
        <w:numPr>
          <w:ilvl w:val="0"/>
          <w:numId w:val="4"/>
        </w:numPr>
        <w:spacing w:after="60" w:line="264"/>
      </w:pPr>
      <w:r>
        <w:rPr>
          <w:b/>
          <w:bCs/>
        </w:rPr>
        <w:t xml:space="preserve">Explain the mechanism</w:t>
      </w:r>
      <w:r>
        <w:t xml:space="preserve">, not just the verdict. For example: "This presents a gap in coverage as a finding. Areas that weren't surveyed aren't low-need, they are unknown."</w:t>
      </w:r>
    </w:p>
    <w:p>
      <w:pPr>
        <w:pStyle w:val="ListParagraph"/>
        <w:numPr>
          <w:ilvl w:val="0"/>
          <w:numId w:val="4"/>
        </w:numPr>
        <w:spacing w:after="60" w:line="264"/>
      </w:pPr>
      <w:r>
        <w:rPr>
          <w:b/>
          <w:bCs/>
        </w:rPr>
        <w:t xml:space="preserve">Acknowledge partial merit.</w:t>
      </w:r>
      <w:r>
        <w:t xml:space="preserve"> Partial options say what is right before what is missing, which models nuanced judgement.</w:t>
      </w:r>
    </w:p>
    <w:p>
      <w:pPr>
        <w:pStyle w:val="ListParagraph"/>
        <w:numPr>
          <w:ilvl w:val="0"/>
          <w:numId w:val="4"/>
        </w:numPr>
        <w:spacing w:after="60" w:line="264"/>
      </w:pPr>
      <w:r>
        <w:rPr>
          <w:b/>
          <w:bCs/>
        </w:rPr>
        <w:t xml:space="preserve">Name the bias and give a counter-strategy</w:t>
      </w:r>
      <w:r>
        <w:t xml:space="preserve">, linked to the bias library, so learners build vocabulary and tools.</w:t>
      </w:r>
    </w:p>
    <w:p>
      <w:pPr>
        <w:pStyle w:val="ListParagraph"/>
        <w:numPr>
          <w:ilvl w:val="0"/>
          <w:numId w:val="4"/>
        </w:numPr>
        <w:spacing w:after="60" w:line="264"/>
      </w:pPr>
      <w:r>
        <w:rPr>
          <w:b/>
          <w:bCs/>
        </w:rPr>
        <w:t xml:space="preserve">Never shame.</w:t>
      </w:r>
      <w:r>
        <w:t xml:space="preserve"> Language describes choices and circumstances, not the learner's character.</w:t>
      </w:r>
    </w:p>
    <w:p>
      <w:pPr>
        <w:pStyle w:val="ListParagraph"/>
        <w:numPr>
          <w:ilvl w:val="0"/>
          <w:numId w:val="4"/>
        </w:numPr>
        <w:spacing w:after="60" w:line="264"/>
      </w:pPr>
      <w:r>
        <w:rPr>
          <w:b/>
          <w:bCs/>
        </w:rPr>
        <w:t xml:space="preserve">Ground feedback in recognised practice</w:t>
      </w:r>
      <w:r>
        <w:t xml:space="preserve">: the humanitarian principles, Do No Harm, accountability to affected populations and UN conduct standards.</w:t>
      </w:r>
    </w:p>
    <w:p>
      <w:pPr>
        <w:pStyle w:val="Heading1"/>
      </w:pPr>
      <w:r>
        <w:t xml:space="preserve">7. Proposed scoring</w:t>
      </w:r>
    </w:p>
    <w:p>
      <w:pPr>
        <w:spacing w:after="120" w:line="276"/>
      </w:pPr>
      <w:r>
        <w:t xml:space="preserve">Scoring is </w:t>
      </w:r>
      <w:r>
        <w:rPr>
          <w:b/>
          <w:bCs/>
        </w:rPr>
        <w:t xml:space="preserve">formative</w:t>
      </w:r>
      <w:r>
        <w:t xml:space="preserve">: it guides reflection and practice and is never used for performance evaluation or selection. It measures the quality of choices in fictional scenarios, not a person's implicit bias.</w:t>
      </w:r>
    </w:p>
    <w:p>
      <w:pPr>
        <w:pStyle w:val="Heading2"/>
      </w:pPr>
      <w:r>
        <w:t xml:space="preserve">7.1 Competencies and rubric</w:t>
      </w:r>
    </w:p>
    <w:p>
      <w:pPr>
        <w:spacing w:after="120" w:line="276"/>
      </w:pPr>
      <w:r>
        <w:t xml:space="preserve">Each response choice is rated 0–3 on each competency by the scenario author, then reviewed by a second subject-matter expert and, where possible, national staff from the relevant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40"/>
        <w:gridCol w:w="1840"/>
        <w:gridCol w:w="1840"/>
        <w:gridCol w:w="1840"/>
      </w:tblGrid>
      <w:tr>
        <w:trPr>
          <w:tblHeader/>
        </w:trPr>
        <w:tc>
          <w:tcPr>
            <w:tcW w:type="dxa" w:w="2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Competency</w:t>
            </w:r>
          </w:p>
        </w:tc>
        <w:tc>
          <w:tcPr>
            <w:tcW w:type="dxa" w:w="18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0: Not shown</w:t>
            </w:r>
          </w:p>
        </w:tc>
        <w:tc>
          <w:tcPr>
            <w:tcW w:type="dxa" w:w="18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1: Emerging</w:t>
            </w:r>
          </w:p>
        </w:tc>
        <w:tc>
          <w:tcPr>
            <w:tcW w:type="dxa" w:w="18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2: Developing</w:t>
            </w:r>
          </w:p>
        </w:tc>
        <w:tc>
          <w:tcPr>
            <w:tcW w:type="dxa" w:w="184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3: Strong</w:t>
            </w:r>
          </w:p>
        </w:tc>
      </w:tr>
      <w:tr>
        <w:trPr>
          <w:cantSplit/>
        </w:trPr>
        <w:tc>
          <w:tcPr>
            <w:tcW w:type="dxa" w:w="20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Cultural Intelligence (CQ)</w:t>
            </w:r>
          </w:p>
        </w:tc>
        <w:tc>
          <w:tcPr>
            <w:tcW w:type="dxa" w:w="18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Applies own norms. Ignores context</w:t>
            </w:r>
          </w:p>
        </w:tc>
        <w:tc>
          <w:tcPr>
            <w:tcW w:type="dxa" w:w="18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Notices difference but does not adapt</w:t>
            </w:r>
          </w:p>
        </w:tc>
        <w:tc>
          <w:tcPr>
            <w:tcW w:type="dxa" w:w="18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Adapts with some local input</w:t>
            </w:r>
          </w:p>
        </w:tc>
        <w:tc>
          <w:tcPr>
            <w:tcW w:type="dxa" w:w="18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Seeks local knowledge, checks assumptions, adapts respectfully</w:t>
            </w:r>
          </w:p>
        </w:tc>
      </w:tr>
      <w:tr>
        <w:trPr>
          <w:cantSplit/>
        </w:trPr>
        <w:tc>
          <w:tcPr>
            <w:tcW w:type="dxa" w:w="20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Bias Awareness</w:t>
            </w:r>
          </w:p>
        </w:tc>
        <w:tc>
          <w:tcPr>
            <w:tcW w:type="dxa" w:w="18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Relies on a stereotype or shortcut</w:t>
            </w:r>
          </w:p>
        </w:tc>
        <w:tc>
          <w:tcPr>
            <w:tcW w:type="dxa" w:w="18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Hesitates but proceeds on the shortcut</w:t>
            </w:r>
          </w:p>
        </w:tc>
        <w:tc>
          <w:tcPr>
            <w:tcW w:type="dxa" w:w="18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Questions the shortcut partially</w:t>
            </w:r>
          </w:p>
        </w:tc>
        <w:tc>
          <w:tcPr>
            <w:tcW w:type="dxa" w:w="18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Names the shortcut and deliberately counters it</w:t>
            </w:r>
          </w:p>
        </w:tc>
      </w:tr>
      <w:tr>
        <w:trPr>
          <w:cantSplit/>
        </w:trPr>
        <w:tc>
          <w:tcPr>
            <w:tcW w:type="dxa" w:w="20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Evidence-Based Decisions</w:t>
            </w:r>
          </w:p>
        </w:tc>
        <w:tc>
          <w:tcPr>
            <w:tcW w:type="dxa" w:w="18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Single or unverified source</w:t>
            </w:r>
          </w:p>
        </w:tc>
        <w:tc>
          <w:tcPr>
            <w:tcW w:type="dxa" w:w="18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Some data, gaps unacknowledged</w:t>
            </w:r>
          </w:p>
        </w:tc>
        <w:tc>
          <w:tcPr>
            <w:tcW w:type="dxa" w:w="18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Several sources, some limits noted</w:t>
            </w:r>
          </w:p>
        </w:tc>
        <w:tc>
          <w:tcPr>
            <w:tcW w:type="dxa" w:w="184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Triangulates, uses disaggregated data, states uncertainty</w:t>
            </w:r>
          </w:p>
        </w:tc>
      </w:tr>
      <w:tr>
        <w:trPr>
          <w:cantSplit/>
        </w:trPr>
        <w:tc>
          <w:tcPr>
            <w:tcW w:type="dxa" w:w="20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Do No Harm &amp; Inclusion</w:t>
            </w:r>
          </w:p>
        </w:tc>
        <w:tc>
          <w:tcPr>
            <w:tcW w:type="dxa" w:w="18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Likely to cause harm or exclusion</w:t>
            </w:r>
          </w:p>
        </w:tc>
        <w:tc>
          <w:tcPr>
            <w:tcW w:type="dxa" w:w="18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Avoids obvious harm, excludes some groups</w:t>
            </w:r>
          </w:p>
        </w:tc>
        <w:tc>
          <w:tcPr>
            <w:tcW w:type="dxa" w:w="18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Includes affected groups with some risk</w:t>
            </w:r>
          </w:p>
        </w:tc>
        <w:tc>
          <w:tcPr>
            <w:tcW w:type="dxa" w:w="184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Anticipates harm and includes those most affected safely</w:t>
            </w:r>
          </w:p>
        </w:tc>
      </w:tr>
    </w:tbl>
    <w:p>
      <w:pPr>
        <w:pStyle w:val="Heading2"/>
      </w:pPr>
      <w:r>
        <w:t xml:space="preserve">7.2 Calculation</w:t>
      </w:r>
    </w:p>
    <w:p>
      <w:pPr>
        <w:spacing w:after="120" w:line="276"/>
      </w:pPr>
      <w:r>
        <w:t xml:space="preserve">For each competency </w:t>
      </w:r>
      <w:r>
        <w:rPr>
          <w:i/>
          <w:iCs/>
        </w:rPr>
        <w:t xml:space="preserve">c</w:t>
      </w:r>
      <w:r>
        <w:t xml:space="preserve"> in a scenario:  </w:t>
      </w:r>
      <w:r>
        <w:rPr>
          <w:b/>
          <w:bCs/>
        </w:rPr>
        <w:t xml:space="preserve">score(c) = points earned ÷ best points available at each decision × 100%</w:t>
      </w:r>
      <w:r>
        <w:t xml:space="preserve">. The overall scenario score is the mean of the four competency scores. The profile uses the </w:t>
      </w:r>
      <w:r>
        <w:rPr>
          <w:b/>
          <w:bCs/>
        </w:rPr>
        <w:t xml:space="preserve">latest attempt</w:t>
      </w:r>
      <w:r>
        <w:t xml:space="preserve"> at each scenario, so replaying to improve is encouraged.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56AD" w:sz="24"/>
              <w:bottom w:val="none" w:color="FFFFFF" w:sz="0"/>
              <w:right w:val="none" w:color="FFFFFF" w:sz="0"/>
            </w:tcBorders>
            <w:shd w:fill="EAF2FF" w:color="auto" w:val="clear"/>
            <w:tcMar>
              <w:top w:type="dxa" w:w="120"/>
              <w:left w:type="dxa" w:w="200"/>
              <w:bottom w:type="dxa" w:w="120"/>
              <w:right w:type="dxa" w:w="200"/>
            </w:tcMar>
          </w:tcPr>
          <w:p>
            <w:pPr>
              <w:spacing w:after="60"/>
            </w:pPr>
            <w:r>
              <w:rPr>
                <w:b/>
                <w:bCs/>
                <w:color w:val="1F56AD"/>
                <w:sz w:val="21"/>
                <w:szCs w:val="21"/>
              </w:rPr>
              <w:t xml:space="preserve">Worked example: "Who speaks for the community?"</w:t>
            </w:r>
          </w:p>
          <w:p>
            <w:pPr>
              <w:spacing w:after="50" w:line="260"/>
            </w:pPr>
            <w:r>
              <w:rPr>
                <w:sz w:val="20"/>
                <w:szCs w:val="20"/>
              </w:rPr>
              <w:t xml:space="preserve">Decision 1: the learner chooses A (CQ 0, Bias 0, Evidence 1, Harm 0). The best available is 3 on each.</w:t>
            </w:r>
          </w:p>
          <w:p>
            <w:pPr>
              <w:spacing w:after="50" w:line="260"/>
            </w:pPr>
            <w:r>
              <w:rPr>
                <w:sz w:val="20"/>
                <w:szCs w:val="20"/>
              </w:rPr>
              <w:t xml:space="preserve">Decision 2: the learner chooses B (3, 3, 3, 3). The best available is 3 on each.</w:t>
            </w:r>
          </w:p>
          <w:p>
            <w:pPr>
              <w:spacing w:after="50" w:line="260"/>
            </w:pPr>
            <w:r>
              <w:rPr>
                <w:sz w:val="20"/>
                <w:szCs w:val="20"/>
              </w:rPr>
              <w:t xml:space="preserve">CQ = 3/6 = 50%; Bias = 3/6 = 50%; Evidence = 4/6 = 67%; Do No Harm = 3/6 = 50%. </w:t>
            </w:r>
            <w:r>
              <w:rPr>
                <w:b/>
                <w:bCs/>
                <w:sz w:val="20"/>
                <w:szCs w:val="20"/>
              </w:rPr>
              <w:t xml:space="preserve">Overall = 54%</w:t>
            </w:r>
            <w:r>
              <w:rPr>
                <w:sz w:val="20"/>
                <w:szCs w:val="20"/>
              </w:rPr>
              <w:t xml:space="preserve"> (matches Figure 6).</w:t>
            </w:r>
          </w:p>
        </w:tc>
      </w:tr>
    </w:tbl>
    <w:p>
      <w:pPr>
        <w:pStyle w:val="Heading2"/>
      </w:pPr>
      <w:r>
        <w:t xml:space="preserve">7.3 Proposed profile bands (for the next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Band</w:t>
            </w:r>
          </w:p>
        </w:tc>
        <w:tc>
          <w:tcPr>
            <w:tcW w:type="dxa" w:w="14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Range</w:t>
            </w:r>
          </w:p>
        </w:tc>
        <w:tc>
          <w:tcPr>
            <w:tcW w:type="dxa" w:w="61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Message to the learner</w:t>
            </w:r>
          </w:p>
        </w:tc>
      </w:tr>
      <w:tr>
        <w:trPr>
          <w:cantSplit/>
        </w:trPr>
        <w:tc>
          <w:tcPr>
            <w:tcW w:type="dxa" w:w="18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Emerging</w:t>
            </w:r>
          </w:p>
        </w:tc>
        <w:tc>
          <w:tcPr>
            <w:tcW w:type="dxa" w:w="14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0–49%</w:t>
            </w:r>
          </w:p>
        </w:tc>
        <w:tc>
          <w:tcPr>
            <w:tcW w:type="dxa" w:w="61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Focus on the PAUSE protocol and replay scenarios in your lowest competency.</w:t>
            </w:r>
          </w:p>
        </w:tc>
      </w:tr>
      <w:tr>
        <w:trPr>
          <w:cantSplit/>
        </w:trPr>
        <w:tc>
          <w:tcPr>
            <w:tcW w:type="dxa" w:w="18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Developing</w:t>
            </w:r>
          </w:p>
        </w:tc>
        <w:tc>
          <w:tcPr>
            <w:tcW w:type="dxa" w:w="14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50–74%</w:t>
            </w:r>
          </w:p>
        </w:tc>
        <w:tc>
          <w:tcPr>
            <w:tcW w:type="dxa" w:w="61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Good instincts. Practise naming the bias and seeking local evidence before acting.</w:t>
            </w:r>
          </w:p>
        </w:tc>
      </w:tr>
      <w:tr>
        <w:trPr>
          <w:cantSplit/>
        </w:trPr>
        <w:tc>
          <w:tcPr>
            <w:tcW w:type="dxa" w:w="18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Proficient</w:t>
            </w:r>
          </w:p>
        </w:tc>
        <w:tc>
          <w:tcPr>
            <w:tcW w:type="dxa" w:w="14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75–100%</w:t>
            </w:r>
          </w:p>
        </w:tc>
        <w:tc>
          <w:tcPr>
            <w:tcW w:type="dxa" w:w="61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Strong judgement. Consider facilitating a Team Debrief for colleagues.</w:t>
            </w:r>
          </w:p>
        </w:tc>
      </w:tr>
    </w:tbl>
    <w:p>
      <w:pPr>
        <w:pStyle w:val="Heading2"/>
      </w:pPr>
      <w:r>
        <w:t xml:space="preserve">7.4 Safeguards</w:t>
      </w:r>
    </w:p>
    <w:p>
      <w:pPr>
        <w:pStyle w:val="ListParagraph"/>
        <w:numPr>
          <w:ilvl w:val="0"/>
          <w:numId w:val="4"/>
        </w:numPr>
        <w:spacing w:after="60" w:line="264"/>
      </w:pPr>
      <w:r>
        <w:rPr>
          <w:b/>
          <w:bCs/>
        </w:rPr>
        <w:t xml:space="preserve">No implicit-bias diagnosis.</w:t>
      </w:r>
      <w:r>
        <w:t xml:space="preserve"> Reaction-time tests such as the IAT are useful for awareness but are not reliable predictors of an individual's behaviour (Forscher et al., 2019), so the tool does not claim to measure bias.</w:t>
      </w:r>
    </w:p>
    <w:p>
      <w:pPr>
        <w:pStyle w:val="ListParagraph"/>
        <w:numPr>
          <w:ilvl w:val="0"/>
          <w:numId w:val="4"/>
        </w:numPr>
        <w:spacing w:after="60" w:line="264"/>
      </w:pPr>
      <w:r>
        <w:rPr>
          <w:b/>
          <w:bCs/>
        </w:rPr>
        <w:t xml:space="preserve">Private by default.</w:t>
      </w:r>
      <w:r>
        <w:t xml:space="preserve"> Scores stay on the learner's device and are shared only if the learner exports them.</w:t>
      </w:r>
    </w:p>
    <w:p>
      <w:pPr>
        <w:pStyle w:val="ListParagraph"/>
        <w:numPr>
          <w:ilvl w:val="0"/>
          <w:numId w:val="4"/>
        </w:numPr>
        <w:spacing w:after="60" w:line="264"/>
      </w:pPr>
      <w:r>
        <w:rPr>
          <w:b/>
          <w:bCs/>
        </w:rPr>
        <w:t xml:space="preserve">No leaderboards.</w:t>
      </w:r>
      <w:r>
        <w:t xml:space="preserve"> Competition would discourage honest choices and reflection.</w:t>
      </w:r>
    </w:p>
    <w:p>
      <w:pPr>
        <w:pStyle w:val="ListParagraph"/>
        <w:numPr>
          <w:ilvl w:val="0"/>
          <w:numId w:val="4"/>
        </w:numPr>
        <w:spacing w:after="60" w:line="264"/>
      </w:pPr>
      <w:r>
        <w:rPr>
          <w:b/>
          <w:bCs/>
        </w:rPr>
        <w:t xml:space="preserve">Scores are reviewed regularly</w:t>
      </w:r>
      <w:r>
        <w:t xml:space="preserve"> with diverse reviewers to detect cultural bias in the scoring itself.</w:t>
      </w:r>
    </w:p>
    <w:p>
      <w:r>
        <w:br w:type="page"/>
      </w:r>
    </w:p>
    <w:p>
      <w:pPr>
        <w:pStyle w:val="Heading1"/>
      </w:pPr>
      <w:r>
        <w:t xml:space="preserve">8. Annotated prototype screens: Relief Map</w:t>
      </w:r>
    </w:p>
    <w:p>
      <w:pPr>
        <w:spacing w:after="120" w:line="276"/>
      </w:pPr>
      <w:r>
        <w:t xml:space="preserve">The screens below are from the working prototype (https://alyssaselassie.github.io/Workforce-with-the-United-Nations/). Numbered markers correspond to the notes under each figure. </w:t>
      </w:r>
      <w:r>
        <w:rPr>
          <w:i/>
          <w:iCs/>
        </w:rPr>
        <w:t xml:space="preserve">In the screenshots the basemap is a simplified world outline. The live site uses OpenStreetMap tiles.</w:t>
      </w:r>
    </w:p>
    <w:p>
      <w:pPr>
        <w:keepNext/>
        <w:spacing w:after="60" w:before="120"/>
        <w:jc w:val="center"/>
      </w:pPr>
      <w:r>
        <w:drawing>
          <wp:inline distT="0" distB="0" distL="0" distR="0">
            <wp:extent cx="5334000" cy="4095750"/>
            <wp:effectExtent t="0" r="0" b="0" l="0"/>
            <wp:docPr id="1" name="A-map" descr="Mission map with filters and the UNOWAS regional office selected." title="Mission map with filters and the UNOWAS regional offic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095750"/>
                    </a:xfrm>
                    <a:prstGeom prst="rect">
                      <a:avLst/>
                    </a:prstGeom>
                  </pic:spPr>
                </pic:pic>
              </a:graphicData>
            </a:graphic>
          </wp:inline>
        </w:drawing>
      </w:r>
    </w:p>
    <w:p>
      <w:pPr>
        <w:spacing w:after="160"/>
        <w:jc w:val="center"/>
      </w:pPr>
      <w:r>
        <w:rPr>
          <w:b/>
          <w:bCs/>
          <w:color w:val="5B6678"/>
          <w:sz w:val="19"/>
          <w:szCs w:val="19"/>
        </w:rPr>
        <w:t xml:space="preserve">Figure 2. </w:t>
      </w:r>
      <w:r>
        <w:rPr>
          <w:i/>
          <w:iCs/>
          <w:color w:val="5B6678"/>
          <w:sz w:val="19"/>
          <w:szCs w:val="19"/>
        </w:rPr>
        <w:t xml:space="preserve">Mission map with filters and the UNOWAS regional office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Search and filters</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Find a mission by name, acronym or country. Filter by mission type and region.</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Colour legend</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Five mission types, each with a distinct colour, so mandate types are visible at a glance.</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Data currency notice</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Shows the compilation date and how many entries need verification. This builds trust and models evidence-based practice.</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Selected mission</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Highlighted pin for the mission in the panel (here, Dakar).</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5</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Grouped pins</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Nearby offices merge into a numbered pin that splits apart on zoom. Clicking it lists every office in the area.</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6</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Type, status and verification</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Mandate type, operational status and data verification flag shown together.</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7</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Geographic scope</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Every country in a regional mandate is listed (16 for UNOWAS), with a "multi-country / regional" tag.</w:t>
            </w:r>
          </w:p>
        </w:tc>
      </w:tr>
    </w:tbl>
    <w:p>
      <w:pPr>
        <w:keepNext/>
        <w:spacing w:after="60" w:before="120"/>
        <w:jc w:val="center"/>
      </w:pPr>
      <w:r>
        <w:drawing>
          <wp:inline distT="0" distB="0" distL="0" distR="0">
            <wp:extent cx="1552575" cy="4762500"/>
            <wp:effectExtent t="0" r="0" b="0" l="0"/>
            <wp:docPr id="1" name="A2-panel" descr="Mission panel (continued): reflection prompts, official source and linked scenarios." title="Mission panel (continued): reflection prompts, official source and linked sce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52575" cy="4762500"/>
                    </a:xfrm>
                    <a:prstGeom prst="rect">
                      <a:avLst/>
                    </a:prstGeom>
                  </pic:spPr>
                </pic:pic>
              </a:graphicData>
            </a:graphic>
          </wp:inline>
        </w:drawing>
      </w:r>
    </w:p>
    <w:p>
      <w:pPr>
        <w:spacing w:after="160"/>
        <w:jc w:val="center"/>
      </w:pPr>
      <w:r>
        <w:rPr>
          <w:b/>
          <w:bCs/>
          <w:color w:val="5B6678"/>
          <w:sz w:val="19"/>
          <w:szCs w:val="19"/>
        </w:rPr>
        <w:t xml:space="preserve">Figure 3. </w:t>
      </w:r>
      <w:r>
        <w:rPr>
          <w:i/>
          <w:iCs/>
          <w:color w:val="5B6678"/>
          <w:sz w:val="19"/>
          <w:szCs w:val="19"/>
        </w:rPr>
        <w:t xml:space="preserve">Mission panel (continued): reflection prompts, official source and linked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8</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Pre-deployment reflection</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Prompts generated from the mission data. Regional mandates get a prompt about not generalising across countries.</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9</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Linked scenarios</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One click from place to practice. The scenario opens with the mission as its context.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10</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Official source</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 direct link to the mission's official site, so learners go back to primary sources.</w:t>
            </w:r>
          </w:p>
        </w:tc>
      </w:tr>
    </w:tbl>
    <w:p>
      <w:pPr>
        <w:keepNext/>
        <w:spacing w:after="60" w:before="120"/>
        <w:jc w:val="center"/>
      </w:pPr>
      <w:r>
        <w:drawing>
          <wp:inline distT="0" distB="0" distL="0" distR="0">
            <wp:extent cx="5143500" cy="2628900"/>
            <wp:effectExtent t="0" r="0" b="0" l="0"/>
            <wp:docPr id="1" name="B-intro" descr="Scenario introduction: role, setting, bias focus and the PAUSE protocol." title="Scenario introduction: role, setting, bias focus and the PAUSE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628900"/>
                    </a:xfrm>
                    <a:prstGeom prst="rect">
                      <a:avLst/>
                    </a:prstGeom>
                  </pic:spPr>
                </pic:pic>
              </a:graphicData>
            </a:graphic>
          </wp:inline>
        </w:drawing>
      </w:r>
    </w:p>
    <w:p>
      <w:pPr>
        <w:spacing w:after="160"/>
        <w:jc w:val="center"/>
      </w:pPr>
      <w:r>
        <w:rPr>
          <w:b/>
          <w:bCs/>
          <w:color w:val="5B6678"/>
          <w:sz w:val="19"/>
          <w:szCs w:val="19"/>
        </w:rPr>
        <w:t xml:space="preserve">Figure 4. </w:t>
      </w:r>
      <w:r>
        <w:rPr>
          <w:i/>
          <w:iCs/>
          <w:color w:val="5B6678"/>
          <w:sz w:val="19"/>
          <w:szCs w:val="19"/>
        </w:rPr>
        <w:t xml:space="preserve">Scenario introduction: role, setting, bias focus and the PAUSE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Role and mission context</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The learner takes a specific professional role. The mission link returns to the map.</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Setting</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 fictional place, so no real community is stereotyped.</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Bias focus</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Names and defines the biases the scenario explores, so learners know what to watch for.</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PAUSE protocol</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Shown before the first decision to prime a deliberate, reflective approach.</w:t>
            </w:r>
          </w:p>
        </w:tc>
      </w:tr>
    </w:tbl>
    <w:p>
      <w:pPr>
        <w:spacing w:after="120"/>
      </w:pPr>
    </w:p>
    <w:p>
      <w:pPr>
        <w:keepNext/>
        <w:spacing w:after="60" w:before="120"/>
        <w:jc w:val="center"/>
      </w:pPr>
      <w:r>
        <w:drawing>
          <wp:inline distT="0" distB="0" distL="0" distR="0">
            <wp:extent cx="5334000" cy="4295775"/>
            <wp:effectExtent t="0" r="0" b="0" l="0"/>
            <wp:docPr id="1" name="C-decision" descr="Decision with immediate feedback after a weaker choice." title="Decision with immediate feedback after a weaker ch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95775"/>
                    </a:xfrm>
                    <a:prstGeom prst="rect">
                      <a:avLst/>
                    </a:prstGeom>
                  </pic:spPr>
                </pic:pic>
              </a:graphicData>
            </a:graphic>
          </wp:inline>
        </w:drawing>
      </w:r>
    </w:p>
    <w:p>
      <w:pPr>
        <w:spacing w:after="160"/>
        <w:jc w:val="center"/>
      </w:pPr>
      <w:r>
        <w:rPr>
          <w:b/>
          <w:bCs/>
          <w:color w:val="5B6678"/>
          <w:sz w:val="19"/>
          <w:szCs w:val="19"/>
        </w:rPr>
        <w:t xml:space="preserve">Figure 5. </w:t>
      </w:r>
      <w:r>
        <w:rPr>
          <w:i/>
          <w:iCs/>
          <w:color w:val="5B6678"/>
          <w:sz w:val="19"/>
          <w:szCs w:val="19"/>
        </w:rPr>
        <w:t xml:space="preserve">Decision with immediate feedback after a weaker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Step progress</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Shows the position in a short scenario (2 decisions).</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Context</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Key facts the decision depends on. Learners who skim it often miss the bias.</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Chosen response</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The chosen option stays highlighted. Others dim but remain readable for comparison.</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Rating</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Strong / Partial / Reconsider, with colour and icon (not colour alone, for accessibility).</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5</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Competency scores</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Points on each of the four competencies for this choice.</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6</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Bias at play</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Names the bias the choice relied on, with a practical counter-strategy.</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7</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Strongest option</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Expandable explanation of the best option, so learning continues after a weak choice.</w:t>
            </w:r>
          </w:p>
        </w:tc>
      </w:tr>
    </w:tbl>
    <w:p>
      <w:pPr>
        <w:keepNext/>
        <w:spacing w:after="60" w:before="120"/>
        <w:jc w:val="center"/>
      </w:pPr>
      <w:r>
        <w:drawing>
          <wp:inline distT="0" distB="0" distL="0" distR="0">
            <wp:extent cx="5143500" cy="2619375"/>
            <wp:effectExtent t="0" r="0" b="0" l="0"/>
            <wp:docPr id="1" name="D-results" descr="Scenario results with competency profile, takeaways and personal reflection." title="Scenario results with competency profile, takeaways and personal ref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619375"/>
                    </a:xfrm>
                    <a:prstGeom prst="rect">
                      <a:avLst/>
                    </a:prstGeom>
                  </pic:spPr>
                </pic:pic>
              </a:graphicData>
            </a:graphic>
          </wp:inline>
        </w:drawing>
      </w:r>
    </w:p>
    <w:p>
      <w:pPr>
        <w:spacing w:after="160"/>
        <w:jc w:val="center"/>
      </w:pPr>
      <w:r>
        <w:rPr>
          <w:b/>
          <w:bCs/>
          <w:color w:val="5B6678"/>
          <w:sz w:val="19"/>
          <w:szCs w:val="19"/>
        </w:rPr>
        <w:t xml:space="preserve">Figure 6. </w:t>
      </w:r>
      <w:r>
        <w:rPr>
          <w:i/>
          <w:iCs/>
          <w:color w:val="5B6678"/>
          <w:sz w:val="19"/>
          <w:szCs w:val="19"/>
        </w:rPr>
        <w:t xml:space="preserve">Scenario results with competency profile, takeaways and personal reflection.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Overall result</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Mean of the four competencies (see the worked example in Section 7.2).</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Competency meters</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Shows which competency to develop. Scores are formative, not evaluative.</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Biases in your choices</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Personalised list with a link to the bias library.</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Key takeaways</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Three transferable principles per scenario.</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5</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Personal reflection</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Connects the scenario to the learner's own work. Saved privately on the device.</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6</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Bridge to the team</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"Discuss with your team" opens a Team Debrief preloaded with this scenario.</w:t>
            </w:r>
          </w:p>
        </w:tc>
      </w:tr>
    </w:tbl>
    <w:p>
      <w:pPr>
        <w:spacing w:after="120"/>
      </w:pPr>
    </w:p>
    <w:p>
      <w:pPr>
        <w:keepNext/>
        <w:spacing w:after="60" w:before="120"/>
        <w:jc w:val="center"/>
      </w:pPr>
      <w:r>
        <w:drawing>
          <wp:inline distT="0" distB="0" distL="0" distR="0">
            <wp:extent cx="4953000" cy="2895600"/>
            <wp:effectExtent t="0" r="0" b="0" l="0"/>
            <wp:docPr id="1" name="E-progress" descr="Progress dashboard after four scenarios." title="Progress dashboard after four sce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895600"/>
                    </a:xfrm>
                    <a:prstGeom prst="rect">
                      <a:avLst/>
                    </a:prstGeom>
                  </pic:spPr>
                </pic:pic>
              </a:graphicData>
            </a:graphic>
          </wp:inline>
        </w:drawing>
      </w:r>
    </w:p>
    <w:p>
      <w:pPr>
        <w:spacing w:after="160"/>
        <w:jc w:val="center"/>
      </w:pPr>
      <w:r>
        <w:rPr>
          <w:b/>
          <w:bCs/>
          <w:color w:val="5B6678"/>
          <w:sz w:val="19"/>
          <w:szCs w:val="19"/>
        </w:rPr>
        <w:t xml:space="preserve">Figure 7. </w:t>
      </w:r>
      <w:r>
        <w:rPr>
          <w:i/>
          <w:iCs/>
          <w:color w:val="5B6678"/>
          <w:sz w:val="19"/>
          <w:szCs w:val="19"/>
        </w:rPr>
        <w:t xml:space="preserve">Progress dashboard after four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Competency profile</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Totals across all completed scenarios, using the latest attempt at each.</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Focus area</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Highlights the lowest competency with its definition.</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Recurring biases</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The biases that appeared most often in the learner's choices, with counter-strategies.</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Scenario history</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Per-scenario scores, attempts and replay links. The summary can be exported or printed.</w:t>
            </w:r>
          </w:p>
        </w:tc>
      </w:tr>
    </w:tbl>
    <w:p>
      <w:r>
        <w:br w:type="page"/>
      </w:r>
    </w:p>
    <w:p>
      <w:pPr>
        <w:pStyle w:val="Heading1"/>
      </w:pPr>
      <w:r>
        <w:t xml:space="preserve">9. Outline: Team Compass, a global team collaboration and implicit-bias tool</w:t>
      </w:r>
    </w:p>
    <w:p>
      <w:pPr>
        <w:pStyle w:val="Heading2"/>
      </w:pPr>
      <w:r>
        <w:t xml:space="preserve">9.1 Purpose and rationale</w:t>
      </w:r>
    </w:p>
    <w:p>
      <w:pPr>
        <w:spacing w:after="120" w:line="276"/>
      </w:pPr>
      <w:r>
        <w:t xml:space="preserve">Relief Map builds individual awareness, but decisions in the field are made by </w:t>
      </w:r>
      <w:r>
        <w:rPr>
          <w:b/>
          <w:bCs/>
        </w:rPr>
        <w:t xml:space="preserve">teams</w:t>
      </w:r>
      <w:r>
        <w:t xml:space="preserve">, often spread across duty stations, time zones, languages and contract types. Bias shows up in team routines: whose voice is heard first, whose expertise counts, which perspectives are absent and who carries the inconvenient meeting time. Research on psychological safety (Edmondson, 1999) shows that teams learn when members feel safe to speak up and disagree. </w:t>
      </w:r>
      <w:r>
        <w:rPr>
          <w:b/>
          <w:bCs/>
        </w:rPr>
        <w:t xml:space="preserve">Team Compass</w:t>
      </w:r>
      <w:r>
        <w:t xml:space="preserve"> gives distributed UN teams a structured, repeatable way to practise inclusive decision-making together and to notice their own patterns at </w:t>
      </w:r>
      <w:r>
        <w:rPr>
          <w:b/>
          <w:bCs/>
        </w:rPr>
        <w:t xml:space="preserve">team level</w:t>
      </w:r>
      <w:r>
        <w:t xml:space="preserve">, without labelling individuals.</w:t>
      </w:r>
    </w:p>
    <w:p>
      <w:pPr>
        <w:pStyle w:val="Heading2"/>
      </w:pPr>
      <w:r>
        <w:t xml:space="preserve">9.2 Users and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Users</w:t>
            </w:r>
          </w:p>
        </w:tc>
        <w:tc>
          <w:tcPr>
            <w:tcW w:type="dxa" w:w="59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Typical use</w:t>
            </w:r>
          </w:p>
        </w:tc>
      </w:tr>
      <w:tr>
        <w:trPr>
          <w:cantSplit/>
        </w:trPr>
        <w:tc>
          <w:tcPr>
            <w:tcW w:type="dxa" w:w="34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Team leaders and facilitators</w:t>
            </w:r>
          </w:p>
        </w:tc>
        <w:tc>
          <w:tcPr>
            <w:tcW w:type="dxa" w:w="59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Run a 30–45 minute scenario cycle every 2–4 weeks. Track team agreements.</w:t>
            </w:r>
          </w:p>
        </w:tc>
      </w:tr>
      <w:tr>
        <w:trPr>
          <w:cantSplit/>
        </w:trPr>
        <w:tc>
          <w:tcPr>
            <w:tcW w:type="dxa" w:w="34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Team members (national, international and uniformed staff, partners)</w:t>
            </w:r>
          </w:p>
        </w:tc>
        <w:tc>
          <w:tcPr>
            <w:tcW w:type="dxa" w:w="59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Contribute perspectives live or asynchronously, vote, and commit to actions.</w:t>
            </w:r>
          </w:p>
        </w:tc>
      </w:tr>
      <w:tr>
        <w:trPr>
          <w:cantSplit/>
        </w:trPr>
        <w:tc>
          <w:tcPr>
            <w:tcW w:type="dxa" w:w="3400"/>
            <w:tcBorders>
              <w:top w:val="single" w:color="D9DDE8" w:sz="4"/>
              <w:left w:val="single" w:color="D9DDE8" w:sz="4"/>
              <w:bottom w:val="single" w:color="D9DDE8" w:sz="4"/>
              <w:right w:val="single" w:color="D9DDE8" w:sz="4"/>
            </w:tcBorders>
            <w:shd w:fill="EAF2FF" w:color="auto" w:val="clear"/>
            <w:tcMar>
              <w:top w:type="dxa" w:w="70"/>
              <w:left w:type="dxa" w:w="110"/>
              <w:bottom w:type="dxa" w:w="70"/>
              <w:right w:type="dxa" w:w="110"/>
            </w:tcMar>
          </w:tcPr>
          <w:p>
            <w:pPr>
              <w:spacing w:after="40" w:line="252"/>
            </w:pPr>
            <w:r>
              <w:rPr>
                <w:sz w:val="19"/>
                <w:szCs w:val="19"/>
              </w:rPr>
              <w:t xml:space="preserve">Training and inclusion focal points</w:t>
            </w:r>
          </w:p>
        </w:tc>
        <w:tc>
          <w:tcPr>
            <w:tcW w:type="dxa" w:w="59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Review anonymised, team-level trends across cycles. They never see individual scores.</w:t>
            </w:r>
          </w:p>
        </w:tc>
      </w:tr>
    </w:tbl>
    <w:p>
      <w:pPr>
        <w:pStyle w:val="Heading2"/>
      </w:pPr>
      <w:r>
        <w:t xml:space="preserve">9.3 Core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360"/>
        <w:gridCol w:w="1700"/>
      </w:tblGrid>
      <w:tr>
        <w:trPr>
          <w:tblHeader/>
        </w:trPr>
        <w:tc>
          <w:tcPr>
            <w:tcW w:type="dxa" w:w="23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Feature</w:t>
            </w:r>
          </w:p>
        </w:tc>
        <w:tc>
          <w:tcPr>
            <w:tcW w:type="dxa" w:w="53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Description</w:t>
            </w:r>
          </w:p>
        </w:tc>
        <w:tc>
          <w:tcPr>
            <w:tcW w:type="dxa" w:w="17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Status</w:t>
            </w:r>
          </w:p>
        </w:tc>
      </w:tr>
      <w:tr>
        <w:trPr>
          <w:cantSplit/>
        </w:trPr>
        <w:tc>
          <w:tcPr>
            <w:tcW w:type="dxa" w:w="2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Scenario-based debrief</w:t>
            </w:r>
          </w:p>
        </w:tc>
        <w:tc>
          <w:tcPr>
            <w:tcW w:type="dxa" w:w="5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The team works through a Relief Map scenario together: discussion prompts, reflection question and linked guidance.</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Built</w:t>
            </w:r>
            <w:r>
              <w:rPr>
                <w:sz w:val="19"/>
                <w:szCs w:val="19"/>
              </w:rPr>
              <w:t xml:space="preserve"> (Team Debrief)</w:t>
            </w:r>
          </w:p>
        </w:tc>
      </w:tr>
      <w:tr>
        <w:trPr>
          <w:cantSplit/>
        </w:trPr>
        <w:tc>
          <w:tcPr>
            <w:tcW w:type="dxa" w:w="2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Perspective wall</w:t>
            </w:r>
          </w:p>
        </w:tc>
        <w:tc>
          <w:tcPr>
            <w:tcW w:type="dxa" w:w="5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Contributions tagged by perspective (national, international, uniformed, partner) and PAUSE step. Anonymous option.</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Built</w:t>
            </w:r>
          </w:p>
        </w:tc>
      </w:tr>
      <w:tr>
        <w:trPr>
          <w:cantSplit/>
        </w:trPr>
        <w:tc>
          <w:tcPr>
            <w:tcW w:type="dxa" w:w="2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"Who's missing" alert</w:t>
            </w:r>
          </w:p>
        </w:tc>
        <w:tc>
          <w:tcPr>
            <w:tcW w:type="dxa" w:w="5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Flags perspectives that have not yet contributed before the team votes.</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Built</w:t>
            </w:r>
          </w:p>
        </w:tc>
      </w:tr>
      <w:tr>
        <w:trPr>
          <w:cantSplit/>
        </w:trPr>
        <w:tc>
          <w:tcPr>
            <w:tcW w:type="dxa" w:w="2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Group vote and guidance reveal</w:t>
            </w:r>
          </w:p>
        </w:tc>
        <w:tc>
          <w:tcPr>
            <w:tcW w:type="dxa" w:w="5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The team votes on each option. Guidance is revealed afterwards to discuss gaps and shared blind spots.</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Built</w:t>
            </w:r>
          </w:p>
        </w:tc>
      </w:tr>
      <w:tr>
        <w:trPr>
          <w:cantSplit/>
        </w:trPr>
        <w:tc>
          <w:tcPr>
            <w:tcW w:type="dxa" w:w="2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Action plan and summary</w:t>
            </w:r>
          </w:p>
        </w:tc>
        <w:tc>
          <w:tcPr>
            <w:tcW w:type="dxa" w:w="5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Turn contributions into owned actions. Printable summary. Export and import to share across devices.</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Built</w:t>
            </w:r>
          </w:p>
        </w:tc>
      </w:tr>
      <w:tr>
        <w:trPr>
          <w:cantSplit/>
        </w:trPr>
        <w:tc>
          <w:tcPr>
            <w:tcW w:type="dxa" w:w="2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Perspective swap round</w:t>
            </w:r>
          </w:p>
        </w:tc>
        <w:tc>
          <w:tcPr>
            <w:tcW w:type="dxa" w:w="5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Sub-groups argue a decision from an assigned stakeholder's viewpoint before voting.</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Proposed</w:t>
            </w:r>
          </w:p>
        </w:tc>
      </w:tr>
      <w:tr>
        <w:trPr>
          <w:cantSplit/>
        </w:trPr>
        <w:tc>
          <w:tcPr>
            <w:tcW w:type="dxa" w:w="2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Participation balance</w:t>
            </w:r>
          </w:p>
        </w:tc>
        <w:tc>
          <w:tcPr>
            <w:tcW w:type="dxa" w:w="5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Facilitator-recorded speaking turns by role group compared with team composition, with gentle nudges.</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Proposed</w:t>
            </w:r>
          </w:p>
        </w:tc>
      </w:tr>
      <w:tr>
        <w:trPr>
          <w:cantSplit/>
        </w:trPr>
        <w:tc>
          <w:tcPr>
            <w:tcW w:type="dxa" w:w="2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Fair scheduling and async rounds</w:t>
            </w:r>
          </w:p>
        </w:tc>
        <w:tc>
          <w:tcPr>
            <w:tcW w:type="dxa" w:w="5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Rotates meeting times across duty stations. Asynchronous contributions count equally.</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Proposed</w:t>
            </w:r>
          </w:p>
        </w:tc>
      </w:tr>
      <w:tr>
        <w:trPr>
          <w:cantSplit/>
        </w:trPr>
        <w:tc>
          <w:tcPr>
            <w:tcW w:type="dxa" w:w="2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Team inclusion pulse</w:t>
            </w:r>
          </w:p>
        </w:tc>
        <w:tc>
          <w:tcPr>
            <w:tcW w:type="dxa" w:w="5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Three anonymous 1–5 statements each cycle. Shown only when 5 or more members respond.</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Proposed</w:t>
            </w:r>
          </w:p>
        </w:tc>
      </w:tr>
      <w:tr>
        <w:trPr>
          <w:cantSplit/>
        </w:trPr>
        <w:tc>
          <w:tcPr>
            <w:tcW w:type="dxa" w:w="2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Team agreements</w:t>
            </w:r>
          </w:p>
        </w:tc>
        <w:tc>
          <w:tcPr>
            <w:tcW w:type="dxa" w:w="5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Norms the team commits to (for example "national staff speak first"), tracked across cycles.</w:t>
            </w:r>
          </w:p>
        </w:tc>
        <w:tc>
          <w:tcPr>
            <w:tcW w:type="dxa" w:w="17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Proposed</w:t>
            </w:r>
          </w:p>
        </w:tc>
      </w:tr>
      <w:tr>
        <w:trPr>
          <w:cantSplit/>
        </w:trPr>
        <w:tc>
          <w:tcPr>
            <w:tcW w:type="dxa" w:w="2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Multilingual input</w:t>
            </w:r>
          </w:p>
        </w:tc>
        <w:tc>
          <w:tcPr>
            <w:tcW w:type="dxa" w:w="5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Contribute in English, French, Arabic or Spanish, so fluency is not mistaken for expertise.</w:t>
            </w:r>
          </w:p>
        </w:tc>
        <w:tc>
          <w:tcPr>
            <w:tcW w:type="dxa" w:w="17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Proposed</w:t>
            </w:r>
          </w:p>
        </w:tc>
      </w:tr>
    </w:tbl>
    <w:p>
      <w:pPr>
        <w:pStyle w:val="Heading2"/>
      </w:pPr>
      <w:r>
        <w:t xml:space="preserve">9.4 Team journey (one 4-week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300"/>
        <w:gridCol w:w="3860"/>
      </w:tblGrid>
      <w:tr>
        <w:trPr>
          <w:tblHeader/>
        </w:trPr>
        <w:tc>
          <w:tcPr>
            <w:tcW w:type="dxa" w:w="12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Week</w:t>
            </w:r>
          </w:p>
        </w:tc>
        <w:tc>
          <w:tcPr>
            <w:tcW w:type="dxa" w:w="43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Activity</w:t>
            </w:r>
          </w:p>
        </w:tc>
        <w:tc>
          <w:tcPr>
            <w:tcW w:type="dxa" w:w="38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Team Compass support</w:t>
            </w:r>
          </w:p>
        </w:tc>
      </w:tr>
      <w:tr>
        <w:trPr>
          <w:cantSplit/>
        </w:trPr>
        <w:tc>
          <w:tcPr>
            <w:tcW w:type="dxa" w:w="12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Week 1</w:t>
            </w:r>
          </w:p>
        </w:tc>
        <w:tc>
          <w:tcPr>
            <w:tcW w:type="dxa" w:w="4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Each member completes the chosen Relief Map scenario individually</w:t>
            </w:r>
          </w:p>
        </w:tc>
        <w:tc>
          <w:tcPr>
            <w:tcW w:type="dxa" w:w="38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Scenario assignment. Completion count (no individual scores shared)</w:t>
            </w:r>
          </w:p>
        </w:tc>
      </w:tr>
      <w:tr>
        <w:trPr>
          <w:cantSplit/>
        </w:trPr>
        <w:tc>
          <w:tcPr>
            <w:tcW w:type="dxa" w:w="12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Week 2</w:t>
            </w:r>
          </w:p>
        </w:tc>
        <w:tc>
          <w:tcPr>
            <w:tcW w:type="dxa" w:w="4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Asynchronous round: members post perspectives and the perspective swap</w:t>
            </w:r>
          </w:p>
        </w:tc>
        <w:tc>
          <w:tcPr>
            <w:tcW w:type="dxa" w:w="38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Perspective wall, "who's missing" alert, multilingual input</w:t>
            </w:r>
          </w:p>
        </w:tc>
      </w:tr>
      <w:tr>
        <w:trPr>
          <w:cantSplit/>
        </w:trPr>
        <w:tc>
          <w:tcPr>
            <w:tcW w:type="dxa" w:w="12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Week 3</w:t>
            </w:r>
          </w:p>
        </w:tc>
        <w:tc>
          <w:tcPr>
            <w:tcW w:type="dxa" w:w="4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Live 30–45 minute session: discuss, vote, reveal guidance, agree actions</w:t>
            </w:r>
          </w:p>
        </w:tc>
        <w:tc>
          <w:tcPr>
            <w:tcW w:type="dxa" w:w="38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Group vote, participation balance, action plan</w:t>
            </w:r>
          </w:p>
        </w:tc>
      </w:tr>
      <w:tr>
        <w:trPr>
          <w:cantSplit/>
        </w:trPr>
        <w:tc>
          <w:tcPr>
            <w:tcW w:type="dxa" w:w="12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Week 4</w:t>
            </w:r>
          </w:p>
        </w:tc>
        <w:tc>
          <w:tcPr>
            <w:tcW w:type="dxa" w:w="4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Follow-up: actions completed, inclusion pulse, agreements reviewed</w:t>
            </w:r>
          </w:p>
        </w:tc>
        <w:tc>
          <w:tcPr>
            <w:tcW w:type="dxa" w:w="38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Inclusion pulse, team agreements, cycle summary</w:t>
            </w:r>
          </w:p>
        </w:tc>
      </w:tr>
    </w:tbl>
    <w:p>
      <w:pPr>
        <w:pStyle w:val="Heading2"/>
      </w:pPr>
      <w:r>
        <w:t xml:space="preserve">9.5 Sample team activity: questions, response choices and facilitation feedback</w:t>
      </w:r>
    </w:p>
    <w:p>
      <w:pPr>
        <w:spacing w:after="120" w:line="276"/>
      </w:pPr>
      <w:r>
        <w:rPr>
          <w:b/>
          <w:bCs/>
        </w:rPr>
        <w:t xml:space="preserve">Pulse question (anonymous, before the live session):</w:t>
      </w:r>
      <w:r>
        <w:t xml:space="preserve"> "In our last team meeting, whose input most shaped the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Response choice</w:t>
            </w:r>
          </w:p>
        </w:tc>
        <w:tc>
          <w:tcPr>
            <w:tcW w:type="dxa" w:w="59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Facilitation feedback shown to the team (aggregate only)</w:t>
            </w:r>
          </w:p>
        </w:tc>
      </w:tr>
      <w:tr>
        <w:trPr>
          <w:cantSplit/>
        </w:trPr>
        <w:tc>
          <w:tcPr>
            <w:tcW w:type="dxa" w:w="34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 The most senior person in the room</w:t>
            </w:r>
          </w:p>
        </w:tc>
        <w:tc>
          <w:tcPr>
            <w:tcW w:type="dxa" w:w="59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Common in hierarchical settings. Next cycle, try inviting junior and national colleagues to speak first so the senior view doesn't anchor the discussion.</w:t>
            </w:r>
          </w:p>
        </w:tc>
      </w:tr>
      <w:tr>
        <w:trPr>
          <w:cantSplit/>
        </w:trPr>
        <w:tc>
          <w:tcPr>
            <w:tcW w:type="dxa" w:w="34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B. Whoever spoke first or loudest</w:t>
            </w:r>
          </w:p>
        </w:tc>
        <w:tc>
          <w:tcPr>
            <w:tcW w:type="dxa" w:w="59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Speaking order shapes outcomes. Use a round-robin, or collect written input before discussion.</w:t>
            </w:r>
          </w:p>
        </w:tc>
      </w:tr>
      <w:tr>
        <w:trPr>
          <w:cantSplit/>
        </w:trPr>
        <w:tc>
          <w:tcPr>
            <w:tcW w:type="dxa" w:w="34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 The person with the most relevant local knowledge</w:t>
            </w:r>
          </w:p>
        </w:tc>
        <w:tc>
          <w:tcPr>
            <w:tcW w:type="dxa" w:w="59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 strong pattern. Make it visible by crediting contributions in the summary and action plan.</w:t>
            </w:r>
          </w:p>
        </w:tc>
      </w:tr>
      <w:tr>
        <w:trPr>
          <w:cantSplit/>
        </w:trPr>
        <w:tc>
          <w:tcPr>
            <w:tcW w:type="dxa" w:w="34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D. I'm not sure</w:t>
            </w:r>
          </w:p>
        </w:tc>
        <w:tc>
          <w:tcPr>
            <w:tcW w:type="dxa" w:w="59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Uncertainty is useful data. Try the participation balance record in the next live session.</w:t>
            </w:r>
          </w:p>
        </w:tc>
      </w:tr>
    </w:tbl>
    <w:p>
      <w:pPr>
        <w:spacing w:after="80"/>
      </w:pPr>
    </w:p>
    <w:p>
      <w:pPr>
        <w:spacing w:after="120" w:line="276"/>
      </w:pPr>
      <w:r>
        <w:rPr>
          <w:b/>
          <w:bCs/>
        </w:rPr>
        <w:t xml:space="preserve">Perspective swap prompt (live session, "The approaching farmer"):</w:t>
      </w:r>
      <w:r>
        <w:t xml:space="preserve"> Group A explains the decision as the farmer; Group B as the language assistant; Group C as the village women's committee. </w:t>
      </w:r>
      <w:r>
        <w:rPr>
          <w:i/>
          <w:iCs/>
        </w:rPr>
        <w:t xml:space="preserve">"What did this person know, fear and need in that moment? What would they want the patrol to do?"</w:t>
      </w:r>
      <w:r>
        <w:t xml:space="preserve"> The facilitator then asks: </w:t>
      </w:r>
      <w:r>
        <w:rPr>
          <w:i/>
          <w:iCs/>
        </w:rPr>
        <w:t xml:space="preserve">"Which perspective changed your vote, and why?"</w:t>
      </w:r>
    </w:p>
    <w:p>
      <w:pPr>
        <w:pStyle w:val="Heading2"/>
      </w:pPr>
      <w:r>
        <w:t xml:space="preserve">9.6 Proposed measures (team-level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Indicator</w:t>
            </w:r>
          </w:p>
        </w:tc>
        <w:tc>
          <w:tcPr>
            <w:tcW w:type="dxa" w:w="39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How it is measured</w:t>
            </w:r>
          </w:p>
        </w:tc>
        <w:tc>
          <w:tcPr>
            <w:tcW w:type="dxa" w:w="34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Why it matters</w:t>
            </w:r>
          </w:p>
        </w:tc>
      </w:tr>
      <w:tr>
        <w:trPr>
          <w:cantSplit/>
        </w:trPr>
        <w:tc>
          <w:tcPr>
            <w:tcW w:type="dxa" w:w="2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Voice coverage</w:t>
            </w:r>
          </w:p>
        </w:tc>
        <w:tc>
          <w:tcPr>
            <w:tcW w:type="dxa" w:w="3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Share of perspective groups that contributed before the vote</w:t>
            </w:r>
          </w:p>
        </w:tc>
        <w:tc>
          <w:tcPr>
            <w:tcW w:type="dxa" w:w="34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Signals whether missing voices are being sought</w:t>
            </w:r>
          </w:p>
        </w:tc>
      </w:tr>
      <w:tr>
        <w:trPr>
          <w:cantSplit/>
        </w:trPr>
        <w:tc>
          <w:tcPr>
            <w:tcW w:type="dxa" w:w="2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Participation balance</w:t>
            </w:r>
          </w:p>
        </w:tc>
        <w:tc>
          <w:tcPr>
            <w:tcW w:type="dxa" w:w="39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Speaking turns by role group compared with team composition</w:t>
            </w:r>
          </w:p>
        </w:tc>
        <w:tc>
          <w:tcPr>
            <w:tcW w:type="dxa" w:w="34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Makes affinity and authority bias visible without blaming individuals</w:t>
            </w:r>
          </w:p>
        </w:tc>
      </w:tr>
      <w:tr>
        <w:trPr>
          <w:cantSplit/>
        </w:trPr>
        <w:tc>
          <w:tcPr>
            <w:tcW w:type="dxa" w:w="2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Guidance alignment</w:t>
            </w:r>
          </w:p>
        </w:tc>
        <w:tc>
          <w:tcPr>
            <w:tcW w:type="dxa" w:w="3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Share of decisions where the team vote matched the strong option</w:t>
            </w:r>
          </w:p>
        </w:tc>
        <w:tc>
          <w:tcPr>
            <w:tcW w:type="dxa" w:w="34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Shows shared blind spots for further practice</w:t>
            </w:r>
          </w:p>
        </w:tc>
      </w:tr>
      <w:tr>
        <w:trPr>
          <w:cantSplit/>
        </w:trPr>
        <w:tc>
          <w:tcPr>
            <w:tcW w:type="dxa" w:w="20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Inclusion pulse</w:t>
            </w:r>
          </w:p>
        </w:tc>
        <w:tc>
          <w:tcPr>
            <w:tcW w:type="dxa" w:w="39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Mean of three 1–5 statements (psychological safety, use of local knowledge, assumption checking)</w:t>
            </w:r>
          </w:p>
        </w:tc>
        <w:tc>
          <w:tcPr>
            <w:tcW w:type="dxa" w:w="34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Tracks team climate across cycles</w:t>
            </w:r>
          </w:p>
        </w:tc>
      </w:tr>
      <w:tr>
        <w:trPr>
          <w:cantSplit/>
        </w:trPr>
        <w:tc>
          <w:tcPr>
            <w:tcW w:type="dxa" w:w="20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Follow-through</w:t>
            </w:r>
          </w:p>
        </w:tc>
        <w:tc>
          <w:tcPr>
            <w:tcW w:type="dxa" w:w="39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Share of agreed actions completed by the next cycle</w:t>
            </w:r>
          </w:p>
        </w:tc>
        <w:tc>
          <w:tcPr>
            <w:tcW w:type="dxa" w:w="34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Moves the team from insight to behaviour change</w:t>
            </w:r>
          </w:p>
        </w:tc>
      </w:tr>
    </w:tbl>
    <w:p>
      <w:pPr>
        <w:spacing w:after="120" w:line="276"/>
      </w:pPr>
      <w:r>
        <w:rPr>
          <w:i/>
          <w:iCs/>
          <w:color w:val="5B6678"/>
          <w:sz w:val="20"/>
          <w:szCs w:val="20"/>
        </w:rPr>
        <w:t xml:space="preserve">No individual implicit-bias scores are produced. Pulse results appear only when 5 or more members respond, to protect anonymity.</w:t>
      </w:r>
    </w:p>
    <w:p>
      <w:pPr>
        <w:pStyle w:val="Heading2"/>
      </w:pPr>
      <w:r>
        <w:t xml:space="preserve">9.7 Annotated screens: Team Compass</w:t>
      </w:r>
    </w:p>
    <w:p>
      <w:pPr>
        <w:keepNext/>
        <w:spacing w:after="60" w:before="120"/>
        <w:jc w:val="center"/>
      </w:pPr>
      <w:r>
        <w:drawing>
          <wp:inline distT="0" distB="0" distL="0" distR="0">
            <wp:extent cx="3819525" cy="5334000"/>
            <wp:effectExtent t="0" r="0" b="0" l="0"/>
            <wp:docPr id="1" name="F-debrief" descr="Team Debrief: discussion prompts, perspective wall and &quot;who's missing&quot; alert (working prototype)." title="Team Debrief: discussion prompts, perspective wall and &quot;who's missing&quot; alert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9525" cy="5334000"/>
                    </a:xfrm>
                    <a:prstGeom prst="rect">
                      <a:avLst/>
                    </a:prstGeom>
                  </pic:spPr>
                </pic:pic>
              </a:graphicData>
            </a:graphic>
          </wp:inline>
        </w:drawing>
      </w:r>
    </w:p>
    <w:p>
      <w:pPr>
        <w:spacing w:after="160"/>
        <w:jc w:val="center"/>
      </w:pPr>
      <w:r>
        <w:rPr>
          <w:b/>
          <w:bCs/>
          <w:color w:val="5B6678"/>
          <w:sz w:val="19"/>
          <w:szCs w:val="19"/>
        </w:rPr>
        <w:t xml:space="preserve">Figure 8. </w:t>
      </w:r>
      <w:r>
        <w:rPr>
          <w:i/>
          <w:iCs/>
          <w:color w:val="5B6678"/>
          <w:sz w:val="19"/>
          <w:szCs w:val="19"/>
        </w:rPr>
        <w:t xml:space="preserve">Team Debrief: discussion prompts, perspective wall and "who's missing" alert (working prototype).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Session tabs</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Discuss → Group vote → Action plan → Summary mirrors the facilitation flow.</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Discussion prompts</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Pulled from the Relief Map scenario, so individual and team learning connect.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Perspective tag</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Contributions are tagged by role group to make voice coverage visible. Names are optional.</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PAUSE step</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Links each contribution to the PAUSE protocol, reinforcing shared vocabulary.</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5</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"Who's missing" alert</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Applies the "Ask who is missing" step to the team itself before voting.</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6</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Agree</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Lightweight endorsement shows which ideas resonate across the team.</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7</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Turn into action</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Converts a contribution into an owned action point.</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8</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Export</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Shares the session file across devices and duty stations without a server.</w:t>
            </w:r>
          </w:p>
        </w:tc>
      </w:tr>
    </w:tbl>
    <w:p>
      <w:pPr>
        <w:keepNext/>
        <w:spacing w:after="60" w:before="120"/>
        <w:jc w:val="center"/>
      </w:pPr>
      <w:r>
        <w:drawing>
          <wp:inline distT="0" distB="0" distL="0" distR="0">
            <wp:extent cx="4162425" cy="4191000"/>
            <wp:effectExtent t="0" r="0" b="0" l="0"/>
            <wp:docPr id="1" name="G-vote" descr="Group vote with guidance revealed (working prototype)." title="Group vote with guidance revealed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62425" cy="4191000"/>
                    </a:xfrm>
                    <a:prstGeom prst="rect">
                      <a:avLst/>
                    </a:prstGeom>
                  </pic:spPr>
                </pic:pic>
              </a:graphicData>
            </a:graphic>
          </wp:inline>
        </w:drawing>
      </w:r>
    </w:p>
    <w:p>
      <w:pPr>
        <w:spacing w:after="160"/>
        <w:jc w:val="center"/>
      </w:pPr>
      <w:r>
        <w:rPr>
          <w:b/>
          <w:bCs/>
          <w:color w:val="5B6678"/>
          <w:sz w:val="19"/>
          <w:szCs w:val="19"/>
        </w:rPr>
        <w:t xml:space="preserve">Figure 9. </w:t>
      </w:r>
      <w:r>
        <w:rPr>
          <w:i/>
          <w:iCs/>
          <w:color w:val="5B6678"/>
          <w:sz w:val="19"/>
          <w:szCs w:val="19"/>
        </w:rPr>
        <w:t xml:space="preserve">Group vote with guidance revealed (working prototype).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Vote tally</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The facilitator records a show of hands, live or remote.</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Vote distribution</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Visual bar to compare options at a glance.</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Guidance revealed</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Ratings and feedback appear only after voting, to avoid anchoring the vote.</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Discussion prompt</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Asks whether a difference from the guidance reflects context or a shared blind spot.</w:t>
            </w:r>
          </w:p>
        </w:tc>
      </w:tr>
    </w:tbl>
    <w:p>
      <w:pPr>
        <w:spacing w:after="120"/>
      </w:pPr>
    </w:p>
    <w:p>
      <w:pPr>
        <w:keepNext/>
        <w:spacing w:after="60" w:before="120"/>
        <w:jc w:val="center"/>
      </w:pPr>
      <w:r>
        <w:drawing>
          <wp:inline distT="0" distB="0" distL="0" distR="0">
            <wp:extent cx="3371850" cy="2857500"/>
            <wp:effectExtent t="0" r="0" b="0" l="0"/>
            <wp:docPr id="1" name="H-summary" descr="Printable debrief summary (working prototype)." title="Printable debrief summary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71850" cy="2857500"/>
                    </a:xfrm>
                    <a:prstGeom prst="rect">
                      <a:avLst/>
                    </a:prstGeom>
                  </pic:spPr>
                </pic:pic>
              </a:graphicData>
            </a:graphic>
          </wp:inline>
        </w:drawing>
      </w:r>
    </w:p>
    <w:p>
      <w:pPr>
        <w:spacing w:after="160"/>
        <w:jc w:val="center"/>
      </w:pPr>
      <w:r>
        <w:rPr>
          <w:b/>
          <w:bCs/>
          <w:color w:val="5B6678"/>
          <w:sz w:val="19"/>
          <w:szCs w:val="19"/>
        </w:rPr>
        <w:t xml:space="preserve">Figure 10. </w:t>
      </w:r>
      <w:r>
        <w:rPr>
          <w:i/>
          <w:iCs/>
          <w:color w:val="5B6678"/>
          <w:sz w:val="19"/>
          <w:szCs w:val="19"/>
        </w:rPr>
        <w:t xml:space="preserve">Printable debrief summary (working prototype).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Participation by perspective</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Voice coverage at a glance. This becomes the "voice coverage" indicator.</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Group decisions</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The team's choice and its rating in the guidance.</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Action plan</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Owned commitments, carried into the next cycle.</w:t>
            </w:r>
          </w:p>
        </w:tc>
      </w:tr>
    </w:tbl>
    <w:p>
      <w:pPr>
        <w:keepNext/>
        <w:spacing w:after="60" w:before="120"/>
        <w:jc w:val="center"/>
      </w:pPr>
      <w:r>
        <w:drawing>
          <wp:inline distT="0" distB="0" distL="0" distR="0">
            <wp:extent cx="5524500" cy="3600450"/>
            <wp:effectExtent t="0" r="0" b="0" l="0"/>
            <wp:docPr id="1" name="I-concept" descr="Concept mockup of proposed Team Compass features (not yet built; illustrative data)." title="Concept mockup of proposed Team Compass features (not yet built; illustrativ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3600450"/>
                    </a:xfrm>
                    <a:prstGeom prst="rect">
                      <a:avLst/>
                    </a:prstGeom>
                  </pic:spPr>
                </pic:pic>
              </a:graphicData>
            </a:graphic>
          </wp:inline>
        </w:drawing>
      </w:r>
    </w:p>
    <w:p>
      <w:pPr>
        <w:spacing w:after="160"/>
        <w:jc w:val="center"/>
      </w:pPr>
      <w:r>
        <w:rPr>
          <w:b/>
          <w:bCs/>
          <w:color w:val="5B6678"/>
          <w:sz w:val="19"/>
          <w:szCs w:val="19"/>
        </w:rPr>
        <w:t xml:space="preserve">Figure 11. </w:t>
      </w:r>
      <w:r>
        <w:rPr>
          <w:i/>
          <w:iCs/>
          <w:color w:val="5B6678"/>
          <w:sz w:val="19"/>
          <w:szCs w:val="19"/>
        </w:rPr>
        <w:t xml:space="preserve">Concept mockup of proposed Team Compass features (not yet built; illustrative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60"/>
        <w:gridCol w:w="6300"/>
      </w:tblGrid>
      <w:tr>
        <w:trPr>
          <w:tblHeader/>
        </w:trPr>
        <w:tc>
          <w:tcPr>
            <w:tcW w:type="dxa" w:w="5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w:t>
            </w:r>
          </w:p>
        </w:tc>
        <w:tc>
          <w:tcPr>
            <w:tcW w:type="dxa" w:w="256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Element</w:t>
            </w:r>
          </w:p>
        </w:tc>
        <w:tc>
          <w:tcPr>
            <w:tcW w:type="dxa" w:w="6300"/>
            <w:tcBorders>
              <w:top w:val="single" w:color="D9DDE8" w:sz="4"/>
              <w:left w:val="single" w:color="D9DDE8" w:sz="4"/>
              <w:bottom w:val="single" w:color="D9DDE8" w:sz="4"/>
              <w:right w:val="single" w:color="D9DDE8" w:sz="4"/>
            </w:tcBorders>
            <w:shd w:fill="6D4BD1" w:color="auto" w:val="clear"/>
            <w:tcMar>
              <w:top w:type="dxa" w:w="70"/>
              <w:left w:type="dxa" w:w="110"/>
              <w:bottom w:type="dxa" w:w="70"/>
              <w:right w:type="dxa" w:w="110"/>
            </w:tcMar>
          </w:tcPr>
          <w:p>
            <w:pPr>
              <w:spacing w:after="40" w:line="252"/>
            </w:pPr>
            <w:r>
              <w:rPr>
                <w:b/>
                <w:bCs/>
                <w:color w:val="FFFFFF"/>
                <w:sz w:val="19"/>
                <w:szCs w:val="19"/>
              </w:rPr>
              <w:t xml:space="preserve">Design intent</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Fair scheduling</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Rotates meeting times so no duty station always takes the inconvenient slot. Async counts equally.</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Perspective swap</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Sub-groups argue from stakeholders' viewpoints before voting, which builds empathy and CQ Strategy.</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Participation balance</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Compares speaking turns with team composition and nudges the facilitator, not individuals.</w:t>
            </w:r>
          </w:p>
        </w:tc>
      </w:tr>
      <w:tr>
        <w:trPr>
          <w:cantSplit/>
        </w:trPr>
        <w:tc>
          <w:tcPr>
            <w:tcW w:type="dxa" w:w="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w:t>
            </w:r>
          </w:p>
        </w:tc>
        <w:tc>
          <w:tcPr>
            <w:tcW w:type="dxa" w:w="25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Inclusion pulse</w:t>
            </w:r>
          </w:p>
        </w:tc>
        <w:tc>
          <w:tcPr>
            <w:tcW w:type="dxa" w:w="63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Anonymous team-level climate trend, with a minimum of 5 responses.</w:t>
            </w:r>
          </w:p>
        </w:tc>
      </w:tr>
      <w:tr>
        <w:trPr>
          <w:cantSplit/>
        </w:trPr>
        <w:tc>
          <w:tcPr>
            <w:tcW w:type="dxa" w:w="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5</w:t>
            </w:r>
          </w:p>
        </w:tc>
        <w:tc>
          <w:tcPr>
            <w:tcW w:type="dxa" w:w="25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Team agreements</w:t>
            </w:r>
          </w:p>
        </w:tc>
        <w:tc>
          <w:tcPr>
            <w:tcW w:type="dxa" w:w="63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Visible commitments that turn insight into team norms.</w:t>
            </w:r>
          </w:p>
        </w:tc>
      </w:tr>
    </w:tbl>
    <w:p>
      <w:pPr>
        <w:pStyle w:val="Heading2"/>
      </w:pPr>
      <w:r>
        <w:t xml:space="preserve">9.8 How the two tools connect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Relief Map (individual)</w:t>
            </w:r>
          </w:p>
        </w:tc>
        <w:tc>
          <w:tcPr>
            <w:tcW w:type="dxa" w:w="468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Team Compass (team)</w:t>
            </w:r>
          </w:p>
        </w:tc>
      </w:tr>
      <w:tr>
        <w:trPr>
          <w:cantSplit/>
        </w:trPr>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Mission map and reflection prompts</w:t>
            </w:r>
          </w:p>
        </w:tc>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Team context: duty stations, composition and languages</w:t>
            </w:r>
          </w:p>
        </w:tc>
      </w:tr>
      <w:tr>
        <w:trPr>
          <w:cantSplit/>
        </w:trPr>
        <w:tc>
          <w:tcPr>
            <w:tcW w:type="dxa" w:w="46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Scenario choices and feedback</w:t>
            </w:r>
          </w:p>
        </w:tc>
        <w:tc>
          <w:tcPr>
            <w:tcW w:type="dxa" w:w="46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The same scenario is debriefed together, with group vote vs. guidance</w:t>
            </w:r>
          </w:p>
        </w:tc>
      </w:tr>
      <w:tr>
        <w:trPr>
          <w:cantSplit/>
        </w:trPr>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Bias library and PAUSE protocol</w:t>
            </w:r>
          </w:p>
        </w:tc>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Shared vocabulary for tagging contributions</w:t>
            </w:r>
          </w:p>
        </w:tc>
      </w:tr>
      <w:tr>
        <w:trPr>
          <w:cantSplit/>
        </w:trPr>
        <w:tc>
          <w:tcPr>
            <w:tcW w:type="dxa" w:w="46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Personal competency profile (private)</w:t>
            </w:r>
          </w:p>
        </w:tc>
        <w:tc>
          <w:tcPr>
            <w:tcW w:type="dxa" w:w="468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Team-level indicators (no individual scores)</w:t>
            </w:r>
          </w:p>
        </w:tc>
      </w:tr>
      <w:tr>
        <w:trPr>
          <w:cantSplit/>
        </w:trPr>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"Discuss with your team" button</w:t>
            </w:r>
          </w:p>
        </w:tc>
        <w:tc>
          <w:tcPr>
            <w:tcW w:type="dxa" w:w="468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Opens a debrief preloaded with that scenario</w:t>
            </w:r>
          </w:p>
        </w:tc>
      </w:tr>
    </w:tbl>
    <w:p>
      <w:pPr>
        <w:pStyle w:val="Heading2"/>
      </w:pPr>
      <w:r>
        <w:t xml:space="preserve">9.9 Ethics, privacy and safeguarding</w:t>
      </w:r>
    </w:p>
    <w:p>
      <w:pPr>
        <w:pStyle w:val="ListParagraph"/>
        <w:numPr>
          <w:ilvl w:val="0"/>
          <w:numId w:val="4"/>
        </w:numPr>
        <w:spacing w:after="60" w:line="264"/>
      </w:pPr>
      <w:r>
        <w:t xml:space="preserve">No identifiable community details are entered. Prompts remind users of this.</w:t>
      </w:r>
    </w:p>
    <w:p>
      <w:pPr>
        <w:pStyle w:val="ListParagraph"/>
        <w:numPr>
          <w:ilvl w:val="0"/>
          <w:numId w:val="4"/>
        </w:numPr>
        <w:spacing w:after="60" w:line="264"/>
      </w:pPr>
      <w:r>
        <w:t xml:space="preserve">Team data is stored locally in the prototype. A hosted version would require UN data-protection review, authentication and role-based access.</w:t>
      </w:r>
    </w:p>
    <w:p>
      <w:pPr>
        <w:pStyle w:val="ListParagraph"/>
        <w:numPr>
          <w:ilvl w:val="0"/>
          <w:numId w:val="4"/>
        </w:numPr>
        <w:spacing w:after="60" w:line="264"/>
      </w:pPr>
      <w:r>
        <w:t xml:space="preserve">Indicators describe team patterns, never individuals, and are not used in performance appraisal.</w:t>
      </w:r>
    </w:p>
    <w:p>
      <w:pPr>
        <w:pStyle w:val="ListParagraph"/>
        <w:numPr>
          <w:ilvl w:val="0"/>
          <w:numId w:val="4"/>
        </w:numPr>
        <w:spacing w:after="60" w:line="264"/>
      </w:pPr>
      <w:r>
        <w:t xml:space="preserve">Facilitation norms (speak first, devil's advocate, describe behaviour not character) protect psychological safety.</w:t>
      </w:r>
    </w:p>
    <w:p>
      <w:pPr>
        <w:pStyle w:val="Heading1"/>
      </w:pPr>
      <w:r>
        <w:t xml:space="preserve">10. Evaluation, risks and next steps</w:t>
      </w:r>
    </w:p>
    <w:p>
      <w:pPr>
        <w:pStyle w:val="Heading2"/>
      </w:pPr>
      <w:r>
        <w:t xml:space="preserve">10.1 Pilot evaluation (Kirkpatrick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360"/>
      </w:tblGrid>
      <w:tr>
        <w:trPr>
          <w:tblHeader/>
        </w:trPr>
        <w:tc>
          <w:tcPr>
            <w:tcW w:type="dxa" w:w="15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Level</w:t>
            </w:r>
          </w:p>
        </w:tc>
        <w:tc>
          <w:tcPr>
            <w:tcW w:type="dxa" w:w="35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Question</w:t>
            </w:r>
          </w:p>
        </w:tc>
        <w:tc>
          <w:tcPr>
            <w:tcW w:type="dxa" w:w="43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Measure</w:t>
            </w:r>
          </w:p>
        </w:tc>
      </w:tr>
      <w:tr>
        <w:trPr>
          <w:cantSplit/>
        </w:trPr>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1. Reaction</w:t>
            </w:r>
          </w:p>
        </w:tc>
        <w:tc>
          <w:tcPr>
            <w:tcW w:type="dxa" w:w="3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Did learners find it relevant and respectful?</w:t>
            </w:r>
          </w:p>
        </w:tc>
        <w:tc>
          <w:tcPr>
            <w:tcW w:type="dxa" w:w="4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Short survey after each scenario. Focus group with national staff</w:t>
            </w:r>
          </w:p>
        </w:tc>
      </w:tr>
      <w:tr>
        <w:trPr>
          <w:cantSplit/>
        </w:trPr>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2. Learning</w:t>
            </w:r>
          </w:p>
        </w:tc>
        <w:tc>
          <w:tcPr>
            <w:tcW w:type="dxa" w:w="3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Did recognition of bias and inclusive choices improve?</w:t>
            </w:r>
          </w:p>
        </w:tc>
        <w:tc>
          <w:tcPr>
            <w:tcW w:type="dxa" w:w="4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Competency change from first attempt to replay. Bias-identification items before and after</w:t>
            </w:r>
          </w:p>
        </w:tc>
      </w:tr>
      <w:tr>
        <w:trPr>
          <w:cantSplit/>
        </w:trPr>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3. Behaviour</w:t>
            </w:r>
          </w:p>
        </w:tc>
        <w:tc>
          <w:tcPr>
            <w:tcW w:type="dxa" w:w="3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Do teams change routines?</w:t>
            </w:r>
          </w:p>
        </w:tc>
        <w:tc>
          <w:tcPr>
            <w:tcW w:type="dxa" w:w="43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Team Compass indicators across cycles: voice coverage, follow-through</w:t>
            </w:r>
          </w:p>
        </w:tc>
      </w:tr>
      <w:tr>
        <w:trPr>
          <w:cantSplit/>
        </w:trPr>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4. Results</w:t>
            </w:r>
          </w:p>
        </w:tc>
        <w:tc>
          <w:tcPr>
            <w:tcW w:type="dxa" w:w="3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Are consultations more inclusive?</w:t>
            </w:r>
          </w:p>
        </w:tc>
        <w:tc>
          <w:tcPr>
            <w:tcW w:type="dxa" w:w="43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Share of consultation plans that include women, youth and displaced people (with mission partners)</w:t>
            </w:r>
          </w:p>
        </w:tc>
      </w:tr>
    </w:tbl>
    <w:p>
      <w:pPr>
        <w:pStyle w:val="Heading2"/>
      </w:pPr>
      <w:r>
        <w:t xml:space="preserve">10.2 Risks and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Risk</w:t>
            </w:r>
          </w:p>
        </w:tc>
        <w:tc>
          <w:tcPr>
            <w:tcW w:type="dxa" w:w="596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9"/>
                <w:szCs w:val="19"/>
              </w:rPr>
              <w:t xml:space="preserve">Mitigation</w:t>
            </w:r>
          </w:p>
        </w:tc>
      </w:tr>
      <w:tr>
        <w:trPr>
          <w:cantSplit/>
        </w:trPr>
        <w:tc>
          <w:tcPr>
            <w:tcW w:type="dxa" w:w="34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Scenarios reinforce stereotypes</w:t>
            </w:r>
          </w:p>
        </w:tc>
        <w:tc>
          <w:tcPr>
            <w:tcW w:type="dxa" w:w="59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Fictional places. Review by regional national staff. Framing cultural knowledge as a hypothesis to test</w:t>
            </w:r>
          </w:p>
        </w:tc>
      </w:tr>
      <w:tr>
        <w:trPr>
          <w:cantSplit/>
        </w:trPr>
        <w:tc>
          <w:tcPr>
            <w:tcW w:type="dxa" w:w="34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Mission data becomes outdated</w:t>
            </w:r>
          </w:p>
        </w:tc>
        <w:tc>
          <w:tcPr>
            <w:tcW w:type="dxa" w:w="59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Verification flags, compilation date shown in the interface, quarterly update against unmissions.org</w:t>
            </w:r>
          </w:p>
        </w:tc>
      </w:tr>
      <w:tr>
        <w:trPr>
          <w:cantSplit/>
        </w:trPr>
        <w:tc>
          <w:tcPr>
            <w:tcW w:type="dxa" w:w="34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Scores misused for evaluation</w:t>
            </w:r>
          </w:p>
        </w:tc>
        <w:tc>
          <w:tcPr>
            <w:tcW w:type="dxa" w:w="59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Private by default. No leaderboards. Clear formative-use statement</w:t>
            </w:r>
          </w:p>
        </w:tc>
      </w:tr>
      <w:tr>
        <w:trPr>
          <w:cantSplit/>
        </w:trPr>
        <w:tc>
          <w:tcPr>
            <w:tcW w:type="dxa" w:w="34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Low bandwidth or shared devices</w:t>
            </w:r>
          </w:p>
        </w:tc>
        <w:tc>
          <w:tcPr>
            <w:tcW w:type="dxa" w:w="596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9"/>
                <w:szCs w:val="19"/>
              </w:rPr>
              <w:t xml:space="preserve">Static, lightweight site. Works offline after loading. No login</w:t>
            </w:r>
          </w:p>
        </w:tc>
      </w:tr>
      <w:tr>
        <w:trPr>
          <w:cantSplit/>
        </w:trPr>
        <w:tc>
          <w:tcPr>
            <w:tcW w:type="dxa" w:w="34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Perceived as official UN content</w:t>
            </w:r>
          </w:p>
        </w:tc>
        <w:tc>
          <w:tcPr>
            <w:tcW w:type="dxa" w:w="596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9"/>
                <w:szCs w:val="19"/>
              </w:rPr>
              <w:t xml:space="preserve">Prominent "learning prototype" labelling. No UN emblem</w:t>
            </w:r>
          </w:p>
        </w:tc>
      </w:tr>
    </w:tbl>
    <w:p>
      <w:pPr>
        <w:pStyle w:val="Heading2"/>
      </w:pPr>
      <w:r>
        <w:t xml:space="preserve">10.3 Next steps</w:t>
      </w:r>
    </w:p>
    <w:p>
      <w:pPr>
        <w:pStyle w:val="ListParagraph"/>
        <w:numPr>
          <w:ilvl w:val="0"/>
          <w:numId w:val="5"/>
        </w:numPr>
        <w:spacing w:after="60" w:line="264"/>
      </w:pPr>
      <w:r>
        <w:t xml:space="preserve">Hold the coaching session with Dr. Kristine Kerr and record agreed revisions (Section 2.3).</w:t>
      </w:r>
    </w:p>
    <w:p>
      <w:pPr>
        <w:pStyle w:val="ListParagraph"/>
        <w:numPr>
          <w:ilvl w:val="0"/>
          <w:numId w:val="5"/>
        </w:numPr>
        <w:spacing w:after="60" w:line="264"/>
      </w:pPr>
      <w:r>
        <w:t xml:space="preserve">Verify the 11 flagged mission entries against the live unmissions.org directory.</w:t>
      </w:r>
    </w:p>
    <w:p>
      <w:pPr>
        <w:pStyle w:val="ListParagraph"/>
        <w:numPr>
          <w:ilvl w:val="0"/>
          <w:numId w:val="5"/>
        </w:numPr>
        <w:spacing w:after="60" w:line="264"/>
      </w:pPr>
      <w:r>
        <w:t xml:space="preserve">Add profile bands and French, Arabic and Spanish translations to Relief Map.</w:t>
      </w:r>
    </w:p>
    <w:p>
      <w:pPr>
        <w:pStyle w:val="ListParagraph"/>
        <w:numPr>
          <w:ilvl w:val="0"/>
          <w:numId w:val="5"/>
        </w:numPr>
        <w:spacing w:after="60" w:line="264"/>
      </w:pPr>
      <w:r>
        <w:t xml:space="preserve">Build the Team Compass perspective swap, participation balance and inclusion pulse features.</w:t>
      </w:r>
    </w:p>
    <w:p>
      <w:pPr>
        <w:pStyle w:val="ListParagraph"/>
        <w:numPr>
          <w:ilvl w:val="0"/>
          <w:numId w:val="5"/>
        </w:numPr>
        <w:spacing w:after="60" w:line="264"/>
      </w:pPr>
      <w:r>
        <w:t xml:space="preserve">Run a small pilot with a volunteer team and evaluate at Kirkpatrick levels 1–2.</w:t>
      </w:r>
    </w:p>
    <w:p>
      <w:r>
        <w:br w:type="page"/>
      </w:r>
    </w:p>
    <w:p>
      <w:pPr>
        <w:pStyle w:val="Heading1"/>
      </w:pPr>
      <w:r>
        <w:t xml:space="preserve">11. References</w:t>
      </w:r>
    </w:p>
    <w:p>
      <w:pPr>
        <w:spacing w:after="100" w:line="264"/>
        <w:ind w:left="540" w:hanging="540"/>
      </w:pPr>
      <w:r>
        <w:rPr>
          <w:sz w:val="20"/>
          <w:szCs w:val="20"/>
        </w:rPr>
        <w:t xml:space="preserve">Anderson, M. B. (1999). </w:t>
      </w:r>
      <w:r>
        <w:rPr>
          <w:i/>
          <w:iCs/>
          <w:sz w:val="20"/>
          <w:szCs w:val="20"/>
        </w:rPr>
        <w:t xml:space="preserve">Do no harm: How aid can support peace—or war</w:t>
      </w:r>
      <w:r>
        <w:rPr>
          <w:sz w:val="20"/>
          <w:szCs w:val="20"/>
        </w:rPr>
        <w:t xml:space="preserve">. Lynne Rienner.</w:t>
      </w:r>
    </w:p>
    <w:p>
      <w:pPr>
        <w:spacing w:after="100" w:line="264"/>
        <w:ind w:left="540" w:hanging="540"/>
      </w:pPr>
      <w:r>
        <w:rPr>
          <w:sz w:val="20"/>
          <w:szCs w:val="20"/>
        </w:rPr>
        <w:t xml:space="preserve">Ang, S., Van Dyne, L., Koh, C., Ng, K. Y., Templer, K. J., Tay, C., &amp; Chandrasekar, N. A. (2007). Cultural intelligence: Its measurement and effects on cultural judgment and decision making, cultural adaptation and task performance. </w:t>
      </w:r>
      <w:r>
        <w:rPr>
          <w:i/>
          <w:iCs/>
          <w:sz w:val="20"/>
          <w:szCs w:val="20"/>
        </w:rPr>
        <w:t xml:space="preserve">Management and Organization Review, 3</w:t>
      </w:r>
      <w:r>
        <w:rPr>
          <w:sz w:val="20"/>
          <w:szCs w:val="20"/>
        </w:rPr>
        <w:t xml:space="preserve">(3), 335–371.</w:t>
      </w:r>
    </w:p>
    <w:p>
      <w:pPr>
        <w:spacing w:after="100" w:line="264"/>
        <w:ind w:left="540" w:hanging="540"/>
      </w:pPr>
      <w:r>
        <w:rPr>
          <w:sz w:val="20"/>
          <w:szCs w:val="20"/>
        </w:rPr>
        <w:t xml:space="preserve">Earley, P. C., &amp; Ang, S. (2003). </w:t>
      </w:r>
      <w:r>
        <w:rPr>
          <w:i/>
          <w:iCs/>
          <w:sz w:val="20"/>
          <w:szCs w:val="20"/>
        </w:rPr>
        <w:t xml:space="preserve">Cultural intelligence: Individual interactions across cultures</w:t>
      </w:r>
      <w:r>
        <w:rPr>
          <w:sz w:val="20"/>
          <w:szCs w:val="20"/>
        </w:rPr>
        <w:t xml:space="preserve">. Stanford University Press.</w:t>
      </w:r>
    </w:p>
    <w:p>
      <w:pPr>
        <w:spacing w:after="100" w:line="264"/>
        <w:ind w:left="540" w:hanging="540"/>
      </w:pPr>
      <w:r>
        <w:rPr>
          <w:sz w:val="20"/>
          <w:szCs w:val="20"/>
        </w:rPr>
        <w:t xml:space="preserve">Edmondson, A. (1999). Psychological safety and learning behavior in work teams. </w:t>
      </w:r>
      <w:r>
        <w:rPr>
          <w:i/>
          <w:iCs/>
          <w:sz w:val="20"/>
          <w:szCs w:val="20"/>
        </w:rPr>
        <w:t xml:space="preserve">Administrative Science Quarterly, 44</w:t>
      </w:r>
      <w:r>
        <w:rPr>
          <w:sz w:val="20"/>
          <w:szCs w:val="20"/>
        </w:rPr>
        <w:t xml:space="preserve">(2), 350–383.</w:t>
      </w:r>
    </w:p>
    <w:p>
      <w:pPr>
        <w:spacing w:after="100" w:line="264"/>
        <w:ind w:left="540" w:hanging="540"/>
      </w:pPr>
      <w:r>
        <w:rPr>
          <w:sz w:val="20"/>
          <w:szCs w:val="20"/>
        </w:rPr>
        <w:t xml:space="preserve">Forscher, P. S., Lai, C. K., Axt, J. R., Ebersole, C. R., Herman, M., Devine, P. G., &amp; Nosek, B. A. (2019). A meta-analysis of procedures to change implicit measures. </w:t>
      </w:r>
      <w:r>
        <w:rPr>
          <w:i/>
          <w:iCs/>
          <w:sz w:val="20"/>
          <w:szCs w:val="20"/>
        </w:rPr>
        <w:t xml:space="preserve">Journal of Personality and Social Psychology, 117</w:t>
      </w:r>
      <w:r>
        <w:rPr>
          <w:sz w:val="20"/>
          <w:szCs w:val="20"/>
        </w:rPr>
        <w:t xml:space="preserve">(3), 522–559.</w:t>
      </w:r>
    </w:p>
    <w:p>
      <w:pPr>
        <w:spacing w:after="100" w:line="264"/>
        <w:ind w:left="540" w:hanging="540"/>
      </w:pPr>
      <w:r>
        <w:rPr>
          <w:sz w:val="20"/>
          <w:szCs w:val="20"/>
        </w:rPr>
        <w:t xml:space="preserve">Greenwald, A. G., McGhee, D. E., &amp; Schwartz, J. L. K. (1998). Measuring individual differences in implicit cognition: The implicit association test. </w:t>
      </w:r>
      <w:r>
        <w:rPr>
          <w:i/>
          <w:iCs/>
          <w:sz w:val="20"/>
          <w:szCs w:val="20"/>
        </w:rPr>
        <w:t xml:space="preserve">Journal of Personality and Social Psychology, 74</w:t>
      </w:r>
      <w:r>
        <w:rPr>
          <w:sz w:val="20"/>
          <w:szCs w:val="20"/>
        </w:rPr>
        <w:t xml:space="preserve">(6), 1464–1480.</w:t>
      </w:r>
    </w:p>
    <w:p>
      <w:pPr>
        <w:spacing w:after="100" w:line="264"/>
        <w:ind w:left="540" w:hanging="540"/>
      </w:pPr>
      <w:r>
        <w:rPr>
          <w:sz w:val="20"/>
          <w:szCs w:val="20"/>
        </w:rPr>
        <w:t xml:space="preserve">Inter-Agency Standing Committee. (2017). </w:t>
      </w:r>
      <w:r>
        <w:rPr>
          <w:i/>
          <w:iCs/>
          <w:sz w:val="20"/>
          <w:szCs w:val="20"/>
        </w:rPr>
        <w:t xml:space="preserve">Commitments on accountability to affected people and protection from sexual exploitation and abuse</w:t>
      </w:r>
      <w:r>
        <w:rPr>
          <w:sz w:val="20"/>
          <w:szCs w:val="20"/>
        </w:rPr>
        <w:t xml:space="preserve">. IASC.</w:t>
      </w:r>
    </w:p>
    <w:p>
      <w:pPr>
        <w:spacing w:after="100" w:line="264"/>
        <w:ind w:left="540" w:hanging="540"/>
      </w:pPr>
      <w:r>
        <w:rPr>
          <w:sz w:val="20"/>
          <w:szCs w:val="20"/>
        </w:rPr>
        <w:t xml:space="preserve">Kahneman, D. (2011). </w:t>
      </w:r>
      <w:r>
        <w:rPr>
          <w:i/>
          <w:iCs/>
          <w:sz w:val="20"/>
          <w:szCs w:val="20"/>
        </w:rPr>
        <w:t xml:space="preserve">Thinking, fast and slow</w:t>
      </w:r>
      <w:r>
        <w:rPr>
          <w:sz w:val="20"/>
          <w:szCs w:val="20"/>
        </w:rPr>
        <w:t xml:space="preserve">. Farrar, Straus and Giroux.</w:t>
      </w:r>
    </w:p>
    <w:p>
      <w:pPr>
        <w:spacing w:after="100" w:line="264"/>
        <w:ind w:left="540" w:hanging="540"/>
      </w:pPr>
      <w:r>
        <w:rPr>
          <w:sz w:val="20"/>
          <w:szCs w:val="20"/>
        </w:rPr>
        <w:t xml:space="preserve">Kirkpatrick, J. D., &amp; Kirkpatrick, W. K. (2016). </w:t>
      </w:r>
      <w:r>
        <w:rPr>
          <w:i/>
          <w:iCs/>
          <w:sz w:val="20"/>
          <w:szCs w:val="20"/>
        </w:rPr>
        <w:t xml:space="preserve">Kirkpatrick's four levels of training evaluation</w:t>
      </w:r>
      <w:r>
        <w:rPr>
          <w:sz w:val="20"/>
          <w:szCs w:val="20"/>
        </w:rPr>
        <w:t xml:space="preserve">. ATD Press.</w:t>
      </w:r>
    </w:p>
    <w:p>
      <w:pPr>
        <w:spacing w:after="100" w:line="264"/>
        <w:ind w:left="540" w:hanging="540"/>
      </w:pPr>
      <w:r>
        <w:rPr>
          <w:sz w:val="20"/>
          <w:szCs w:val="20"/>
        </w:rPr>
        <w:t xml:space="preserve">Livermore, D. (2015). </w:t>
      </w:r>
      <w:r>
        <w:rPr>
          <w:i/>
          <w:iCs/>
          <w:sz w:val="20"/>
          <w:szCs w:val="20"/>
        </w:rPr>
        <w:t xml:space="preserve">Leading with cultural intelligence</w:t>
      </w:r>
      <w:r>
        <w:rPr>
          <w:sz w:val="20"/>
          <w:szCs w:val="20"/>
        </w:rPr>
        <w:t xml:space="preserve"> (2nd ed.). AMACOM.</w:t>
      </w:r>
    </w:p>
    <w:p>
      <w:pPr>
        <w:spacing w:after="100" w:line="264"/>
        <w:ind w:left="540" w:hanging="540"/>
      </w:pPr>
      <w:r>
        <w:rPr>
          <w:sz w:val="20"/>
          <w:szCs w:val="20"/>
        </w:rPr>
        <w:t xml:space="preserve">United Nations. (n.d.). </w:t>
      </w:r>
      <w:r>
        <w:rPr>
          <w:i/>
          <w:iCs/>
          <w:sz w:val="20"/>
          <w:szCs w:val="20"/>
        </w:rPr>
        <w:t xml:space="preserve">Deliver humanitarian aid</w:t>
      </w:r>
      <w:r>
        <w:rPr>
          <w:sz w:val="20"/>
          <w:szCs w:val="20"/>
        </w:rPr>
        <w:t xml:space="preserve">. https://www.un.org/en/our-work/deliver-humanitarian-aid</w:t>
      </w:r>
    </w:p>
    <w:p>
      <w:pPr>
        <w:spacing w:after="100" w:line="264"/>
        <w:ind w:left="540" w:hanging="540"/>
      </w:pPr>
      <w:r>
        <w:rPr>
          <w:sz w:val="20"/>
          <w:szCs w:val="20"/>
        </w:rPr>
        <w:t xml:space="preserve">United Nations. (n.d.). </w:t>
      </w:r>
      <w:r>
        <w:rPr>
          <w:i/>
          <w:iCs/>
          <w:sz w:val="20"/>
          <w:szCs w:val="20"/>
        </w:rPr>
        <w:t xml:space="preserve">United Nations field missions</w:t>
      </w:r>
      <w:r>
        <w:rPr>
          <w:sz w:val="20"/>
          <w:szCs w:val="20"/>
        </w:rPr>
        <w:t xml:space="preserve">. https://www.unmissions.org/en/united-nations-field-missions</w:t>
      </w:r>
    </w:p>
    <w:p>
      <w:pPr>
        <w:spacing w:after="100" w:line="264"/>
        <w:ind w:left="540" w:hanging="540"/>
      </w:pPr>
      <w:r>
        <w:rPr>
          <w:sz w:val="20"/>
          <w:szCs w:val="20"/>
        </w:rPr>
        <w:t xml:space="preserve">United Nations. (n.d.). </w:t>
      </w:r>
      <w:r>
        <w:rPr>
          <w:i/>
          <w:iCs/>
          <w:sz w:val="20"/>
          <w:szCs w:val="20"/>
        </w:rPr>
        <w:t xml:space="preserve">UN missions</w:t>
      </w:r>
      <w:r>
        <w:rPr>
          <w:sz w:val="20"/>
          <w:szCs w:val="20"/>
        </w:rPr>
        <w:t xml:space="preserve"> [Portal]. https://www.unmissions.org/en</w:t>
      </w:r>
    </w:p>
    <w:p>
      <w:pPr>
        <w:spacing w:after="100" w:line="264"/>
        <w:ind w:left="540" w:hanging="540"/>
      </w:pPr>
      <w:r>
        <w:rPr>
          <w:sz w:val="20"/>
          <w:szCs w:val="20"/>
        </w:rPr>
        <w:t xml:space="preserve">United Nations General Assembly. (1991). </w:t>
      </w:r>
      <w:r>
        <w:rPr>
          <w:i/>
          <w:iCs/>
          <w:sz w:val="20"/>
          <w:szCs w:val="20"/>
        </w:rPr>
        <w:t xml:space="preserve">Strengthening of the coordination of humanitarian emergency assistance of the United Nations</w:t>
      </w:r>
      <w:r>
        <w:rPr>
          <w:sz w:val="20"/>
          <w:szCs w:val="20"/>
        </w:rPr>
        <w:t xml:space="preserve"> (A/RES/46/182).</w:t>
      </w:r>
    </w:p>
    <w:p>
      <w:pPr>
        <w:spacing w:after="100" w:line="264"/>
        <w:ind w:left="540" w:hanging="540"/>
      </w:pPr>
      <w:r>
        <w:rPr>
          <w:sz w:val="20"/>
          <w:szCs w:val="20"/>
        </w:rPr>
        <w:t xml:space="preserve">United Nations General Assembly. (2004). </w:t>
      </w:r>
      <w:r>
        <w:rPr>
          <w:i/>
          <w:iCs/>
          <w:sz w:val="20"/>
          <w:szCs w:val="20"/>
        </w:rPr>
        <w:t xml:space="preserve">Strengthening of the coordination of emergency humanitarian assistance of the United Nations</w:t>
      </w:r>
      <w:r>
        <w:rPr>
          <w:sz w:val="20"/>
          <w:szCs w:val="20"/>
        </w:rPr>
        <w:t xml:space="preserve"> (A/RES/58/114).</w:t>
      </w:r>
    </w:p>
    <w:p>
      <w:r>
        <w:br w:type="page"/>
      </w:r>
    </w:p>
    <w:p>
      <w:pPr>
        <w:pStyle w:val="Heading1"/>
      </w:pPr>
      <w:r>
        <w:t xml:space="preserve">Appendix: Mission dataset and verification status</w:t>
      </w:r>
    </w:p>
    <w:p>
      <w:pPr>
        <w:spacing w:after="120" w:line="276"/>
      </w:pPr>
      <w:r>
        <w:rPr>
          <w:sz w:val="20"/>
          <w:szCs w:val="20"/>
        </w:rPr>
        <w:t xml:space="preserve">Compiled 2026-10-24. Entries flagged below should be checked against the live directory (https://www.unmissions.org/en/united-nations-field-missions) before any public demonstration.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3100"/>
        <w:gridCol w:w="1500"/>
        <w:gridCol w:w="2410"/>
        <w:gridCol w:w="1100"/>
      </w:tblGrid>
      <w:tr>
        <w:trPr>
          <w:tblHeader/>
        </w:trPr>
        <w:tc>
          <w:tcPr>
            <w:tcW w:type="dxa" w:w="125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7"/>
                <w:szCs w:val="17"/>
              </w:rPr>
              <w:t xml:space="preserve">Acronym</w:t>
            </w:r>
          </w:p>
        </w:tc>
        <w:tc>
          <w:tcPr>
            <w:tcW w:type="dxa" w:w="31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7"/>
                <w:szCs w:val="17"/>
              </w:rPr>
              <w:t xml:space="preserve">Name</w:t>
            </w:r>
          </w:p>
        </w:tc>
        <w:tc>
          <w:tcPr>
            <w:tcW w:type="dxa" w:w="15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7"/>
                <w:szCs w:val="17"/>
              </w:rPr>
              <w:t xml:space="preserve">Type</w:t>
            </w:r>
          </w:p>
        </w:tc>
        <w:tc>
          <w:tcPr>
            <w:tcW w:type="dxa" w:w="241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7"/>
                <w:szCs w:val="17"/>
              </w:rPr>
              <w:t xml:space="preserve">Geographic scope</w:t>
            </w:r>
          </w:p>
        </w:tc>
        <w:tc>
          <w:tcPr>
            <w:tcW w:type="dxa" w:w="1100"/>
            <w:tcBorders>
              <w:top w:val="single" w:color="D9DDE8" w:sz="4"/>
              <w:left w:val="single" w:color="D9DDE8" w:sz="4"/>
              <w:bottom w:val="single" w:color="D9DDE8" w:sz="4"/>
              <w:right w:val="single" w:color="D9DDE8" w:sz="4"/>
            </w:tcBorders>
            <w:shd w:fill="12406F" w:color="auto" w:val="clear"/>
            <w:tcMar>
              <w:top w:type="dxa" w:w="70"/>
              <w:left w:type="dxa" w:w="110"/>
              <w:bottom w:type="dxa" w:w="70"/>
              <w:right w:type="dxa" w:w="110"/>
            </w:tcMar>
          </w:tcPr>
          <w:p>
            <w:pPr>
              <w:spacing w:after="40" w:line="252"/>
            </w:pPr>
            <w:r>
              <w:rPr>
                <w:b/>
                <w:bCs/>
                <w:color w:val="FFFFFF"/>
                <w:sz w:val="17"/>
                <w:szCs w:val="17"/>
              </w:rPr>
              <w:t xml:space="preserve">Flag</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MINURSO</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Mission for the Referendum in Western Sahara</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Western Sahara</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MINUSCA</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Multidimensional Integrated Stabilization Mission in the Central African Republic</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Central African Republic</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MONUSCO</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Organization Stabilization Mission in the Democratic Republic of the Congo</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Democratic Republic of the Congo</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UNDOF</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Disengagement Observer Force</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Golan</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UNFICYP</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Peacekeeping Force in Cyprus</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Cyprus</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UNIFIL</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Interim Force in Lebanon</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Lebanon</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Check status</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UNISFA</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Interim Security Force for Abyei</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Abyei Area (Sudan / South Sudan)</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UNMIK</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Interim Administration Mission in Kosovo</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Kosovo</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UNMISS</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Mission in the Republic of South Sudan</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South Sudan</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UNMOGIP</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Military Observer Group in India and Pakistan</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India, Pakistan</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UNTSO</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Truce Supervision Organization</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Peacekeeping operation</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Egypt, Israel, Jordan, Lebanon, Syrian Arab Republic</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UNSOS</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Support Office in Somalia</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Support office</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Somalia</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UNSOH</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Support Office in Haiti</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Support office</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Haiti</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UNAMA</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Assistance Mission in Afghanistan</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Special political mission</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Afghanistan</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BINUH</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Integrated Office in Haiti</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Special political mission</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Haiti</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UNSMIL</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Support Mission in Libya</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Special political mission</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Libya</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UNTMIS</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Transitional Assistance Mission in Somalia</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Special political mission</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Somalia</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Check status</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UNVMC</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Verification Mission in Colombia</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Special political mission</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Colombia</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Check status</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UNOWAS</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Office for West Africa and the Sahel</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Regional office</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Benin, Burkina Faso, Cabo Verde, Côte d'Ivoire, Gambia, Ghana, Guinea, Guinea-Bissau, Liberia, Mali, Mauritania, Niger, Nigeria, Senegal, Sierra Leone, Togo</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UNOCA</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Regional Office for Central Africa</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Regional office</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Angola, Burundi, Cameroon, Central African Republic, Chad, Congo, Democratic Republic of the Congo, Equatorial Guinea, Gabon, Rwanda, São Tomé and Príncipe</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UNRCCA</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United Nations Regional Centre for Preventive Diplomacy for Central Asia</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Regional office</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Kazakhstan, Kyrgyzstan, Tajikistan, Turkmenistan, Uzbekistan</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Confirmed</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UNOAU</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United Nations Office to the African Union</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Regional office</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African Union (continental partnership)</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Check listing</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UNSCO</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Office of the United Nations Special Coordinator for the Middle East Peace Process</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Special political mission</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Occupied Palestinian Territory, Israel</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Check listing</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UNSCOL</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Office of the United Nations Special Coordinator for Lebanon</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Special political mission</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Lebanon</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Check listing</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OSES</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Office of the Special Envoy of the Secretary-General for Syria</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Envoy / good offices</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Syrian Arab Republic</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Check listing</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OSESGY</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Office of the Special Envoy of the Secretary-General for Yemen</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Envoy / good offices</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Yemen</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Check listing</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O/SESG-GL</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Office of the Special Envoy of the Secretary-General for the Great Lakes Region</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Envoy / good offices</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Great Lakes region (signatories of the Peace, Security and Cooperation Framework)</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Check listing</w:t>
            </w:r>
          </w:p>
        </w:tc>
      </w:tr>
      <w:tr>
        <w:trPr>
          <w:cantSplit/>
        </w:trPr>
        <w:tc>
          <w:tcPr>
            <w:tcW w:type="dxa" w:w="125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O/SESG-HoA</w:t>
            </w:r>
          </w:p>
        </w:tc>
        <w:tc>
          <w:tcPr>
            <w:tcW w:type="dxa" w:w="3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Office of the Special Envoy of the Secretary-General for the Horn of Africa</w:t>
            </w:r>
          </w:p>
        </w:tc>
        <w:tc>
          <w:tcPr>
            <w:tcW w:type="dxa" w:w="15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Envoy / good offices</w:t>
            </w:r>
          </w:p>
        </w:tc>
        <w:tc>
          <w:tcPr>
            <w:tcW w:type="dxa" w:w="241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Horn of Africa region</w:t>
            </w:r>
          </w:p>
        </w:tc>
        <w:tc>
          <w:tcPr>
            <w:tcW w:type="dxa" w:w="1100"/>
            <w:tcBorders>
              <w:top w:val="single" w:color="D9DDE8" w:sz="4"/>
              <w:left w:val="single" w:color="D9DDE8" w:sz="4"/>
              <w:bottom w:val="single" w:color="D9DDE8" w:sz="4"/>
              <w:right w:val="single" w:color="D9DDE8" w:sz="4"/>
            </w:tcBorders>
            <w:shd w:fill="F7F8FC" w:color="auto" w:val="clear"/>
            <w:tcMar>
              <w:top w:type="dxa" w:w="70"/>
              <w:left w:type="dxa" w:w="110"/>
              <w:bottom w:type="dxa" w:w="70"/>
              <w:right w:type="dxa" w:w="110"/>
            </w:tcMar>
          </w:tcPr>
          <w:p>
            <w:pPr>
              <w:spacing w:after="40" w:line="252"/>
            </w:pPr>
            <w:r>
              <w:rPr>
                <w:sz w:val="17"/>
                <w:szCs w:val="17"/>
              </w:rPr>
              <w:t xml:space="preserve">Check listing</w:t>
            </w:r>
          </w:p>
        </w:tc>
      </w:tr>
      <w:tr>
        <w:trPr>
          <w:cantSplit/>
        </w:trPr>
        <w:tc>
          <w:tcPr>
            <w:tcW w:type="dxa" w:w="125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Good Offices (Cyprus)</w:t>
            </w:r>
          </w:p>
        </w:tc>
        <w:tc>
          <w:tcPr>
            <w:tcW w:type="dxa" w:w="3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Good Offices Mission of the Secretary-General in Cyprus</w:t>
            </w:r>
          </w:p>
        </w:tc>
        <w:tc>
          <w:tcPr>
            <w:tcW w:type="dxa" w:w="15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Envoy / good offices</w:t>
            </w:r>
          </w:p>
        </w:tc>
        <w:tc>
          <w:tcPr>
            <w:tcW w:type="dxa" w:w="241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Cyprus</w:t>
            </w:r>
          </w:p>
        </w:tc>
        <w:tc>
          <w:tcPr>
            <w:tcW w:type="dxa" w:w="1100"/>
            <w:tcBorders>
              <w:top w:val="single" w:color="D9DDE8" w:sz="4"/>
              <w:left w:val="single" w:color="D9DDE8" w:sz="4"/>
              <w:bottom w:val="single" w:color="D9DDE8" w:sz="4"/>
              <w:right w:val="single" w:color="D9DDE8" w:sz="4"/>
            </w:tcBorders>
            <w:tcMar>
              <w:top w:type="dxa" w:w="70"/>
              <w:left w:type="dxa" w:w="110"/>
              <w:bottom w:type="dxa" w:w="70"/>
              <w:right w:type="dxa" w:w="110"/>
            </w:tcMar>
          </w:tcPr>
          <w:p>
            <w:pPr>
              <w:spacing w:after="40" w:line="252"/>
            </w:pPr>
            <w:r>
              <w:rPr>
                <w:sz w:val="17"/>
                <w:szCs w:val="17"/>
              </w:rPr>
              <w:t xml:space="preserve">Check listing</w:t>
            </w:r>
          </w:p>
        </w:tc>
      </w:tr>
    </w:tbl>
    <w:sectPr>
      <w:headerReference w:type="default" r:id="rId7"/>
      <w:headerReference w:type="first" r:id="rId8"/>
      <w:footerReference w:type="default" r:id="rId9"/>
      <w:footerReference w:type="first" r:id="rId10"/>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678"/>
        <w:sz w:val="17"/>
        <w:szCs w:val="17"/>
      </w:rPr>
      <w:t xml:space="preserve">Learning prototype: not an official UN product</w:t>
    </w:r>
    <w:r>
      <w:rPr>
        <w:color w:val="5B6678"/>
        <w:sz w:val="17"/>
        <w:szCs w:val="17"/>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8"/>
        <w:sz w:val="17"/>
        <w:szCs w:val="17"/>
      </w:rPr>
      <w:t xml:space="preserve">Relief Map · Concept Document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2406F"/>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1F56AD"/>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6D4BD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0cf28e402c1e26717e92af79f56cacfacdecdd9.png"/><Relationship Id="rId12" Type="http://schemas.openxmlformats.org/officeDocument/2006/relationships/image" Target="media/6d6313be1185d594b2af4bbc18afa4bb06796f0a.png"/><Relationship Id="rId13" Type="http://schemas.openxmlformats.org/officeDocument/2006/relationships/image" Target="media/75aeff082ea09133b4a66c579c45cfc530fe46a0.png"/><Relationship Id="rId14" Type="http://schemas.openxmlformats.org/officeDocument/2006/relationships/image" Target="media/528caf78db77f5f1a87216f02b6694f0179b5cc3.png"/><Relationship Id="rId15" Type="http://schemas.openxmlformats.org/officeDocument/2006/relationships/image" Target="media/0ae1d84dfbab40388c9a3ca9596ada2ee8fbc8ad.png"/><Relationship Id="rId16" Type="http://schemas.openxmlformats.org/officeDocument/2006/relationships/image" Target="media/d9b288377b2fd04915a58dcaa0b852cf8e1b5d60.png"/><Relationship Id="rId17" Type="http://schemas.openxmlformats.org/officeDocument/2006/relationships/image" Target="media/46ffca5017e07f2b48ac8bed2bbae577506cce79.png"/><Relationship Id="rId18" Type="http://schemas.openxmlformats.org/officeDocument/2006/relationships/image" Target="media/c5560c95e37b3fa2ac86f006cc8376c9737305ad.png"/><Relationship Id="rId19" Type="http://schemas.openxmlformats.org/officeDocument/2006/relationships/image" Target="media/152140756129485c1b5bec7e15684223aa1b5967.png"/><Relationship Id="rId20" Type="http://schemas.openxmlformats.org/officeDocument/2006/relationships/image" Target="media/d8fb7afd3adb1cb6a618ca02ab37880146806a1f.png"/><Relationship Id="rId21" Type="http://schemas.openxmlformats.org/officeDocument/2006/relationships/image" Target="media/2b244e1d9ab3ea45dc8fbf712a963daf01518d9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[Your name]</dc:creator>
  <dc:description>Concept document for the Relief Map learning tool and outline of Team Compass</dc:description>
  <cp:lastModifiedBy>Un-named</cp:lastModifiedBy>
  <cp:revision>1</cp:revision>
  <dcterms:created xsi:type="dcterms:W3CDTF">2026-10-24T04:55:55.612Z</dcterms:created>
  <dcterms:modified xsi:type="dcterms:W3CDTF">2026-10-24T04:55:55.612Z</dcterms:modified>
</cp:coreProperties>
</file>

<file path=docProps/custom.xml><?xml version="1.0" encoding="utf-8"?>
<Properties xmlns="http://schemas.openxmlformats.org/officeDocument/2006/custom-properties" xmlns:vt="http://schemas.openxmlformats.org/officeDocument/2006/docPropsVTypes"/>
</file>