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Upload Source Code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Fazer upload de Arquivos de código-fonte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Fazer upload de Arquivos de código-fonte - submeter um código-fonte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fazer upload de Arquivos de código-fonte.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 e a lista dos tipos de arquivo (source, base, main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“Carregar Arquivo”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escolha de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a versão do arquivo no campo “Versão”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valor no campo “Build”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arquivo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componente abstrato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as unidades concretas do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“Enviar”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Recarregar a página e mostrar a mensagem “Ok! O Arquivo foi enviado com sucesso!”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8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8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Fazer upload de Arquivos de código-fonte - realizar uma submissão sem um arquivo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como o sistema se comporta quando o formulário é submetido sem arquivo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 e a lista dos tipos de arquivo (source, base, main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“Enviar”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retornar a seguinte mensagem: Ops! O arquivo não pode ser enviado!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 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