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ANÁLISE DE DESEMPENHO DAS EQUIPES</w:t>
      </w:r>
    </w:p>
    <w:p>
      <w:pPr>
        <w:jc w:val="right"/>
      </w:pPr>
      <w:r>
        <w:rPr>
          <w:b/>
        </w:rPr>
        <w:t>Data: 24/03/2026</w:t>
      </w:r>
    </w:p>
    <w:p/>
    <w:p>
      <w:r>
        <w:rPr>
          <w:b/>
        </w:rPr>
        <w:t>1. INTRODUÇÃO</w:t>
        <w:br/>
      </w:r>
      <w:r>
        <w:rPr>
          <w:i w:val="0"/>
        </w:rPr>
        <w:t>Este relatório apresenta uma análise detalhada do desempenho das equipes operacionais, com foco nos principais indicadores de produtividade e eficiência. A análise é dividida em duas seções principais: registros produtivos e registros improdutivos, conforme classificação do sistema. Para cada métrica, as equipes são classificadas da pior para a melhor performance, com destaque para aquelas que apresentam desvios significativos em relação às metas estabelecidas.</w:t>
      </w:r>
    </w:p>
    <w:p/>
    <w:p>
      <w:r>
        <w:rPr>
          <w:b/>
        </w:rPr>
        <w:t>2. METODOLOGIA</w:t>
        <w:br/>
      </w:r>
      <w:r>
        <w:rPr>
          <w:i w:val="0"/>
        </w:rPr>
        <w:t>As métricas foram calculadas com base nos registros de apontamento das equipes, considerando os seguintes parâmetros:</w:t>
      </w:r>
    </w:p>
    <w:p>
      <w:r>
        <w:rPr>
          <w:i/>
        </w:rPr>
        <w:t>• TempExe: Tempo de execução (Liberada - No_Local) - Meta: 50.0min (produtivo) / 20.0min (improdutivo)</w:t>
      </w:r>
      <w:r>
        <w:br/>
      </w:r>
      <w:r>
        <w:rPr>
          <w:i/>
        </w:rPr>
        <w:t>• TempDesl: Tempo de deslocamento (No_Local - A_Caminho)</w:t>
      </w:r>
      <w:r>
        <w:br/>
      </w:r>
      <w:r>
        <w:rPr>
          <w:i/>
        </w:rPr>
        <w:t>• InterReg: Intervalo regulamentar (Fim_Intervalo - Início_Intervalo) - Meta: 60.0min</w:t>
      </w:r>
      <w:r>
        <w:br/>
      </w:r>
      <w:r>
        <w:rPr>
          <w:i/>
        </w:rPr>
        <w:t>• TempPrep: Tempo de preparação da equipe</w:t>
      </w:r>
      <w:r>
        <w:br/>
      </w:r>
      <w:r>
        <w:rPr>
          <w:i/>
        </w:rPr>
        <w:t>• Tempo de utilização: TempExe + TempDesl - Meta: 85% de 468.0min (397.8min)</w:t>
      </w:r>
      <w:r>
        <w:br/>
      </w:r>
      <w:r>
        <w:rPr>
          <w:i/>
        </w:rPr>
        <w:t>• Tempo ocioso: TempPrep + (60 - InterReg) ou TempPrep + 60 (se InterReg = 0)</w:t>
      </w:r>
    </w:p>
    <w:p>
      <w:r>
        <w:br w:type="page"/>
      </w:r>
    </w:p>
    <w:p>
      <w:pPr>
        <w:pStyle w:val="Heading1"/>
      </w:pPr>
      <w:r>
        <w:t>3. ANÁLISE DE REGISTROS IMPRODUTIVAS</w:t>
      </w:r>
    </w:p>
    <w:p>
      <w:pPr>
        <w:pStyle w:val="Heading3"/>
      </w:pPr>
      <w:r>
        <w:t>3.1 Tempo de Execução (TempExe)</w:t>
      </w:r>
    </w:p>
    <w:p>
      <w:r>
        <w:t>Esta métrica indica o tempo médio de execução das atividades. Valores muito baixos podem indicar erro de apontamento nos momentos 'No_Local' e 'Liberada'.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Posição</w:t>
            </w:r>
          </w:p>
        </w:tc>
        <w:tc>
          <w:tcPr>
            <w:tcW w:type="dxa" w:w="3024"/>
          </w:tcPr>
          <w:p>
            <w:r>
              <w:t>Equipe</w:t>
            </w:r>
          </w:p>
        </w:tc>
        <w:tc>
          <w:tcPr>
            <w:tcW w:type="dxa" w:w="3024"/>
          </w:tcPr>
          <w:p>
            <w:r>
              <w:t>Valor (min)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ACU-TR-01B</w:t>
            </w:r>
          </w:p>
        </w:tc>
        <w:tc>
          <w:tcPr>
            <w:tcW w:type="dxa" w:w="3024"/>
          </w:tcPr>
          <w:p>
            <w:r>
              <w:t>85.50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ACU-TR-01D</w:t>
            </w:r>
          </w:p>
        </w:tc>
        <w:tc>
          <w:tcPr>
            <w:tcW w:type="dxa" w:w="3024"/>
          </w:tcPr>
          <w:p>
            <w:r>
              <w:t>70.00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ACU-TR-02D</w:t>
            </w:r>
          </w:p>
        </w:tc>
        <w:tc>
          <w:tcPr>
            <w:tcW w:type="dxa" w:w="3024"/>
          </w:tcPr>
          <w:p>
            <w:r>
              <w:t>35.50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ACU-SG-01D</w:t>
            </w:r>
          </w:p>
        </w:tc>
        <w:tc>
          <w:tcPr>
            <w:tcW w:type="dxa" w:w="3024"/>
          </w:tcPr>
          <w:p>
            <w:r>
              <w:t>31.83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ACU-SP-01C</w:t>
            </w:r>
          </w:p>
        </w:tc>
        <w:tc>
          <w:tcPr>
            <w:tcW w:type="dxa" w:w="3024"/>
          </w:tcPr>
          <w:p>
            <w:r>
              <w:t>28.00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ACU-SG-01C</w:t>
            </w:r>
          </w:p>
        </w:tc>
        <w:tc>
          <w:tcPr>
            <w:tcW w:type="dxa" w:w="3024"/>
          </w:tcPr>
          <w:p>
            <w:r>
              <w:t>21.00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ACU-TR-02B</w:t>
            </w:r>
          </w:p>
        </w:tc>
        <w:tc>
          <w:tcPr>
            <w:tcW w:type="dxa" w:w="3024"/>
          </w:tcPr>
          <w:p>
            <w:r>
              <w:t>18.50</w:t>
            </w:r>
          </w:p>
        </w:tc>
      </w:tr>
    </w:tbl>
    <w:p/>
    <w:p>
      <w:pPr>
        <w:pStyle w:val="Heading3"/>
      </w:pPr>
      <w:r>
        <w:t>3.2 Tempo de Deslocamento (TempDesl)</w:t>
      </w:r>
    </w:p>
    <w:p>
      <w:r>
        <w:t>Esta métrica indica o tempo médio de deslocamento. Valores muito baixos podem indicar erro de apontamento nos momentos 'A_Caminho' e 'No_Local'.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Posição</w:t>
            </w:r>
          </w:p>
        </w:tc>
        <w:tc>
          <w:tcPr>
            <w:tcW w:type="dxa" w:w="3024"/>
          </w:tcPr>
          <w:p>
            <w:r>
              <w:t>Equipe</w:t>
            </w:r>
          </w:p>
        </w:tc>
        <w:tc>
          <w:tcPr>
            <w:tcW w:type="dxa" w:w="3024"/>
          </w:tcPr>
          <w:p>
            <w:r>
              <w:t>Valor (min)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ACU-TR-02D</w:t>
            </w:r>
          </w:p>
        </w:tc>
        <w:tc>
          <w:tcPr>
            <w:tcW w:type="dxa" w:w="3024"/>
          </w:tcPr>
          <w:p>
            <w:r>
              <w:t>36.50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ACU-TR-01D</w:t>
            </w:r>
          </w:p>
        </w:tc>
        <w:tc>
          <w:tcPr>
            <w:tcW w:type="dxa" w:w="3024"/>
          </w:tcPr>
          <w:p>
            <w:r>
              <w:t>35.00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ACU-TR-02B</w:t>
            </w:r>
          </w:p>
        </w:tc>
        <w:tc>
          <w:tcPr>
            <w:tcW w:type="dxa" w:w="3024"/>
          </w:tcPr>
          <w:p>
            <w:r>
              <w:t>24.25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ACU-TR-01B</w:t>
            </w:r>
          </w:p>
        </w:tc>
        <w:tc>
          <w:tcPr>
            <w:tcW w:type="dxa" w:w="3024"/>
          </w:tcPr>
          <w:p>
            <w:r>
              <w:t>23.50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ACU-SP-01C</w:t>
            </w:r>
          </w:p>
        </w:tc>
        <w:tc>
          <w:tcPr>
            <w:tcW w:type="dxa" w:w="3024"/>
          </w:tcPr>
          <w:p>
            <w:r>
              <w:t>19.00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ACU-SG-01D</w:t>
            </w:r>
          </w:p>
        </w:tc>
        <w:tc>
          <w:tcPr>
            <w:tcW w:type="dxa" w:w="3024"/>
          </w:tcPr>
          <w:p>
            <w:r>
              <w:t>16.50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ACU-SG-01C</w:t>
            </w:r>
          </w:p>
        </w:tc>
        <w:tc>
          <w:tcPr>
            <w:tcW w:type="dxa" w:w="3024"/>
          </w:tcPr>
          <w:p>
            <w:r>
              <w:t>6.00</w:t>
            </w:r>
          </w:p>
        </w:tc>
      </w:tr>
    </w:tbl>
    <w:p/>
    <w:p>
      <w:pPr>
        <w:pStyle w:val="Heading3"/>
      </w:pPr>
      <w:r>
        <w:t>3.3 Tempo de Utilização</w:t>
      </w:r>
    </w:p>
    <w:p>
      <w:r>
        <w:rPr>
          <w:b/>
        </w:rPr>
        <w:t>Meta: 85% de 468.0min (397.8min)</w:t>
      </w:r>
    </w:p>
    <w:p>
      <w:r>
        <w:t>Tempo total de trabalho produtivo (execução + deslocamento). Valores abaixo de 85% indicam subutilização da jornada.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Posição</w:t>
            </w:r>
          </w:p>
        </w:tc>
        <w:tc>
          <w:tcPr>
            <w:tcW w:type="dxa" w:w="2268"/>
          </w:tcPr>
          <w:p>
            <w:r>
              <w:t>Equipe</w:t>
            </w:r>
          </w:p>
        </w:tc>
        <w:tc>
          <w:tcPr>
            <w:tcW w:type="dxa" w:w="2268"/>
          </w:tcPr>
          <w:p>
            <w:r>
              <w:t>Tempo (min)</w:t>
            </w:r>
          </w:p>
        </w:tc>
        <w:tc>
          <w:tcPr>
            <w:tcW w:type="dxa" w:w="2268"/>
          </w:tcPr>
          <w:p>
            <w:r>
              <w:t>Utilização (%)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ACU-SG-01C</w:t>
            </w:r>
          </w:p>
        </w:tc>
        <w:tc>
          <w:tcPr>
            <w:tcW w:type="dxa" w:w="2268"/>
          </w:tcPr>
          <w:p>
            <w:r>
              <w:t>27.00</w:t>
            </w:r>
          </w:p>
        </w:tc>
        <w:tc>
          <w:tcPr>
            <w:tcW w:type="dxa" w:w="2268"/>
          </w:tcPr>
          <w:p>
            <w:r>
              <w:t>5.8%</w:t>
            </w:r>
          </w:p>
        </w:tc>
      </w:tr>
      <w:tr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ACU-TR-02B</w:t>
            </w:r>
          </w:p>
        </w:tc>
        <w:tc>
          <w:tcPr>
            <w:tcW w:type="dxa" w:w="2268"/>
          </w:tcPr>
          <w:p>
            <w:r>
              <w:t>42.75</w:t>
            </w:r>
          </w:p>
        </w:tc>
        <w:tc>
          <w:tcPr>
            <w:tcW w:type="dxa" w:w="2268"/>
          </w:tcPr>
          <w:p>
            <w:r>
              <w:t>9.1%</w:t>
            </w:r>
          </w:p>
        </w:tc>
      </w:tr>
      <w:tr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ACU-SP-01C</w:t>
            </w:r>
          </w:p>
        </w:tc>
        <w:tc>
          <w:tcPr>
            <w:tcW w:type="dxa" w:w="2268"/>
          </w:tcPr>
          <w:p>
            <w:r>
              <w:t>47.00</w:t>
            </w:r>
          </w:p>
        </w:tc>
        <w:tc>
          <w:tcPr>
            <w:tcW w:type="dxa" w:w="2268"/>
          </w:tcPr>
          <w:p>
            <w:r>
              <w:t>10.0%</w:t>
            </w:r>
          </w:p>
        </w:tc>
      </w:tr>
      <w:tr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ACU-SG-01D</w:t>
            </w:r>
          </w:p>
        </w:tc>
        <w:tc>
          <w:tcPr>
            <w:tcW w:type="dxa" w:w="2268"/>
          </w:tcPr>
          <w:p>
            <w:r>
              <w:t>48.33</w:t>
            </w:r>
          </w:p>
        </w:tc>
        <w:tc>
          <w:tcPr>
            <w:tcW w:type="dxa" w:w="2268"/>
          </w:tcPr>
          <w:p>
            <w:r>
              <w:t>10.3%</w:t>
            </w:r>
          </w:p>
        </w:tc>
      </w:tr>
      <w:tr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ACU-TR-02D</w:t>
            </w:r>
          </w:p>
        </w:tc>
        <w:tc>
          <w:tcPr>
            <w:tcW w:type="dxa" w:w="2268"/>
          </w:tcPr>
          <w:p>
            <w:r>
              <w:t>72.00</w:t>
            </w:r>
          </w:p>
        </w:tc>
        <w:tc>
          <w:tcPr>
            <w:tcW w:type="dxa" w:w="2268"/>
          </w:tcPr>
          <w:p>
            <w:r>
              <w:t>15.4%</w:t>
            </w:r>
          </w:p>
        </w:tc>
      </w:tr>
      <w:tr>
        <w:tc>
          <w:tcPr>
            <w:tcW w:type="dxa" w:w="22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ACU-TR-01D</w:t>
            </w:r>
          </w:p>
        </w:tc>
        <w:tc>
          <w:tcPr>
            <w:tcW w:type="dxa" w:w="2268"/>
          </w:tcPr>
          <w:p>
            <w:r>
              <w:t>105.00</w:t>
            </w:r>
          </w:p>
        </w:tc>
        <w:tc>
          <w:tcPr>
            <w:tcW w:type="dxa" w:w="2268"/>
          </w:tcPr>
          <w:p>
            <w:r>
              <w:t>22.4%</w:t>
            </w:r>
          </w:p>
        </w:tc>
      </w:tr>
      <w:tr>
        <w:tc>
          <w:tcPr>
            <w:tcW w:type="dxa" w:w="22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ACU-TR-01B</w:t>
            </w:r>
          </w:p>
        </w:tc>
        <w:tc>
          <w:tcPr>
            <w:tcW w:type="dxa" w:w="2268"/>
          </w:tcPr>
          <w:p>
            <w:r>
              <w:t>109.00</w:t>
            </w:r>
          </w:p>
        </w:tc>
        <w:tc>
          <w:tcPr>
            <w:tcW w:type="dxa" w:w="2268"/>
          </w:tcPr>
          <w:p>
            <w:r>
              <w:t>23.3%</w:t>
            </w:r>
          </w:p>
        </w:tc>
      </w:tr>
    </w:tbl>
    <w:p/>
    <w:p>
      <w:pPr>
        <w:pStyle w:val="Heading3"/>
      </w:pPr>
      <w:r>
        <w:t>3.4 Tempo de Preparação (TempPrep)</w:t>
      </w:r>
    </w:p>
    <w:p>
      <w:r>
        <w:t>Tempo de preparação da equipe. Valores elevados indicam possível ociosidade ou ineficiência no processo de preparação para novas atividades.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Posição</w:t>
            </w:r>
          </w:p>
        </w:tc>
        <w:tc>
          <w:tcPr>
            <w:tcW w:type="dxa" w:w="3024"/>
          </w:tcPr>
          <w:p>
            <w:r>
              <w:t>Equipe</w:t>
            </w:r>
          </w:p>
        </w:tc>
        <w:tc>
          <w:tcPr>
            <w:tcW w:type="dxa" w:w="3024"/>
          </w:tcPr>
          <w:p>
            <w:r>
              <w:t>Valor (min)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ACU-SP-01C</w:t>
            </w:r>
          </w:p>
        </w:tc>
        <w:tc>
          <w:tcPr>
            <w:tcW w:type="dxa" w:w="3024"/>
          </w:tcPr>
          <w:p>
            <w:r>
              <w:t>16.22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ACU-TR-02B</w:t>
            </w:r>
          </w:p>
        </w:tc>
        <w:tc>
          <w:tcPr>
            <w:tcW w:type="dxa" w:w="3024"/>
          </w:tcPr>
          <w:p>
            <w:r>
              <w:t>5.88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ACU-SG-01D</w:t>
            </w:r>
          </w:p>
        </w:tc>
        <w:tc>
          <w:tcPr>
            <w:tcW w:type="dxa" w:w="3024"/>
          </w:tcPr>
          <w:p>
            <w:r>
              <w:t>4.87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ACU-TR-01B</w:t>
            </w:r>
          </w:p>
        </w:tc>
        <w:tc>
          <w:tcPr>
            <w:tcW w:type="dxa" w:w="3024"/>
          </w:tcPr>
          <w:p>
            <w:r>
              <w:t>4.51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ACU-TR-01D</w:t>
            </w:r>
          </w:p>
        </w:tc>
        <w:tc>
          <w:tcPr>
            <w:tcW w:type="dxa" w:w="3024"/>
          </w:tcPr>
          <w:p>
            <w:r>
              <w:t>1.57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ACU-TR-02D</w:t>
            </w:r>
          </w:p>
        </w:tc>
        <w:tc>
          <w:tcPr>
            <w:tcW w:type="dxa" w:w="3024"/>
          </w:tcPr>
          <w:p>
            <w:r>
              <w:t>1.47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ACU-SG-01C</w:t>
            </w:r>
          </w:p>
        </w:tc>
        <w:tc>
          <w:tcPr>
            <w:tcW w:type="dxa" w:w="3024"/>
          </w:tcPr>
          <w:p>
            <w:r>
              <w:t>1.03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CONCLUSÕES E RECOMENDAÇÕES</w:t>
      </w:r>
    </w:p>
    <w:p>
      <w:r>
        <w:rPr>
          <w:b/>
        </w:rPr>
        <w:t>Com base na análise realizada, observa-se que:</w:t>
        <w:br/>
        <w:br/>
      </w:r>
      <w:r>
        <w:rPr>
          <w:i w:val="0"/>
        </w:rPr>
      </w:r>
    </w:p>
    <w:p>
      <w:r>
        <w:rPr>
          <w:i w:val="0"/>
        </w:rPr>
        <w:t>1. As equipes com pior desempenho nas métricas de tempo devem receber atenção especial;</w:t>
      </w:r>
    </w:p>
    <w:p>
      <w:r>
        <w:rPr>
          <w:i w:val="0"/>
        </w:rPr>
        <w:t>2. Valores muito abaixo do padrão em TempExe e TempDesl sugerem necessidade de treinamento sobre apontamento correto;</w:t>
      </w:r>
    </w:p>
    <w:p>
      <w:r>
        <w:rPr>
          <w:i w:val="0"/>
        </w:rPr>
        <w:t>3. Tempos ociosos elevados indicam oportunidades de melhoria na gestão operacional;</w:t>
      </w:r>
    </w:p>
    <w:p>
      <w:r>
        <w:rPr>
          <w:i w:val="0"/>
        </w:rPr>
        <w:t>4. Desvios significativos no intervalo regulamentar requerem verificação do cumprimento da jornada de trabalho;</w:t>
      </w:r>
    </w:p>
    <w:p>
      <w:r>
        <w:rPr>
          <w:i w:val="0"/>
        </w:rPr>
        <w:t>5. Recomenda-se acompanhamento periódico destes indicadores para melhoria contínua.</w:t>
      </w:r>
    </w:p>
    <w:p/>
    <w:p>
      <w:r>
        <w:rPr>
          <w:i w:val="0"/>
        </w:rPr>
        <w:t>Este relatório deve ser utilizado como base para planos de ação corretivos e preventivos.</w:t>
      </w:r>
    </w:p>
    <w:sectPr w:rsidR="00FC693F" w:rsidRPr="0006063C" w:rsidSect="00034616">
      <w:pgSz w:w="11909" w:h="16834"/>
      <w:pgMar w:top="1699" w:right="1138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