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Arial" w:hAnsi="Arial"/>
          <w:b/>
          <w:color w:val="DE4B12"/>
          <w:sz w:val="18"/>
        </w:rPr>
        <w:t xml:space="preserve">ALYVON</w:t>
      </w:r>
    </w:p>
    <w:p>
      <w:pPr>
        <w:spacing w:before="0" w:after="200"/>
      </w:pPr>
      <w:r>
        <w:rPr>
          <w:rFonts w:ascii="Arial" w:hAnsi="Arial"/>
          <w:b/>
          <w:sz w:val="40"/>
        </w:rPr>
        <w:t xml:space="preserve">AI readiness assessment checklist</w:t>
      </w:r>
    </w:p>
    <w:p>
      <w:pPr>
        <w:spacing w:before="0" w:after="280"/>
      </w:pPr>
      <w:r>
        <w:rPr>
          <w:rFonts w:ascii="Arial" w:hAnsi="Arial"/>
          <w:color w:val="585F6A"/>
          <w:sz w:val="22"/>
        </w:rPr>
        <w:t xml:space="preserve">The five-area audit, data readiness checks and stakeholder questions in one document.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1. The five readiness areas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Use case: What exactly should AI do, and what does it cost today? Evidence that counts: A workflow described step by step, with hours or errors attached. Red flag: “We want to use AI” with no workflow named.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Agreement: Do the people who do, manage and pay for the work describe it the same way? Evidence that counts: Separate interviews that match on the goal and the success measure. Red flag: The COO says weekly, the coordinator says daily.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Data: Does the data exist, in a usable form, and can it be reached? Evidence that counts: Read-only queries that return the fields the use case needs. Red flag: Key inputs live in PDFs, inboxes or one person’s head.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Ownership: Who approves the work, reviews exceptions and owns it in production? Evidence that counts: Named approvers and a human-review step for edge cases. Red flag: Nobody will own it after the pilot ends.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Baseline: How is the work measured today, and what result would count as a win? Evidence that counts: A current number from a real system, and a target. Red flag: Success is “it feels faster”.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2. Which stage is this use case at?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1. Curious: Interest in AI, no specific workflow named. Next: Pick one workflow with a measurable cost.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2. Scoped: Workflow named, stakeholders interviewed and in agreement. Next: Check the data the workflow depends on.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3. Data-ready: Required data confirmed, gaps known, access granted. Next: Agree a baseline, a target and an owner.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4. Pilot-ready: Signed scope with baseline, target, approvers and change process. Next: Build, then measure against the baseline.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3. Data readiness checks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Existence. Does the system hold the records the workflow touches, and how many in the last 90 days?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Completeness. Of the fields the use case needs, how many are actually populated?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Format. Are the inputs structured records, or documents such as PDFs and email attachments that need extraction first?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Access. Who grants access, how long does it take, and can it be read-only?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Sensitivity. Which fields are personal, financial or regulated, and what must the AI never see?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Baseline. Can today’s performance be measured from the same system the pilot will be measured in?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4. Stakeholder interview questions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1. What would you want AI to do here, in one sentence?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2. Walk me through the work as it happens today, step by step.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3. How long does it take, how often, and who does it?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4. Where does it go wrong, and what does that cost?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5. Which systems and documents are involved?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6. Who has to approve the output before it is used?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7. Which cases should always go to a person?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8. What data must AI never see or change?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9. How do you measure this work today?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10. Six months from now, what number would tell you this worked?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5. Outputs to leave with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Requirements per stakeholder, confirmed by that stakeholder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Disagreements between stakeholders, listed for someone to resolve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Use cases ranked by gain, with the workload math shown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A data findings table: what exists, what is missing, what moves to a later phase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A baseline and a target for each success measure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☐ A go, no-go or reshape recommendation, and the scope that follows from it</w:t>
      </w:r>
    </w:p>
    <w:p>
      <w:pPr>
        <w:spacing w:before="400" w:after="120"/>
      </w:pPr>
      <w:r>
        <w:rPr>
          <w:rFonts w:ascii="Arial" w:hAnsi="Arial"/>
          <w:color w:val="585F6A"/>
          <w:sz w:val="18"/>
        </w:rPr>
        <w:t xml:space="preserve">The guide behind this template: https://www.alyvon.com/insights/ai-readiness-assessment</w:t>
      </w:r>
    </w:p>
    <w:sectPr>
      <w:pgSz w:w="12240" w:h="15840"/>
      <w:pgMar w:top="1200" w:right="1200" w:bottom="1200" w:left="120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AI readiness assessment checklist</dc:title>
  <dc:creator>Alyvon</dc:creator>
</cp:coreProperties>
</file>