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rFonts w:ascii="Arial" w:hAnsi="Arial"/>
          <w:b/>
          <w:color w:val="DE4B12"/>
          <w:sz w:val="18"/>
        </w:rPr>
        <w:t xml:space="preserve">ALYVON</w:t>
      </w:r>
    </w:p>
    <w:p>
      <w:pPr>
        <w:spacing w:before="0" w:after="200"/>
      </w:pPr>
      <w:r>
        <w:rPr>
          <w:rFonts w:ascii="Arial" w:hAnsi="Arial"/>
          <w:b/>
          <w:sz w:val="40"/>
        </w:rPr>
        <w:t xml:space="preserve">Statement of work for an AI project</w:t>
      </w:r>
    </w:p>
    <w:p>
      <w:pPr>
        <w:spacing w:before="0" w:after="280"/>
      </w:pPr>
      <w:r>
        <w:rPr>
          <w:rFonts w:ascii="Arial" w:hAnsi="Arial"/>
          <w:color w:val="585F6A"/>
          <w:sz w:val="22"/>
        </w:rPr>
        <w:t xml:space="preserve">An editable SOW with the clauses AI projects need and most templates miss.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1. Parties and reference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Client: ___   Agency: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Master agreement reference and date: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SOW number and effective date: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2. Background and goal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The problem, in the client’s words: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The business goal this work serves: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3. Scope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In scope: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Out of scope (explicit list):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Project stage: proof of concept / pilot / production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4. Deliverables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Deliverable, owner, format, due date: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5. Data access and readiness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Systems to be accessed and access level (read-only or write):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Data readiness findings to date (exists, missing, deferred):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Fields the AI must never see or change: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6. Success measures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Metric, current baseline, target, data source, measurement date: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Baseline measured on: ___ from: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7. Acceptance criteria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Accuracy or quality threshold on a defined test set: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Volume or time window over which it is measured: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Cases that are always routed to a person: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8. Human review and approvals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Actions that require approval before taking effect: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Approvers on the client side: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9. Timeline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Milestones and dates: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Dependencies on client inputs: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10. Price and payment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Fee and basis (fixed, milestone, time and materials):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Model and API usage costs: included up to ___ / billed at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Payment schedule: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11. Responsibilities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Agency: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 (access, reviewers, decisions, timing):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12. Changes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Any request outside section 3 is handled by a written change order stating its effect on scope, cost, timeline and success measures.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13. Data, IP and handover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Data handling and retention: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Ownership of prompts, configurations and outputs: ___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Handover and documentation at close: ___</w:t>
      </w:r>
    </w:p>
    <w:p>
      <w:pPr>
        <w:spacing w:before="240" w:after="100"/>
      </w:pPr>
      <w:r>
        <w:rPr>
          <w:rFonts w:ascii="Arial" w:hAnsi="Arial"/>
          <w:b/>
          <w:sz w:val="26"/>
        </w:rPr>
        <w:t xml:space="preserve">14. Signatures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Client: name, title, signature, date</w:t>
      </w:r>
    </w:p>
    <w:p>
      <w:pPr>
        <w:spacing w:before="0" w:after="120"/>
      </w:pPr>
      <w:r>
        <w:rPr>
          <w:rFonts w:ascii="Arial" w:hAnsi="Arial"/>
          <w:sz w:val="22"/>
        </w:rPr>
        <w:t xml:space="preserve">Agency: name, title, signature, date</w:t>
      </w:r>
    </w:p>
    <w:p>
      <w:pPr>
        <w:spacing w:before="400" w:after="120"/>
      </w:pPr>
      <w:r>
        <w:rPr>
          <w:rFonts w:ascii="Arial" w:hAnsi="Arial"/>
          <w:color w:val="585F6A"/>
          <w:sz w:val="18"/>
        </w:rPr>
        <w:t xml:space="preserve">The guide behind this template: https://www.alyvon.com/insights/statement-of-work-template-ai</w:t>
      </w:r>
    </w:p>
    <w:sectPr>
      <w:pgSz w:w="12240" w:h="15840"/>
      <w:pgMar w:top="1200" w:right="1200" w:bottom="1200" w:left="1200" w:header="720" w:footer="720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Statement of work for an AI project</dc:title>
  <dc:creator>Alyvon</dc:creator>
</cp:coreProperties>
</file>