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ADV: Uniform Application for Investment Adviser Registration</w:t>
      </w:r>
    </w:p>
    <w:p>
      <w:pPr>
        <w:pStyle w:val="Heading1"/>
      </w:pPr>
      <w:r>
        <w:t>Part 1A: Information About Your Advisory Business</w:t>
      </w:r>
    </w:p>
    <w:p>
      <w:r>
        <w:t>Firm Name: {{ firm_name }}</w:t>
      </w:r>
    </w:p>
    <w:p>
      <w:r>
        <w:t>CRD Number: {{ crd_number }}</w:t>
      </w:r>
    </w:p>
    <w:p>
      <w:r>
        <w:t>SEC File Number: {{ sec_file_number }}</w:t>
      </w:r>
    </w:p>
    <w:p>
      <w:r>
        <w:t>Business Address: {{ address_street }}, {{ address_city }}, {{ address_state }} {{ address_zip }}</w:t>
      </w:r>
    </w:p>
    <w:p>
      <w:r>
        <w:t>Phone Number: {{ phone_number }}</w:t>
      </w:r>
    </w:p>
    <w:p>
      <w:r>
        <w:t>Website: {{ website }}</w:t>
      </w:r>
    </w:p>
    <w:p>
      <w:r>
        <w:t>Chief Compliance Officer: {{ cco_name }}</w:t>
      </w:r>
    </w:p>
    <w:p>
      <w:pPr>
        <w:pStyle w:val="Heading1"/>
      </w:pPr>
      <w:r>
        <w:t>Part 2A: Firm Brochure</w:t>
      </w:r>
    </w:p>
    <w:p>
      <w:r>
        <w:t>This brochure provides information about the qualifications and business practices of {{ firm_name }}.</w:t>
      </w:r>
    </w:p>
    <w:p>
      <w:pPr>
        <w:pStyle w:val="Heading2"/>
      </w:pPr>
      <w:r>
        <w:t>Material Changes</w:t>
      </w:r>
    </w:p>
    <w:p>
      <w:r>
        <w:t>{{ material_changes }}</w:t>
      </w:r>
    </w:p>
    <w:p>
      <w:pPr>
        <w:pStyle w:val="Heading2"/>
      </w:pPr>
      <w:r>
        <w:t>Advisory Business</w:t>
      </w:r>
    </w:p>
    <w:p>
      <w:r>
        <w:t>{{ advisory_business }}</w:t>
      </w:r>
    </w:p>
    <w:p>
      <w:pPr>
        <w:pStyle w:val="Heading2"/>
      </w:pPr>
      <w:r>
        <w:t>Fees and Compensation</w:t>
      </w:r>
    </w:p>
    <w:p>
      <w:r>
        <w:t>{{ fees_and_compensation }}</w:t>
      </w:r>
    </w:p>
    <w:p>
      <w:pPr>
        <w:pStyle w:val="Heading2"/>
      </w:pPr>
      <w:r>
        <w:t>Performance-Based Fees and Side-By-Side Management</w:t>
      </w:r>
    </w:p>
    <w:p>
      <w:r>
        <w:t>{{ performance_fees }}</w:t>
      </w:r>
    </w:p>
    <w:p>
      <w:pPr>
        <w:pStyle w:val="Heading2"/>
      </w:pPr>
      <w:r>
        <w:t>Types of Clients</w:t>
      </w:r>
    </w:p>
    <w:p>
      <w:r>
        <w:t>{{ types_of_clients }}</w:t>
      </w:r>
    </w:p>
    <w:p>
      <w:pPr>
        <w:pStyle w:val="Heading2"/>
      </w:pPr>
      <w:r>
        <w:t>Methods of Analysis, Investment Strategies, and Risk of Loss</w:t>
      </w:r>
    </w:p>
    <w:p>
      <w:r>
        <w:t>{{ methods_of_analysis }}</w:t>
      </w:r>
    </w:p>
    <w:p>
      <w:pPr>
        <w:pStyle w:val="Heading2"/>
      </w:pPr>
      <w:r>
        <w:t>Disciplinary Information</w:t>
      </w:r>
    </w:p>
    <w:p>
      <w:r>
        <w:t>{{ disciplinary_information }}</w:t>
      </w:r>
    </w:p>
    <w:p>
      <w:pPr>
        <w:pStyle w:val="Heading2"/>
      </w:pPr>
      <w:r>
        <w:t>Privacy Policy</w:t>
      </w:r>
    </w:p>
    <w:p>
      <w:r>
        <w:t>{{ privacy_policy }}</w:t>
      </w:r>
    </w:p>
    <w:p>
      <w:pPr>
        <w:pStyle w:val="Heading1"/>
      </w:pPr>
      <w:r>
        <w:t>Generated on {{ generation_date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