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ʿIlm al-Ikhtiyārāt wa al-Sāʿāt — The Science of Election and the Hours</w:t>
      </w:r>
    </w:p>
    <w:p>
      <w:pPr>
        <w:pStyle w:val="Heading2"/>
        <w:pStyle w:val="MdHeading2"/>
      </w:pPr>
      <w:r>
        <w:t xml:space="preserve">Chapter 11 · The Hour · The Doctrine of Timing</w:t>
      </w:r>
    </w:p>
    <w:p>
      <w:pPr>
        <w:pStyle w:val="MdParagraph"/>
      </w:pPr>
      <w:r>
        <w:rPr>
          <w:rStyle w:val="MdStrong"/>
          <w:b/>
          <w:bCs/>
        </w:rPr>
        <w:t xml:space="preserve">Tradition:</w:t>
      </w:r>
      <w:r>
        <w:t xml:space="preserve"> Islamic esoteric (the </w:t>
      </w:r>
      <w:r>
        <w:rPr>
          <w:rStyle w:val="MdEm"/>
          <w:i/>
          <w:iCs/>
        </w:rPr>
        <w:t xml:space="preserve">ikhtiyārāt</w:t>
      </w:r>
      <w:r>
        <w:t xml:space="preserve"> — elections; the </w:t>
      </w:r>
      <w:r>
        <w:rPr>
          <w:rStyle w:val="MdEm"/>
          <w:i/>
          <w:iCs/>
        </w:rPr>
        <w:t xml:space="preserve">sāʿāt</w:t>
      </w:r>
      <w:r>
        <w:t xml:space="preserve"> — the hours)
</w:t>
      </w:r>
      <w:r>
        <w:rPr>
          <w:rStyle w:val="MdStrong"/>
          <w:b/>
          <w:bCs/>
        </w:rPr>
        <w:t xml:space="preserve">Position:</w:t>
      </w:r>
      <w:r>
        <w:t xml:space="preserve"> The Hour
</w:t>
      </w:r>
      <w:r>
        <w:rPr>
          <w:rStyle w:val="MdStrong"/>
          <w:b/>
          <w:bCs/>
        </w:rPr>
        <w:t xml:space="preserve">Purpose:</w:t>
      </w:r>
      <w:r>
        <w:t xml:space="preserve"> Govern </w:t>
      </w:r>
      <w:r>
        <w:rPr>
          <w:rStyle w:val="MdEm"/>
          <w:i/>
          <w:iCs/>
        </w:rPr>
        <w:t xml:space="preserve">when</w:t>
      </w:r>
      <w:r>
        <w:t xml:space="preserve"> an action is taken — the election of the favourable moment
</w:t>
      </w:r>
      <w:r>
        <w:rPr>
          <w:rStyle w:val="MdStrong"/>
          <w:b/>
          <w:bCs/>
        </w:rPr>
        <w:t xml:space="preserve">Status:</w:t>
      </w:r>
      <w:r>
        <w:t xml:space="preserve"> Active — the doctrine of timing and election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CORE PRINCIPLE</w:t>
      </w:r>
    </w:p>
    <w:p>
      <w:pPr>
        <w:pStyle w:val="MdParagraph"/>
      </w:pPr>
      <w:r>
        <w:rPr>
          <w:rStyle w:val="MdEm"/>
          <w:i/>
          <w:iCs/>
        </w:rPr>
        <w:t xml:space="preserve">Ikhtiyār</w:t>
      </w:r>
      <w:r>
        <w:t xml:space="preserve"> is </w:t>
      </w:r>
      <w:r>
        <w:rPr>
          <w:rStyle w:val="MdStrong"/>
          <w:b/>
          <w:bCs/>
        </w:rPr>
        <w:t xml:space="preserve">election</w:t>
      </w:r>
      <w:r>
        <w:t xml:space="preserve"> — the deliberate choosing of the moment. The doctrine holds that a sound action taken at the wrong hour is diminished, and the same action elected for the right hour is amplified. The </w:t>
      </w:r>
      <w:r>
        <w:rPr>
          <w:rStyle w:val="MdEm"/>
          <w:i/>
          <w:iCs/>
        </w:rPr>
        <w:t xml:space="preserve">sāʿāt</w:t>
      </w:r>
      <w:r>
        <w:t xml:space="preserve"> (the planetary hours) provide the grid against which the moment is chosen.</w:t>
      </w:r>
    </w:p>
    <w:p>
      <w:pPr>
        <w:pStyle w:val="MdSpace"/>
        <w:spacing w:before="0" w:after="60"/>
      </w:pPr>
    </w:p>
    <w:p>
      <w:pPr>
        <w:pStyle w:val="MdParagraph"/>
      </w:pPr>
      <w:r>
        <w:t xml:space="preserve">Where the Lattice (10) governs </w:t>
      </w:r>
      <w:r>
        <w:rPr>
          <w:rStyle w:val="MdEm"/>
          <w:i/>
          <w:iCs/>
        </w:rPr>
        <w:t xml:space="preserve">structure</w:t>
      </w:r>
      <w:r>
        <w:t xml:space="preserve">, the Hour (11) governs </w:t>
      </w:r>
      <w:r>
        <w:rPr>
          <w:rStyle w:val="MdEm"/>
          <w:i/>
          <w:iCs/>
        </w:rPr>
        <w:t xml:space="preserve">timing</w:t>
      </w:r>
      <w:r>
        <w:t xml:space="preserve">: even a perfectly balanced structure must be </w:t>
      </w:r>
      <w:r>
        <w:rPr>
          <w:rStyle w:val="MdEm"/>
          <w:i/>
          <w:iCs/>
        </w:rPr>
        <w:t xml:space="preserve">launched, announced, or closed</w:t>
      </w:r>
      <w:r>
        <w:t xml:space="preserve"> at an elected moment.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DOCTRINE OF ELECTION</w:t>
      </w:r>
    </w:p>
    <w:p>
      <w:pPr>
        <w:pStyle w:val="MdListItem"/>
        <w:numPr>
          <w:ilvl w:val="0"/>
          <w:numId w:val="2"/>
        </w:numPr>
      </w:pPr>
      <w:r>
        <w:rPr>
          <w:rStyle w:val="MdStrong"/>
          <w:b/>
          <w:bCs/>
        </w:rPr>
        <w:t xml:space="preserve">The act and the hour must agree.</w:t>
      </w:r>
      <w:r>
        <w:t xml:space="preserve"> Match the nature of the action to the nature of the hour (expansion to Jupiter, communication to Mercury, structure to Saturn, partnership to Venus, bold moves to Mars, authority to the Sun, intuition to the Moon).</w:t>
      </w:r>
    </w:p>
    <w:p>
      <w:pPr>
        <w:pStyle w:val="MdListItem"/>
        <w:numPr>
          <w:ilvl w:val="0"/>
          <w:numId w:val="2"/>
        </w:numPr>
      </w:pPr>
      <w:r>
        <w:rPr>
          <w:rStyle w:val="MdStrong"/>
          <w:b/>
          <w:bCs/>
        </w:rPr>
        <w:t xml:space="preserve">Election is deliberate, never passive.</w:t>
      </w:r>
      <w:r>
        <w:t xml:space="preserve"> The favourable moment is </w:t>
      </w:r>
      <w:r>
        <w:rPr>
          <w:rStyle w:val="MdEm"/>
          <w:i/>
          <w:iCs/>
        </w:rPr>
        <w:t xml:space="preserve">chosen</w:t>
      </w:r>
      <w:r>
        <w:t xml:space="preserve">, not waited for. To elect is to act with intent at the chosen time.</w:t>
      </w:r>
    </w:p>
    <w:p>
      <w:pPr>
        <w:pStyle w:val="MdListItem"/>
        <w:numPr>
          <w:ilvl w:val="0"/>
          <w:numId w:val="2"/>
        </w:numPr>
      </w:pPr>
      <w:r>
        <w:rPr>
          <w:rStyle w:val="MdStrong"/>
          <w:b/>
          <w:bCs/>
        </w:rPr>
        <w:t xml:space="preserve">Avoid the contrary hour.</w:t>
      </w:r>
      <w:r>
        <w:t xml:space="preserve"> An action launched in its contrary hour meets resistance (an expansion announced in a Saturn/contraction hour underperforms).</w:t>
      </w:r>
    </w:p>
    <w:p>
      <w:pPr>
        <w:pStyle w:val="MdListItem"/>
        <w:numPr>
          <w:ilvl w:val="0"/>
          <w:numId w:val="2"/>
        </w:numPr>
      </w:pPr>
      <w:r>
        <w:rPr>
          <w:rStyle w:val="MdStrong"/>
          <w:b/>
          <w:bCs/>
        </w:rPr>
        <w:t xml:space="preserve">Timing compounds structure.</w:t>
      </w:r>
      <w:r>
        <w:t xml:space="preserve"> A balanced structure (Ring/Chapter 10) elected for the right hour (Chapter 11) produces the strongest outcome.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PLANETARY HOURS (election grid)</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Planet</w:t>
            </w:r>
          </w:p>
        </w:tc>
        <w:tc>
          <w:tcPr>
            <w:tcMar>
              <w:top w:type="dxa" w:w="100"/>
              <w:left w:type="dxa" w:w="120"/>
              <w:bottom w:type="dxa" w:w="100"/>
              <w:right w:type="dxa" w:w="120"/>
            </w:tcMar>
            <w:vAlign w:val="center"/>
          </w:tcPr>
          <w:p>
            <w:pPr>
              <w:pStyle w:val="MdTableHeader"/>
            </w:pPr>
            <w:r>
              <w:t xml:space="preserve">Day</w:t>
            </w:r>
          </w:p>
        </w:tc>
        <w:tc>
          <w:tcPr>
            <w:tcBorders>
              <w:right w:val="none"/>
            </w:tcBorders>
            <w:tcMar>
              <w:top w:type="dxa" w:w="100"/>
              <w:left w:type="dxa" w:w="120"/>
              <w:bottom w:type="dxa" w:w="100"/>
              <w:right w:type="dxa" w:w="120"/>
            </w:tcMar>
            <w:vAlign w:val="center"/>
          </w:tcPr>
          <w:p>
            <w:pPr>
              <w:pStyle w:val="MdTableHeader"/>
            </w:pPr>
            <w:r>
              <w:t xml:space="preserve">Elect for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Sun (☉)</w:t>
            </w:r>
          </w:p>
        </w:tc>
        <w:tc>
          <w:tcPr>
            <w:tcMar>
              <w:top w:type="dxa" w:w="80"/>
              <w:left w:type="dxa" w:w="120"/>
              <w:bottom w:type="dxa" w:w="80"/>
              <w:right w:type="dxa" w:w="120"/>
            </w:tcMar>
            <w:vAlign w:val="center"/>
          </w:tcPr>
          <w:p>
            <w:pPr>
              <w:pStyle w:val="MdTableCell"/>
            </w:pPr>
            <w:r>
              <w:t xml:space="preserve">Sunday</w:t>
            </w:r>
          </w:p>
        </w:tc>
        <w:tc>
          <w:tcPr>
            <w:tcBorders>
              <w:right w:val="none"/>
            </w:tcBorders>
            <w:tcMar>
              <w:top w:type="dxa" w:w="80"/>
              <w:left w:type="dxa" w:w="120"/>
              <w:bottom w:type="dxa" w:w="80"/>
              <w:right w:type="dxa" w:w="120"/>
            </w:tcMar>
            <w:vAlign w:val="center"/>
          </w:tcPr>
          <w:p>
            <w:pPr>
              <w:pStyle w:val="MdTableCell"/>
            </w:pPr>
            <w:r>
              <w:t xml:space="preserve">Leadership decisions, announcements,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Moon (☽)</w:t>
            </w:r>
          </w:p>
        </w:tc>
        <w:tc>
          <w:tcPr>
            <w:tcMar>
              <w:top w:type="dxa" w:w="80"/>
              <w:left w:type="dxa" w:w="120"/>
              <w:bottom w:type="dxa" w:w="80"/>
              <w:right w:type="dxa" w:w="120"/>
            </w:tcMar>
            <w:vAlign w:val="center"/>
          </w:tcPr>
          <w:p>
            <w:pPr>
              <w:pStyle w:val="MdTableCell"/>
            </w:pPr>
            <w:r>
              <w:t xml:space="preserve">Monday</w:t>
            </w:r>
          </w:p>
        </w:tc>
        <w:tc>
          <w:tcPr>
            <w:tcBorders>
              <w:right w:val="none"/>
            </w:tcBorders>
            <w:tcMar>
              <w:top w:type="dxa" w:w="80"/>
              <w:left w:type="dxa" w:w="120"/>
              <w:bottom w:type="dxa" w:w="80"/>
              <w:right w:type="dxa" w:w="120"/>
            </w:tcMar>
            <w:vAlign w:val="center"/>
          </w:tcPr>
          <w:p>
            <w:pPr>
              <w:pStyle w:val="MdTableCell"/>
            </w:pPr>
            <w:r>
              <w:t xml:space="preserve">Relationship building, intuitive decisions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Mars (♂)</w:t>
            </w:r>
          </w:p>
        </w:tc>
        <w:tc>
          <w:tcPr>
            <w:tcMar>
              <w:top w:type="dxa" w:w="80"/>
              <w:left w:type="dxa" w:w="120"/>
              <w:bottom w:type="dxa" w:w="80"/>
              <w:right w:type="dxa" w:w="120"/>
            </w:tcMar>
            <w:vAlign w:val="center"/>
          </w:tcPr>
          <w:p>
            <w:pPr>
              <w:pStyle w:val="MdTableCell"/>
            </w:pPr>
            <w:r>
              <w:t xml:space="preserve">Tuesday</w:t>
            </w:r>
          </w:p>
        </w:tc>
        <w:tc>
          <w:tcPr>
            <w:tcBorders>
              <w:right w:val="none"/>
            </w:tcBorders>
            <w:tcMar>
              <w:top w:type="dxa" w:w="80"/>
              <w:left w:type="dxa" w:w="120"/>
              <w:bottom w:type="dxa" w:w="80"/>
              <w:right w:type="dxa" w:w="120"/>
            </w:tcMar>
            <w:vAlign w:val="center"/>
          </w:tcPr>
          <w:p>
            <w:pPr>
              <w:pStyle w:val="MdTableCell"/>
            </w:pPr>
            <w:r>
              <w:t xml:space="preserve">Competitive moves, bold decisions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Mercury (☿)</w:t>
            </w:r>
          </w:p>
        </w:tc>
        <w:tc>
          <w:tcPr>
            <w:tcMar>
              <w:top w:type="dxa" w:w="80"/>
              <w:left w:type="dxa" w:w="120"/>
              <w:bottom w:type="dxa" w:w="80"/>
              <w:right w:type="dxa" w:w="120"/>
            </w:tcMar>
            <w:vAlign w:val="center"/>
          </w:tcPr>
          <w:p>
            <w:pPr>
              <w:pStyle w:val="MdTableCell"/>
            </w:pPr>
            <w:r>
              <w:t xml:space="preserve">Wednesday</w:t>
            </w:r>
          </w:p>
        </w:tc>
        <w:tc>
          <w:tcPr>
            <w:tcBorders>
              <w:right w:val="none"/>
            </w:tcBorders>
            <w:tcMar>
              <w:top w:type="dxa" w:w="80"/>
              <w:left w:type="dxa" w:w="120"/>
              <w:bottom w:type="dxa" w:w="80"/>
              <w:right w:type="dxa" w:w="120"/>
            </w:tcMar>
            <w:vAlign w:val="center"/>
          </w:tcPr>
          <w:p>
            <w:pPr>
              <w:pStyle w:val="MdTableCell"/>
            </w:pPr>
            <w:r>
              <w:t xml:space="preserve">Negotiations, contracts, communication, launches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Jupiter (♃)</w:t>
            </w:r>
          </w:p>
        </w:tc>
        <w:tc>
          <w:tcPr>
            <w:tcMar>
              <w:top w:type="dxa" w:w="80"/>
              <w:left w:type="dxa" w:w="120"/>
              <w:bottom w:type="dxa" w:w="80"/>
              <w:right w:type="dxa" w:w="120"/>
            </w:tcMar>
            <w:vAlign w:val="center"/>
          </w:tcPr>
          <w:p>
            <w:pPr>
              <w:pStyle w:val="MdTableCell"/>
            </w:pPr>
            <w:r>
              <w:t xml:space="preserve">Thursday</w:t>
            </w:r>
          </w:p>
        </w:tc>
        <w:tc>
          <w:tcPr>
            <w:tcBorders>
              <w:right w:val="none"/>
            </w:tcBorders>
            <w:tcMar>
              <w:top w:type="dxa" w:w="80"/>
              <w:left w:type="dxa" w:w="120"/>
              <w:bottom w:type="dxa" w:w="80"/>
              <w:right w:type="dxa" w:w="120"/>
            </w:tcMar>
            <w:vAlign w:val="center"/>
          </w:tcPr>
          <w:p>
            <w:pPr>
              <w:pStyle w:val="MdTableCell"/>
            </w:pPr>
            <w:r>
              <w:t xml:space="preserve">Growth, expansion, prosperity, major deals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Venus (♀)</w:t>
            </w:r>
          </w:p>
        </w:tc>
        <w:tc>
          <w:tcPr>
            <w:tcMar>
              <w:top w:type="dxa" w:w="80"/>
              <w:left w:type="dxa" w:w="120"/>
              <w:bottom w:type="dxa" w:w="80"/>
              <w:right w:type="dxa" w:w="120"/>
            </w:tcMar>
            <w:vAlign w:val="center"/>
          </w:tcPr>
          <w:p>
            <w:pPr>
              <w:pStyle w:val="MdTableCell"/>
            </w:pPr>
            <w:r>
              <w:t xml:space="preserve">Friday</w:t>
            </w:r>
          </w:p>
        </w:tc>
        <w:tc>
          <w:tcPr>
            <w:tcBorders>
              <w:right w:val="none"/>
            </w:tcBorders>
            <w:tcMar>
              <w:top w:type="dxa" w:w="80"/>
              <w:left w:type="dxa" w:w="120"/>
              <w:bottom w:type="dxa" w:w="80"/>
              <w:right w:type="dxa" w:w="120"/>
            </w:tcMar>
            <w:vAlign w:val="center"/>
          </w:tcPr>
          <w:p>
            <w:pPr>
              <w:pStyle w:val="MdTableCell"/>
            </w:pPr>
            <w:r>
              <w:t xml:space="preserve">Partnerships, aesthetic decisions, harmony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Saturn (♄)</w:t>
            </w:r>
          </w:p>
        </w:tc>
        <w:tc>
          <w:tcPr>
            <w:tcBorders>
              <w:bottom w:val="single" w:color="E1E4E8" w:sz="4"/>
            </w:tcBorders>
            <w:tcMar>
              <w:top w:type="dxa" w:w="80"/>
              <w:left w:type="dxa" w:w="120"/>
              <w:bottom w:type="dxa" w:w="80"/>
              <w:right w:type="dxa" w:w="120"/>
            </w:tcMar>
            <w:vAlign w:val="center"/>
          </w:tcPr>
          <w:p>
            <w:pPr>
              <w:pStyle w:val="MdTableCell"/>
            </w:pPr>
            <w:r>
              <w:t xml:space="preserve">Saturday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Discipline, structure, long-term planning</w:t>
            </w:r>
          </w:p>
        </w:tc>
      </w:tr>
    </w:tbl>
    <w:p>
      <w:pPr>
        <w:pStyle w:val="MdParagraph"/>
      </w:pPr>
      <w:r>
        <w:t xml:space="preserve">Each 24-hour day is also divided into planetary hours in sequence, allowing election within the day, not only by day.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MURSHIDI APPLICATION</w:t>
      </w:r>
    </w:p>
    <w:p>
      <w:pPr>
        <w:pStyle w:val="MdListItem"/>
        <w:numPr>
          <w:ilvl w:val="0"/>
          <w:numId w:val="3"/>
        </w:numPr>
      </w:pPr>
      <w:r>
        <w:rPr>
          <w:rStyle w:val="MdStrong"/>
          <w:b/>
          <w:bCs/>
        </w:rPr>
        <w:t xml:space="preserve">Announcements:</w:t>
      </w:r>
      <w:r>
        <w:t xml:space="preserve"> elect Sun/Jupiter hours (authority + expansion).</w:t>
      </w:r>
    </w:p>
    <w:p>
      <w:pPr>
        <w:pStyle w:val="MdListItem"/>
        <w:numPr>
          <w:ilvl w:val="0"/>
          <w:numId w:val="3"/>
        </w:numPr>
      </w:pPr>
      <w:r>
        <w:rPr>
          <w:rStyle w:val="MdStrong"/>
          <w:b/>
          <w:bCs/>
        </w:rPr>
        <w:t xml:space="preserve">Launches:</w:t>
      </w:r>
      <w:r>
        <w:t xml:space="preserve"> elect Mercury hours (communication + trade).</w:t>
      </w:r>
    </w:p>
    <w:p>
      <w:pPr>
        <w:pStyle w:val="MdListItem"/>
        <w:numPr>
          <w:ilvl w:val="0"/>
          <w:numId w:val="3"/>
        </w:numPr>
      </w:pPr>
      <w:r>
        <w:rPr>
          <w:rStyle w:val="MdStrong"/>
          <w:b/>
          <w:bCs/>
        </w:rPr>
        <w:t xml:space="preserve">Partnerships:</w:t>
      </w:r>
      <w:r>
        <w:t xml:space="preserve"> elect Venus hours (harmony + attraction).</w:t>
      </w:r>
    </w:p>
    <w:p>
      <w:pPr>
        <w:pStyle w:val="MdListItem"/>
        <w:numPr>
          <w:ilvl w:val="0"/>
          <w:numId w:val="3"/>
        </w:numPr>
      </w:pPr>
      <w:r>
        <w:rPr>
          <w:rStyle w:val="MdStrong"/>
          <w:b/>
          <w:bCs/>
        </w:rPr>
        <w:t xml:space="preserve">Competitive moves:</w:t>
      </w:r>
      <w:r>
        <w:t xml:space="preserve"> elect Mars hours (action + courage).</w:t>
      </w:r>
    </w:p>
    <w:p>
      <w:pPr>
        <w:pStyle w:val="MdListItem"/>
        <w:numPr>
          <w:ilvl w:val="0"/>
          <w:numId w:val="3"/>
        </w:numPr>
      </w:pPr>
      <w:r>
        <w:rPr>
          <w:rStyle w:val="MdStrong"/>
          <w:b/>
          <w:bCs/>
        </w:rPr>
        <w:t xml:space="preserve">Restructurings / framework-setting:</w:t>
      </w:r>
      <w:r>
        <w:t xml:space="preserve"> elect Saturn hours (discipline + structure).</w:t>
      </w:r>
    </w:p>
    <w:p>
      <w:pPr>
        <w:pStyle w:val="MdListItem"/>
        <w:numPr>
          <w:ilvl w:val="0"/>
          <w:numId w:val="3"/>
        </w:numPr>
      </w:pPr>
      <w:r>
        <w:rPr>
          <w:rStyle w:val="MdStrong"/>
          <w:b/>
          <w:bCs/>
        </w:rPr>
        <w:t xml:space="preserve">Closings:</w:t>
      </w:r>
      <w:r>
        <w:t xml:space="preserve"> elect the waning-moon / completion window (links to Ring 5 lunar cycles).</w:t>
      </w:r>
    </w:p>
    <w:p>
      <w:pPr>
        <w:pStyle w:val="MdSpace"/>
        <w:spacing w:before="0" w:after="60"/>
      </w:pPr>
    </w:p>
    <w:p>
      <w:pPr>
        <w:pStyle w:val="MdParagraph"/>
      </w:pPr>
      <w:r>
        <w:t xml:space="preserve">The user hears practical timing advice ("Thursday morning gives the best reception for an expansion message"); the election logic stays hidden.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RELATION TO THE OTHER CHAPTERS</w:t>
      </w:r>
    </w:p>
    <w:p>
      <w:pPr>
        <w:pStyle w:val="MdParagraph"/>
      </w:pPr>
      <w:r>
        <w:t xml:space="preserve">The Hour is the </w:t>
      </w:r>
      <w:r>
        <w:rPr>
          <w:rStyle w:val="MdStrong"/>
          <w:b/>
          <w:bCs/>
        </w:rPr>
        <w:t xml:space="preserve">timing</w:t>
      </w:r>
      <w:r>
        <w:t xml:space="preserve"> member of the execution cluster (8–13): open (9) → anchor (8) → structure (10) → </w:t>
      </w:r>
      <w:r>
        <w:rPr>
          <w:rStyle w:val="MdStrong"/>
          <w:b/>
          <w:bCs/>
        </w:rPr>
        <w:t xml:space="preserve">time (11)</w:t>
      </w:r>
      <w:r>
        <w:t xml:space="preserve"> → map (12) → end (13). It operationalises the celestial-timing material of Ring 5 (Shams al-Maʿārif) as an active election discipline.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Created:</w:t>
      </w:r>
      <w:r>
        <w:t xml:space="preserve"> Jun 3, 2026
</w:t>
      </w:r>
      <w:r>
        <w:rPr>
          <w:rStyle w:val="MdStrong"/>
          <w:b/>
          <w:bCs/>
        </w:rPr>
        <w:t xml:space="preserve">Chapter:</w:t>
      </w:r>
      <w:r>
        <w:t xml:space="preserve"> 11 — the Hour
</w:t>
      </w:r>
      <w:r>
        <w:rPr>
          <w:rStyle w:val="MdStrong"/>
          <w:b/>
          <w:bCs/>
        </w:rPr>
        <w:t xml:space="preserve">Status:</w:t>
      </w:r>
      <w:r>
        <w:t xml:space="preserve"> Active — the doctrine of timing and election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2026-06-05T11:39:12.633Z</dcterms:created>
  <dcterms:modified xsi:type="dcterms:W3CDTF">2026-06-05T11:39:12.633Z</dcterms:modified>
</cp:coreProperties>
</file>

<file path=docProps/custom.xml><?xml version="1.0" encoding="utf-8"?>
<Properties xmlns="http://schemas.openxmlformats.org/officeDocument/2006/custom-properties" xmlns:vt="http://schemas.openxmlformats.org/officeDocument/2006/docPropsVTypes"/>
</file>