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524000"/>
            <wp:docPr id="1" name="Picture 1"/>
            <wp:cNvGraphicFramePr>
              <a:graphicFrameLocks noChangeAspect="1"/>
            </wp:cNvGraphicFramePr>
            <a:graphic>
              <a:graphicData uri="http://schemas.openxmlformats.org/drawingml/2006/picture">
                <pic:pic>
                  <pic:nvPicPr>
                    <pic:cNvPr id="0" name="bonds-logo.png"/>
                    <pic:cNvPicPr/>
                  </pic:nvPicPr>
                  <pic:blipFill>
                    <a:blip r:embed="rId10"/>
                    <a:stretch>
                      <a:fillRect/>
                    </a:stretch>
                  </pic:blipFill>
                  <pic:spPr>
                    <a:xfrm>
                      <a:off x="0" y="0"/>
                      <a:ext cx="2286000" cy="1524000"/>
                    </a:xfrm>
                    <a:prstGeom prst="rect"/>
                  </pic:spPr>
                </pic:pic>
              </a:graphicData>
            </a:graphic>
          </wp:inline>
        </w:drawing>
      </w:r>
    </w:p>
    <w:p/>
    <w:p/>
    <w:p/>
    <w:p>
      <w:pPr>
        <w:jc w:val="center"/>
      </w:pPr>
      <w:r>
        <w:rPr>
          <w:rFonts w:ascii="Arial" w:hAnsi="Arial" w:eastAsia="Arial"/>
          <w:b/>
          <w:color w:val="003366"/>
          <w:sz w:val="72"/>
        </w:rPr>
        <w:t>خطة عمل</w:t>
      </w:r>
    </w:p>
    <w:p>
      <w:pPr>
        <w:jc w:val="center"/>
      </w:pPr>
      <w:r>
        <w:rPr>
          <w:rFonts w:ascii="Arial" w:hAnsi="Arial" w:eastAsia="Arial"/>
          <w:b/>
          <w:color w:val="D4A853"/>
          <w:sz w:val="56"/>
        </w:rPr>
        <w:t>شركة إحياء الأصول غير المكتملة العقارية</w:t>
      </w:r>
    </w:p>
    <w:p/>
    <w:p>
      <w:pPr>
        <w:jc w:val="center"/>
      </w:pPr>
      <w:r>
        <w:rPr>
          <w:rFonts w:ascii="Arial" w:hAnsi="Arial" w:eastAsia="Arial"/>
          <w:b/>
          <w:color w:val="0A0F1A"/>
          <w:sz w:val="32"/>
        </w:rPr>
        <w:t>شركة مساهمة مقفلة</w:t>
      </w:r>
    </w:p>
    <w:p>
      <w:pPr>
        <w:jc w:val="center"/>
      </w:pPr>
      <w:r>
        <w:rPr>
          <w:rFonts w:ascii="Arial" w:hAnsi="Arial" w:eastAsia="Arial"/>
          <w:color w:val="666666"/>
          <w:sz w:val="28"/>
        </w:rPr>
        <w:t>المملكة العربية السعودية</w:t>
      </w:r>
    </w:p>
    <w:p/>
    <w:p/>
    <w:p/>
    <w:p>
      <w:pPr>
        <w:jc w:val="center"/>
      </w:pPr>
      <w:r>
        <w:rPr>
          <w:rFonts w:ascii="Arial" w:hAnsi="Arial" w:eastAsia="Arial"/>
          <w:color w:val="666666"/>
          <w:sz w:val="24"/>
        </w:rPr>
        <w:t>يونيو 2026</w:t>
      </w:r>
    </w:p>
    <w:p>
      <w:pPr>
        <w:jc w:val="center"/>
      </w:pPr>
      <w:r>
        <w:rPr>
          <w:rFonts w:ascii="Arial" w:hAnsi="Arial" w:eastAsia="Arial"/>
          <w:i/>
          <w:color w:val="666666"/>
          <w:sz w:val="20"/>
        </w:rPr>
        <w:t>وثيقة سرية - مخصصة للمساهمين المؤسسين</w:t>
      </w:r>
    </w:p>
    <w:p>
      <w:r>
        <w:br w:type="page"/>
      </w:r>
    </w:p>
    <w:p>
      <w:pPr>
        <w:pStyle w:val="Heading1"/>
        <w:jc w:val="right"/>
      </w:pPr>
      <w:r>
        <w:rPr>
          <w:rFonts w:ascii="Arial" w:hAnsi="Arial" w:eastAsia="Arial"/>
          <w:color w:val="003366"/>
          <w:sz w:val="36"/>
        </w:rPr>
        <w:t>ملخص تنفيذي</w:t>
      </w:r>
    </w:p>
    <w:p>
      <w:pPr>
        <w:jc w:val="right"/>
      </w:pPr>
      <w:r>
        <w:rPr>
          <w:rFonts w:ascii="Arial" w:hAnsi="Arial" w:eastAsia="Arial"/>
          <w:b w:val="0"/>
          <w:i w:val="0"/>
          <w:color w:val="000000"/>
          <w:sz w:val="24"/>
        </w:rPr>
        <w:t>تأسست شركة إحياء الأصول غير المكتملة العقارية كنموذج استثماري متخصص، يهدف إلى إحياء العقارات غير المكتملة في المملكة العربية السعودية من خلال شراكات محاصة مع مالكيها، دون الحاجة إلى شراء الأراضي أو الاعتماد على التمويل الخارجي.</w:t>
      </w:r>
    </w:p>
    <w:p>
      <w:pPr>
        <w:jc w:val="right"/>
      </w:pPr>
      <w:r>
        <w:rPr>
          <w:rFonts w:ascii="Arial" w:hAnsi="Arial" w:eastAsia="Arial"/>
          <w:b w:val="0"/>
          <w:i w:val="0"/>
          <w:color w:val="000000"/>
          <w:sz w:val="24"/>
        </w:rPr>
        <w:t>تعمل الشركة بصورة قانونية كنظام مساهمة مقفلة، ممولة بالكامل من المساهمين المؤسسين، وتلتزم بأعلى معايير الكود السعودي للبناء والتشطيب، مع تغطية تأمينية شاملة لجميع المشاريع.</w:t>
      </w:r>
    </w:p>
    <w:p>
      <w:pPr>
        <w:pStyle w:val="Heading2"/>
        <w:jc w:val="right"/>
      </w:pPr>
      <w:r>
        <w:rPr>
          <w:rFonts w:ascii="Arial" w:hAnsi="Arial" w:eastAsia="Arial"/>
          <w:color w:val="D4A853"/>
          <w:sz w:val="28"/>
        </w:rPr>
        <w:t>أبرز المؤشرات المالية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رأس المال المصرح</w:t>
            </w:r>
          </w:p>
        </w:tc>
        <w:tc>
          <w:tcPr>
            <w:tcW w:type="dxa" w:w="4514"/>
          </w:tcPr>
          <w:p>
            <w:pPr>
              <w:jc w:val="right"/>
            </w:pPr>
            <w:r>
              <w:rPr>
                <w:rFonts w:ascii="Arial" w:hAnsi="Arial" w:eastAsia="Arial"/>
              </w:rPr>
              <w:t>200 مليون ريال</w:t>
            </w:r>
          </w:p>
        </w:tc>
      </w:tr>
      <w:tr>
        <w:tc>
          <w:tcPr>
            <w:tcW w:type="dxa" w:w="4514"/>
          </w:tcPr>
          <w:p>
            <w:pPr>
              <w:jc w:val="right"/>
            </w:pPr>
            <w:r>
              <w:rPr>
                <w:rFonts w:ascii="Arial" w:hAnsi="Arial" w:eastAsia="Arial"/>
              </w:rPr>
              <w:t>إجمالي الاستثمار المستهدف</w:t>
            </w:r>
          </w:p>
        </w:tc>
        <w:tc>
          <w:tcPr>
            <w:tcW w:type="dxa" w:w="4514"/>
          </w:tcPr>
          <w:p>
            <w:pPr>
              <w:jc w:val="right"/>
            </w:pPr>
            <w:r>
              <w:rPr>
                <w:rFonts w:ascii="Arial" w:hAnsi="Arial" w:eastAsia="Arial"/>
              </w:rPr>
              <w:t>226 مليون ريال</w:t>
            </w:r>
          </w:p>
        </w:tc>
      </w:tr>
      <w:tr>
        <w:tc>
          <w:tcPr>
            <w:tcW w:type="dxa" w:w="4514"/>
          </w:tcPr>
          <w:p>
            <w:pPr>
              <w:jc w:val="right"/>
            </w:pPr>
            <w:r>
              <w:rPr>
                <w:rFonts w:ascii="Arial" w:hAnsi="Arial" w:eastAsia="Arial"/>
              </w:rPr>
              <w:t>الاستثمار الفعلي المبدئي</w:t>
            </w:r>
          </w:p>
        </w:tc>
        <w:tc>
          <w:tcPr>
            <w:tcW w:type="dxa" w:w="4514"/>
          </w:tcPr>
          <w:p>
            <w:pPr>
              <w:jc w:val="right"/>
            </w:pPr>
            <w:r>
              <w:rPr>
                <w:rFonts w:ascii="Arial" w:hAnsi="Arial" w:eastAsia="Arial"/>
              </w:rPr>
              <w:t>25 مليون ريال</w:t>
            </w:r>
          </w:p>
        </w:tc>
      </w:tr>
      <w:tr>
        <w:tc>
          <w:tcPr>
            <w:tcW w:type="dxa" w:w="4514"/>
          </w:tcPr>
          <w:p>
            <w:pPr>
              <w:jc w:val="right"/>
            </w:pPr>
            <w:r>
              <w:rPr>
                <w:rFonts w:ascii="Arial" w:hAnsi="Arial" w:eastAsia="Arial"/>
              </w:rPr>
              <w:t>العائد الداخلي المتوقع (IRR) على أفق 10 سنوات</w:t>
            </w:r>
          </w:p>
        </w:tc>
        <w:tc>
          <w:tcPr>
            <w:tcW w:type="dxa" w:w="4514"/>
          </w:tcPr>
          <w:p>
            <w:pPr>
              <w:jc w:val="right"/>
            </w:pPr>
            <w:r>
              <w:rPr>
                <w:rFonts w:ascii="Arial" w:hAnsi="Arial" w:eastAsia="Arial"/>
              </w:rPr>
              <w:t>19% - 20%</w:t>
            </w:r>
          </w:p>
        </w:tc>
      </w:tr>
      <w:tr>
        <w:tc>
          <w:tcPr>
            <w:tcW w:type="dxa" w:w="4514"/>
          </w:tcPr>
          <w:p>
            <w:pPr>
              <w:jc w:val="right"/>
            </w:pPr>
            <w:r>
              <w:rPr>
                <w:rFonts w:ascii="Arial" w:hAnsi="Arial" w:eastAsia="Arial"/>
              </w:rPr>
              <w:t>مضاعفة رأس المال عند الخروج</w:t>
            </w:r>
          </w:p>
        </w:tc>
        <w:tc>
          <w:tcPr>
            <w:tcW w:type="dxa" w:w="4514"/>
          </w:tcPr>
          <w:p>
            <w:pPr>
              <w:jc w:val="right"/>
            </w:pPr>
            <w:r>
              <w:rPr>
                <w:rFonts w:ascii="Arial" w:hAnsi="Arial" w:eastAsia="Arial"/>
              </w:rPr>
              <w:t>2.5x - 4x</w:t>
            </w:r>
          </w:p>
        </w:tc>
      </w:tr>
      <w:tr>
        <w:tc>
          <w:tcPr>
            <w:tcW w:type="dxa" w:w="4514"/>
          </w:tcPr>
          <w:p>
            <w:pPr>
              <w:jc w:val="right"/>
            </w:pPr>
            <w:r>
              <w:rPr>
                <w:rFonts w:ascii="Arial" w:hAnsi="Arial" w:eastAsia="Arial"/>
              </w:rPr>
              <w:t>فترة استرداد رأس المال المستدعى</w:t>
            </w:r>
          </w:p>
        </w:tc>
        <w:tc>
          <w:tcPr>
            <w:tcW w:type="dxa" w:w="4514"/>
          </w:tcPr>
          <w:p>
            <w:pPr>
              <w:jc w:val="right"/>
            </w:pPr>
            <w:r>
              <w:rPr>
                <w:rFonts w:ascii="Arial" w:hAnsi="Arial" w:eastAsia="Arial"/>
              </w:rPr>
              <w:t>5.5 سنة</w:t>
            </w:r>
          </w:p>
        </w:tc>
      </w:tr>
    </w:tbl>
    <w:p>
      <w:pPr>
        <w:pStyle w:val="Heading2"/>
        <w:jc w:val="right"/>
      </w:pPr>
      <w:r>
        <w:rPr>
          <w:rFonts w:ascii="Arial" w:hAnsi="Arial" w:eastAsia="Arial"/>
          <w:color w:val="D4A853"/>
          <w:sz w:val="28"/>
        </w:rPr>
        <w:t>الفرصة السوقية</w:t>
      </w:r>
    </w:p>
    <w:p>
      <w:pPr>
        <w:pStyle w:val="ListBullet"/>
        <w:jc w:val="right"/>
      </w:pPr>
      <w:r>
        <w:rPr>
          <w:rFonts w:ascii="Arial" w:hAnsi="Arial" w:eastAsia="Arial"/>
          <w:sz w:val="22"/>
        </w:rPr>
        <w:t>السعودية تشهد نمواً عقارياً غير مسبوق بفضل رؤية 2030 ومشاريعها التنموية الضخمة.</w:t>
      </w:r>
    </w:p>
    <w:p>
      <w:pPr>
        <w:pStyle w:val="ListBullet"/>
        <w:jc w:val="right"/>
      </w:pPr>
      <w:r>
        <w:rPr>
          <w:rFonts w:ascii="Arial" w:hAnsi="Arial" w:eastAsia="Arial"/>
          <w:sz w:val="22"/>
        </w:rPr>
        <w:t>تتوفر في السوق آلاف العقارات غير المكتملة نتيجة نقص السيولة أو الخبرة التنفيذية.</w:t>
      </w:r>
    </w:p>
    <w:p>
      <w:pPr>
        <w:pStyle w:val="ListBullet"/>
        <w:jc w:val="right"/>
      </w:pPr>
      <w:r>
        <w:rPr>
          <w:rFonts w:ascii="Arial" w:hAnsi="Arial" w:eastAsia="Arial"/>
          <w:sz w:val="22"/>
        </w:rPr>
        <w:t>الطلب على الوحدات الجاهزة يفوق العرض في المدن الرئيسية.</w:t>
      </w:r>
    </w:p>
    <w:p>
      <w:pPr>
        <w:pStyle w:val="ListBullet"/>
        <w:jc w:val="right"/>
      </w:pPr>
      <w:r>
        <w:rPr>
          <w:rFonts w:ascii="Arial" w:hAnsi="Arial" w:eastAsia="Arial"/>
          <w:sz w:val="22"/>
        </w:rPr>
        <w:t>تسجل الرياض وجدة عوائد إيجارية مرتفعة تصل إلى 8.89% و 7.89% على التوالي.</w:t>
      </w:r>
    </w:p>
    <w:p>
      <w:pPr>
        <w:pStyle w:val="Heading2"/>
        <w:jc w:val="right"/>
      </w:pPr>
      <w:r>
        <w:rPr>
          <w:rFonts w:ascii="Arial" w:hAnsi="Arial" w:eastAsia="Arial"/>
          <w:color w:val="D4A853"/>
          <w:sz w:val="28"/>
        </w:rPr>
        <w:t>نموذج العمل</w:t>
      </w:r>
    </w:p>
    <w:p>
      <w:pPr>
        <w:pStyle w:val="ListBullet"/>
        <w:jc w:val="right"/>
      </w:pPr>
      <w:r>
        <w:rPr>
          <w:rFonts w:ascii="Arial" w:hAnsi="Arial" w:eastAsia="Arial"/>
          <w:sz w:val="22"/>
        </w:rPr>
        <w:t>الشراكة بالمحاصة مع مالك العقار غير المكتمل.</w:t>
      </w:r>
    </w:p>
    <w:p>
      <w:pPr>
        <w:pStyle w:val="ListBullet"/>
        <w:jc w:val="right"/>
      </w:pPr>
      <w:r>
        <w:rPr>
          <w:rFonts w:ascii="Arial" w:hAnsi="Arial" w:eastAsia="Arial"/>
          <w:sz w:val="22"/>
        </w:rPr>
        <w:t>تتحمل الشركة تكاليف التشطيب والتسويق والبيع.</w:t>
      </w:r>
    </w:p>
    <w:p>
      <w:pPr>
        <w:pStyle w:val="ListBullet"/>
        <w:jc w:val="right"/>
      </w:pPr>
      <w:r>
        <w:rPr>
          <w:rFonts w:ascii="Arial" w:hAnsi="Arial" w:eastAsia="Arial"/>
          <w:sz w:val="22"/>
        </w:rPr>
        <w:t>يحتفظ المالك بملكية عقاره طوال فترة المشروع.</w:t>
      </w:r>
    </w:p>
    <w:p>
      <w:pPr>
        <w:pStyle w:val="ListBullet"/>
        <w:jc w:val="right"/>
      </w:pPr>
      <w:r>
        <w:rPr>
          <w:rFonts w:ascii="Arial" w:hAnsi="Arial" w:eastAsia="Arial"/>
          <w:sz w:val="22"/>
        </w:rPr>
        <w:t>يتم توزيع الأرباح بين الشركة والمالك وفقاً للعقد الموقع.</w:t>
      </w:r>
    </w:p>
    <w:p>
      <w:r>
        <w:br w:type="page"/>
      </w:r>
    </w:p>
    <w:p>
      <w:pPr>
        <w:pStyle w:val="Heading1"/>
        <w:jc w:val="right"/>
      </w:pPr>
      <w:r>
        <w:rPr>
          <w:rFonts w:ascii="Arial" w:hAnsi="Arial" w:eastAsia="Arial"/>
          <w:color w:val="003366"/>
          <w:sz w:val="36"/>
        </w:rPr>
        <w:t>1. نظرة عامة على الشركة</w:t>
      </w:r>
    </w:p>
    <w:p>
      <w:pPr>
        <w:pStyle w:val="Heading2"/>
        <w:jc w:val="right"/>
      </w:pPr>
      <w:r>
        <w:rPr>
          <w:rFonts w:ascii="Arial" w:hAnsi="Arial" w:eastAsia="Arial"/>
          <w:color w:val="D4A853"/>
          <w:sz w:val="28"/>
        </w:rPr>
        <w:t>1.1 الرؤية</w:t>
      </w:r>
    </w:p>
    <w:p>
      <w:pPr>
        <w:jc w:val="right"/>
      </w:pPr>
      <w:r>
        <w:rPr>
          <w:rFonts w:ascii="Arial" w:hAnsi="Arial" w:eastAsia="Arial"/>
          <w:b w:val="0"/>
          <w:i w:val="0"/>
          <w:color w:val="000000"/>
          <w:sz w:val="24"/>
        </w:rPr>
        <w:t>أن نكون الشريك الاستراتيجي المفضل لمالكي العقارات غير المكتملة في المملكة العربية السعودية، من خلال تقديم حلول احترافية لإحياء أصولهم وتحقيق أقصى قيمة ممكنة لهم وللمساهمين.</w:t>
      </w:r>
    </w:p>
    <w:p>
      <w:pPr>
        <w:pStyle w:val="Heading2"/>
        <w:jc w:val="right"/>
      </w:pPr>
      <w:r>
        <w:rPr>
          <w:rFonts w:ascii="Arial" w:hAnsi="Arial" w:eastAsia="Arial"/>
          <w:color w:val="D4A853"/>
          <w:sz w:val="28"/>
        </w:rPr>
        <w:t>1.2 الرسالة</w:t>
      </w:r>
    </w:p>
    <w:p>
      <w:pPr>
        <w:jc w:val="right"/>
      </w:pPr>
      <w:r>
        <w:rPr>
          <w:rFonts w:ascii="Arial" w:hAnsi="Arial" w:eastAsia="Arial"/>
          <w:b w:val="0"/>
          <w:i w:val="0"/>
          <w:color w:val="000000"/>
          <w:sz w:val="24"/>
        </w:rPr>
        <w:t>إحياء العقارات غير المكتملة بمعايير عالية من الجودة والالتزام، وبنموذج مالي مستدام يحقق العوائد للشركاء ويحفظ حقوق ملاك الأصول.</w:t>
      </w:r>
    </w:p>
    <w:p>
      <w:pPr>
        <w:pStyle w:val="Heading2"/>
        <w:jc w:val="right"/>
      </w:pPr>
      <w:r>
        <w:rPr>
          <w:rFonts w:ascii="Arial" w:hAnsi="Arial" w:eastAsia="Arial"/>
          <w:color w:val="D4A853"/>
          <w:sz w:val="28"/>
        </w:rPr>
        <w:t>1.3 القيم الأساسية</w:t>
      </w:r>
    </w:p>
    <w:p>
      <w:pPr>
        <w:pStyle w:val="ListBullet"/>
        <w:jc w:val="right"/>
      </w:pPr>
      <w:r>
        <w:rPr>
          <w:rFonts w:ascii="Arial" w:hAnsi="Arial" w:eastAsia="Arial"/>
          <w:sz w:val="22"/>
        </w:rPr>
        <w:t>الاحترام: احترام مالك الأصل وحقوقه الملكية في كل مرحلة من مراحل المشروع.</w:t>
      </w:r>
    </w:p>
    <w:p>
      <w:pPr>
        <w:pStyle w:val="ListBullet"/>
        <w:jc w:val="right"/>
      </w:pPr>
      <w:r>
        <w:rPr>
          <w:rFonts w:ascii="Arial" w:hAnsi="Arial" w:eastAsia="Arial"/>
          <w:sz w:val="22"/>
        </w:rPr>
        <w:t>الجودة: الالتزام بالكود السعودي وأعلى معايير التشطيب والسلامة.</w:t>
      </w:r>
    </w:p>
    <w:p>
      <w:pPr>
        <w:pStyle w:val="ListBullet"/>
        <w:jc w:val="right"/>
      </w:pPr>
      <w:r>
        <w:rPr>
          <w:rFonts w:ascii="Arial" w:hAnsi="Arial" w:eastAsia="Arial"/>
          <w:sz w:val="22"/>
        </w:rPr>
        <w:t>الشفافية: وضوح كامل في العقود والتقارير المالية والتشغيلية.</w:t>
      </w:r>
    </w:p>
    <w:p>
      <w:pPr>
        <w:pStyle w:val="ListBullet"/>
        <w:jc w:val="right"/>
      </w:pPr>
      <w:r>
        <w:rPr>
          <w:rFonts w:ascii="Arial" w:hAnsi="Arial" w:eastAsia="Arial"/>
          <w:sz w:val="22"/>
        </w:rPr>
        <w:t>الاستدامة: بناء نموذج اقتصادي طويل الأجل يحقق القيمة لجميع الأطراف.</w:t>
      </w:r>
    </w:p>
    <w:p>
      <w:pPr>
        <w:pStyle w:val="ListBullet"/>
        <w:jc w:val="right"/>
      </w:pPr>
      <w:r>
        <w:rPr>
          <w:rFonts w:ascii="Arial" w:hAnsi="Arial" w:eastAsia="Arial"/>
          <w:sz w:val="22"/>
        </w:rPr>
        <w:t>الابتكار: استخدام التقنية والحلول الذكية لتحسين الكفاءة وتقليل المخاطر.</w:t>
      </w:r>
    </w:p>
    <w:p>
      <w:pPr>
        <w:pStyle w:val="Heading2"/>
        <w:jc w:val="right"/>
      </w:pPr>
      <w:r>
        <w:rPr>
          <w:rFonts w:ascii="Arial" w:hAnsi="Arial" w:eastAsia="Arial"/>
          <w:color w:val="D4A853"/>
          <w:sz w:val="28"/>
        </w:rPr>
        <w:t>1.4 الشكل القانوني</w:t>
      </w:r>
    </w:p>
    <w:p>
      <w:pPr>
        <w:jc w:val="right"/>
      </w:pPr>
      <w:r>
        <w:rPr>
          <w:rFonts w:ascii="Arial" w:hAnsi="Arial" w:eastAsia="Arial"/>
          <w:b w:val="0"/>
          <w:i w:val="0"/>
          <w:color w:val="000000"/>
          <w:sz w:val="24"/>
        </w:rPr>
        <w:t>تأسست الشركة بصورة قانونية كنظام مساهمة مقفلة، مرخصة من وزارة التجارة وهيئة العقار (REGA)، وفقاً لنظام الشركات السعودي. يتيح هذا الشكل جمع رأس المال من المساهمين المؤسسين مع الحفاظ على مرونة الإدارة وسرعة اتخاذ القرار.</w:t>
      </w:r>
    </w:p>
    <w:p>
      <w:pPr>
        <w:pStyle w:val="Heading2"/>
        <w:jc w:val="right"/>
      </w:pPr>
      <w:r>
        <w:rPr>
          <w:rFonts w:ascii="Arial" w:hAnsi="Arial" w:eastAsia="Arial"/>
          <w:color w:val="D4A853"/>
          <w:sz w:val="28"/>
        </w:rPr>
        <w:t>1.5 رأس المال وهيكل الملكية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البند</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رأس المال المصرح</w:t>
            </w:r>
          </w:p>
        </w:tc>
        <w:tc>
          <w:tcPr>
            <w:tcW w:type="dxa" w:w="4514"/>
          </w:tcPr>
          <w:p>
            <w:pPr>
              <w:jc w:val="right"/>
            </w:pPr>
            <w:r>
              <w:rPr>
                <w:rFonts w:ascii="Arial" w:hAnsi="Arial" w:eastAsia="Arial"/>
              </w:rPr>
              <w:t>200,000,000 ريال سعودي</w:t>
            </w:r>
          </w:p>
        </w:tc>
      </w:tr>
      <w:tr>
        <w:tc>
          <w:tcPr>
            <w:tcW w:type="dxa" w:w="4514"/>
          </w:tcPr>
          <w:p>
            <w:pPr>
              <w:jc w:val="right"/>
            </w:pPr>
            <w:r>
              <w:rPr>
                <w:rFonts w:ascii="Arial" w:hAnsi="Arial" w:eastAsia="Arial"/>
              </w:rPr>
              <w:t>عدد الأسهم</w:t>
            </w:r>
          </w:p>
        </w:tc>
        <w:tc>
          <w:tcPr>
            <w:tcW w:type="dxa" w:w="4514"/>
          </w:tcPr>
          <w:p>
            <w:pPr>
              <w:jc w:val="right"/>
            </w:pPr>
            <w:r>
              <w:rPr>
                <w:rFonts w:ascii="Arial" w:hAnsi="Arial" w:eastAsia="Arial"/>
              </w:rPr>
              <w:t>40,000 سهم</w:t>
            </w:r>
          </w:p>
        </w:tc>
      </w:tr>
      <w:tr>
        <w:tc>
          <w:tcPr>
            <w:tcW w:type="dxa" w:w="4514"/>
          </w:tcPr>
          <w:p>
            <w:pPr>
              <w:jc w:val="right"/>
            </w:pPr>
            <w:r>
              <w:rPr>
                <w:rFonts w:ascii="Arial" w:hAnsi="Arial" w:eastAsia="Arial"/>
              </w:rPr>
              <w:t>القيمة الاسمية للسهم</w:t>
            </w:r>
          </w:p>
        </w:tc>
        <w:tc>
          <w:tcPr>
            <w:tcW w:type="dxa" w:w="4514"/>
          </w:tcPr>
          <w:p>
            <w:pPr>
              <w:jc w:val="right"/>
            </w:pPr>
            <w:r>
              <w:rPr>
                <w:rFonts w:ascii="Arial" w:hAnsi="Arial" w:eastAsia="Arial"/>
              </w:rPr>
              <w:t>5,000 ريال سعودي</w:t>
            </w:r>
          </w:p>
        </w:tc>
      </w:tr>
      <w:tr>
        <w:tc>
          <w:tcPr>
            <w:tcW w:type="dxa" w:w="4514"/>
          </w:tcPr>
          <w:p>
            <w:pPr>
              <w:jc w:val="right"/>
            </w:pPr>
            <w:r>
              <w:rPr>
                <w:rFonts w:ascii="Arial" w:hAnsi="Arial" w:eastAsia="Arial"/>
              </w:rPr>
              <w:t>القيمة الفعلية للسهم</w:t>
            </w:r>
          </w:p>
        </w:tc>
        <w:tc>
          <w:tcPr>
            <w:tcW w:type="dxa" w:w="4514"/>
          </w:tcPr>
          <w:p>
            <w:pPr>
              <w:jc w:val="right"/>
            </w:pPr>
            <w:r>
              <w:rPr>
                <w:rFonts w:ascii="Arial" w:hAnsi="Arial" w:eastAsia="Arial"/>
              </w:rPr>
              <w:t>5,650 ريال سعودي</w:t>
            </w:r>
          </w:p>
        </w:tc>
      </w:tr>
      <w:tr>
        <w:tc>
          <w:tcPr>
            <w:tcW w:type="dxa" w:w="4514"/>
          </w:tcPr>
          <w:p>
            <w:pPr>
              <w:jc w:val="right"/>
            </w:pPr>
            <w:r>
              <w:rPr>
                <w:rFonts w:ascii="Arial" w:hAnsi="Arial" w:eastAsia="Arial"/>
              </w:rPr>
              <w:t>علاوة الإصدار ومصاريف التأسيس</w:t>
            </w:r>
          </w:p>
        </w:tc>
        <w:tc>
          <w:tcPr>
            <w:tcW w:type="dxa" w:w="4514"/>
          </w:tcPr>
          <w:p>
            <w:pPr>
              <w:jc w:val="right"/>
            </w:pPr>
            <w:r>
              <w:rPr>
                <w:rFonts w:ascii="Arial" w:hAnsi="Arial" w:eastAsia="Arial"/>
              </w:rPr>
              <w:t>26,000,000 ريال سعودي</w:t>
            </w:r>
          </w:p>
        </w:tc>
      </w:tr>
      <w:tr>
        <w:tc>
          <w:tcPr>
            <w:tcW w:type="dxa" w:w="4514"/>
          </w:tcPr>
          <w:p>
            <w:pPr>
              <w:jc w:val="right"/>
            </w:pPr>
            <w:r>
              <w:rPr>
                <w:rFonts w:ascii="Arial" w:hAnsi="Arial" w:eastAsia="Arial"/>
              </w:rPr>
              <w:t>إجمالي الاستثمار المستهدف</w:t>
            </w:r>
          </w:p>
        </w:tc>
        <w:tc>
          <w:tcPr>
            <w:tcW w:type="dxa" w:w="4514"/>
          </w:tcPr>
          <w:p>
            <w:pPr>
              <w:jc w:val="right"/>
            </w:pPr>
            <w:r>
              <w:rPr>
                <w:rFonts w:ascii="Arial" w:hAnsi="Arial" w:eastAsia="Arial"/>
              </w:rPr>
              <w:t>226,000,000 ريال سعودي</w:t>
            </w:r>
          </w:p>
        </w:tc>
      </w:tr>
    </w:tbl>
    <w:p>
      <w:r>
        <w:br w:type="page"/>
      </w:r>
    </w:p>
    <w:p>
      <w:pPr>
        <w:pStyle w:val="Heading1"/>
        <w:jc w:val="right"/>
      </w:pPr>
      <w:r>
        <w:rPr>
          <w:rFonts w:ascii="Arial" w:hAnsi="Arial" w:eastAsia="Arial"/>
          <w:color w:val="003366"/>
          <w:sz w:val="36"/>
        </w:rPr>
        <w:t>2. تحليل السوق</w:t>
      </w:r>
    </w:p>
    <w:p>
      <w:pPr>
        <w:pStyle w:val="Heading2"/>
        <w:jc w:val="right"/>
      </w:pPr>
      <w:r>
        <w:rPr>
          <w:rFonts w:ascii="Arial" w:hAnsi="Arial" w:eastAsia="Arial"/>
          <w:color w:val="D4A853"/>
          <w:sz w:val="28"/>
        </w:rPr>
        <w:t>2.1 نظرة عامة على السوق العقاري السعودي</w:t>
      </w:r>
    </w:p>
    <w:p>
      <w:pPr>
        <w:jc w:val="right"/>
      </w:pPr>
      <w:r>
        <w:rPr>
          <w:rFonts w:ascii="Arial" w:hAnsi="Arial" w:eastAsia="Arial"/>
          <w:b w:val="0"/>
          <w:i w:val="0"/>
          <w:color w:val="000000"/>
          <w:sz w:val="24"/>
        </w:rPr>
        <w:t>يشهد قطاع الاستثمار والتطوير العقاري في المملكة العربية السعودية تحولاً جذرياً، مدفوعاً برؤية 2030 والمشاريع التنموية الضخمة. يتجه القطاع نحو النضج، مع بدء ديناميكيات طلب حقيقية وملموسة في سلوك المستهلكين والمستثمرين.</w:t>
      </w:r>
    </w:p>
    <w:p>
      <w:pPr>
        <w:pStyle w:val="Heading2"/>
        <w:jc w:val="right"/>
      </w:pPr>
      <w:r>
        <w:rPr>
          <w:rFonts w:ascii="Arial" w:hAnsi="Arial" w:eastAsia="Arial"/>
          <w:color w:val="D4A853"/>
          <w:sz w:val="28"/>
        </w:rPr>
        <w:t>2.2 المؤشرات الرئيسية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متوسط العائد الإيجاري في الرياض</w:t>
            </w:r>
          </w:p>
        </w:tc>
        <w:tc>
          <w:tcPr>
            <w:tcW w:type="dxa" w:w="4514"/>
          </w:tcPr>
          <w:p>
            <w:pPr>
              <w:jc w:val="right"/>
            </w:pPr>
            <w:r>
              <w:rPr>
                <w:rFonts w:ascii="Arial" w:hAnsi="Arial" w:eastAsia="Arial"/>
              </w:rPr>
              <w:t>8.89%</w:t>
            </w:r>
          </w:p>
        </w:tc>
      </w:tr>
      <w:tr>
        <w:tc>
          <w:tcPr>
            <w:tcW w:type="dxa" w:w="4514"/>
          </w:tcPr>
          <w:p>
            <w:pPr>
              <w:jc w:val="right"/>
            </w:pPr>
            <w:r>
              <w:rPr>
                <w:rFonts w:ascii="Arial" w:hAnsi="Arial" w:eastAsia="Arial"/>
              </w:rPr>
              <w:t>متوسط العائد الإيجاري في جدة</w:t>
            </w:r>
          </w:p>
        </w:tc>
        <w:tc>
          <w:tcPr>
            <w:tcW w:type="dxa" w:w="4514"/>
          </w:tcPr>
          <w:p>
            <w:pPr>
              <w:jc w:val="right"/>
            </w:pPr>
            <w:r>
              <w:rPr>
                <w:rFonts w:ascii="Arial" w:hAnsi="Arial" w:eastAsia="Arial"/>
              </w:rPr>
              <w:t>7.89%</w:t>
            </w:r>
          </w:p>
        </w:tc>
      </w:tr>
      <w:tr>
        <w:tc>
          <w:tcPr>
            <w:tcW w:type="dxa" w:w="4514"/>
          </w:tcPr>
          <w:p>
            <w:pPr>
              <w:jc w:val="right"/>
            </w:pPr>
            <w:r>
              <w:rPr>
                <w:rFonts w:ascii="Arial" w:hAnsi="Arial" w:eastAsia="Arial"/>
              </w:rPr>
              <w:t>معدل نمو الصفقات العقارية (2025)</w:t>
            </w:r>
          </w:p>
        </w:tc>
        <w:tc>
          <w:tcPr>
            <w:tcW w:type="dxa" w:w="4514"/>
          </w:tcPr>
          <w:p>
            <w:pPr>
              <w:jc w:val="right"/>
            </w:pPr>
            <w:r>
              <w:rPr>
                <w:rFonts w:ascii="Arial" w:hAnsi="Arial" w:eastAsia="Arial"/>
              </w:rPr>
              <w:t>+14.2%</w:t>
            </w:r>
          </w:p>
        </w:tc>
      </w:tr>
      <w:tr>
        <w:tc>
          <w:tcPr>
            <w:tcW w:type="dxa" w:w="4514"/>
          </w:tcPr>
          <w:p>
            <w:pPr>
              <w:jc w:val="right"/>
            </w:pPr>
            <w:r>
              <w:rPr>
                <w:rFonts w:ascii="Arial" w:hAnsi="Arial" w:eastAsia="Arial"/>
              </w:rPr>
              <w:t>حجم التمويل العقاري الإجمالي</w:t>
            </w:r>
          </w:p>
        </w:tc>
        <w:tc>
          <w:tcPr>
            <w:tcW w:type="dxa" w:w="4514"/>
          </w:tcPr>
          <w:p>
            <w:pPr>
              <w:jc w:val="right"/>
            </w:pPr>
            <w:r>
              <w:rPr>
                <w:rFonts w:ascii="Arial" w:hAnsi="Arial" w:eastAsia="Arial"/>
              </w:rPr>
              <w:t>730 مليار ريال</w:t>
            </w:r>
          </w:p>
        </w:tc>
      </w:tr>
      <w:tr>
        <w:tc>
          <w:tcPr>
            <w:tcW w:type="dxa" w:w="4514"/>
          </w:tcPr>
          <w:p>
            <w:pPr>
              <w:jc w:val="right"/>
            </w:pPr>
            <w:r>
              <w:rPr>
                <w:rFonts w:ascii="Arial" w:hAnsi="Arial" w:eastAsia="Arial"/>
              </w:rPr>
              <w:t>متوسط فجوة السعر الفعلي مقارنة بالطلب</w:t>
            </w:r>
          </w:p>
        </w:tc>
        <w:tc>
          <w:tcPr>
            <w:tcW w:type="dxa" w:w="4514"/>
          </w:tcPr>
          <w:p>
            <w:pPr>
              <w:jc w:val="right"/>
            </w:pPr>
            <w:r>
              <w:rPr>
                <w:rFonts w:ascii="Arial" w:hAnsi="Arial" w:eastAsia="Arial"/>
              </w:rPr>
              <w:t>6%</w:t>
            </w:r>
          </w:p>
        </w:tc>
      </w:tr>
      <w:tr>
        <w:tc>
          <w:tcPr>
            <w:tcW w:type="dxa" w:w="4514"/>
          </w:tcPr>
          <w:p>
            <w:pPr>
              <w:jc w:val="right"/>
            </w:pPr>
            <w:r>
              <w:rPr>
                <w:rFonts w:ascii="Arial" w:hAnsi="Arial" w:eastAsia="Arial"/>
              </w:rPr>
              <w:t>علاوة البناء الجديد</w:t>
            </w:r>
          </w:p>
        </w:tc>
        <w:tc>
          <w:tcPr>
            <w:tcW w:type="dxa" w:w="4514"/>
          </w:tcPr>
          <w:p>
            <w:pPr>
              <w:jc w:val="right"/>
            </w:pPr>
            <w:r>
              <w:rPr>
                <w:rFonts w:ascii="Arial" w:hAnsi="Arial" w:eastAsia="Arial"/>
              </w:rPr>
              <w:t>+25%</w:t>
            </w:r>
          </w:p>
        </w:tc>
      </w:tr>
    </w:tbl>
    <w:p>
      <w:pPr>
        <w:pStyle w:val="Heading2"/>
        <w:jc w:val="right"/>
      </w:pPr>
      <w:r>
        <w:rPr>
          <w:rFonts w:ascii="Arial" w:hAnsi="Arial" w:eastAsia="Arial"/>
          <w:color w:val="D4A853"/>
          <w:sz w:val="28"/>
        </w:rPr>
        <w:t>2.3 محركات النمو</w:t>
      </w:r>
    </w:p>
    <w:p>
      <w:pPr>
        <w:pStyle w:val="ListBullet"/>
        <w:jc w:val="right"/>
      </w:pPr>
      <w:r>
        <w:rPr>
          <w:rFonts w:ascii="Arial" w:hAnsi="Arial" w:eastAsia="Arial"/>
          <w:sz w:val="22"/>
        </w:rPr>
        <w:t>رؤية 2030 والمشاريع العملاقة مثل نيوم، الدرعية، البحر الأحمر، وروشن.</w:t>
      </w:r>
    </w:p>
    <w:p>
      <w:pPr>
        <w:pStyle w:val="ListBullet"/>
        <w:jc w:val="right"/>
      </w:pPr>
      <w:r>
        <w:rPr>
          <w:rFonts w:ascii="Arial" w:hAnsi="Arial" w:eastAsia="Arial"/>
          <w:sz w:val="22"/>
        </w:rPr>
        <w:t>برامج التمويل السكني "سكني" الموجهة للوحدات المتوسطة (70 - 120 م²).</w:t>
      </w:r>
    </w:p>
    <w:p>
      <w:pPr>
        <w:pStyle w:val="ListBullet"/>
        <w:jc w:val="right"/>
      </w:pPr>
      <w:r>
        <w:rPr>
          <w:rFonts w:ascii="Arial" w:hAnsi="Arial" w:eastAsia="Arial"/>
          <w:sz w:val="22"/>
        </w:rPr>
        <w:t>نمو الرواتب وتوجه الأفراد نحو المساحات الأصغر والأكثر كفاءة.</w:t>
      </w:r>
    </w:p>
    <w:p>
      <w:pPr>
        <w:pStyle w:val="ListBullet"/>
        <w:jc w:val="right"/>
      </w:pPr>
      <w:r>
        <w:rPr>
          <w:rFonts w:ascii="Arial" w:hAnsi="Arial" w:eastAsia="Arial"/>
          <w:sz w:val="22"/>
        </w:rPr>
        <w:t>الهجرة الداخلية نحو المدن الكبرى والعاصمة الرياض.</w:t>
      </w:r>
    </w:p>
    <w:p>
      <w:pPr>
        <w:pStyle w:val="ListBullet"/>
        <w:jc w:val="right"/>
      </w:pPr>
      <w:r>
        <w:rPr>
          <w:rFonts w:ascii="Arial" w:hAnsi="Arial" w:eastAsia="Arial"/>
          <w:sz w:val="22"/>
        </w:rPr>
        <w:t>انتعاش سوق الإيجارات وارتفاع عوائدها إلى مستويات جاذبة.</w:t>
      </w:r>
    </w:p>
    <w:p>
      <w:pPr>
        <w:pStyle w:val="Heading2"/>
        <w:jc w:val="right"/>
      </w:pPr>
      <w:r>
        <w:rPr>
          <w:rFonts w:ascii="Arial" w:hAnsi="Arial" w:eastAsia="Arial"/>
          <w:color w:val="D4A853"/>
          <w:sz w:val="28"/>
        </w:rPr>
        <w:t>2.4 المناطق المستهدفة</w:t>
      </w:r>
    </w:p>
    <w:p>
      <w:pPr>
        <w:jc w:val="right"/>
      </w:pPr>
      <w:r>
        <w:rPr>
          <w:rFonts w:ascii="Arial" w:hAnsi="Arial" w:eastAsia="Arial"/>
          <w:b/>
          <w:i w:val="0"/>
          <w:color w:val="000000"/>
          <w:sz w:val="24"/>
        </w:rPr>
        <w:t>مدينة الرياض:</w:t>
      </w:r>
    </w:p>
    <w:p>
      <w:pPr>
        <w:pStyle w:val="ListBullet"/>
        <w:jc w:val="right"/>
      </w:pPr>
      <w:r>
        <w:rPr>
          <w:rFonts w:ascii="Arial" w:hAnsi="Arial" w:eastAsia="Arial"/>
          <w:sz w:val="22"/>
        </w:rPr>
        <w:t>الشمال الفاخر: العقيق، حطين، الملقا - يجذب التنفيذيين ويوفر عوائد إيجارية مرتفعة.</w:t>
      </w:r>
    </w:p>
    <w:p>
      <w:pPr>
        <w:pStyle w:val="ListBullet"/>
        <w:jc w:val="right"/>
      </w:pPr>
      <w:r>
        <w:rPr>
          <w:rFonts w:ascii="Arial" w:hAnsi="Arial" w:eastAsia="Arial"/>
          <w:sz w:val="22"/>
        </w:rPr>
        <w:t>الشمال الشرقي: المونسية، الرمال، الياسمين، النرجس - كثافة سكانية عالية وبنية تحتية حديثة.</w:t>
      </w:r>
    </w:p>
    <w:p>
      <w:pPr>
        <w:jc w:val="right"/>
      </w:pPr>
      <w:r>
        <w:rPr>
          <w:rFonts w:ascii="Arial" w:hAnsi="Arial" w:eastAsia="Arial"/>
          <w:b/>
          <w:i w:val="0"/>
          <w:color w:val="000000"/>
          <w:sz w:val="24"/>
        </w:rPr>
        <w:t>مدينة جدة:</w:t>
      </w:r>
    </w:p>
    <w:p>
      <w:pPr>
        <w:pStyle w:val="ListBullet"/>
        <w:jc w:val="right"/>
      </w:pPr>
      <w:r>
        <w:rPr>
          <w:rFonts w:ascii="Arial" w:hAnsi="Arial" w:eastAsia="Arial"/>
          <w:sz w:val="22"/>
        </w:rPr>
        <w:t>الساحل الشمالي: أبحر الشمالية، الصواري - يمثل مستقبلاً سكنياً وسياحياً واعداً.</w:t>
      </w:r>
    </w:p>
    <w:p>
      <w:pPr>
        <w:pStyle w:val="ListBullet"/>
        <w:jc w:val="right"/>
      </w:pPr>
      <w:r>
        <w:rPr>
          <w:rFonts w:ascii="Arial" w:hAnsi="Arial" w:eastAsia="Arial"/>
          <w:sz w:val="22"/>
        </w:rPr>
        <w:t>الوسط الحيوي: الحمراء، النعيم، الزهراء، السلامة - يوفر عوائد إيجارية ثابتة ونشاطاً تجارياً مستمراً.</w:t>
      </w:r>
    </w:p>
    <w:p>
      <w:pPr>
        <w:pStyle w:val="Heading2"/>
        <w:jc w:val="right"/>
      </w:pPr>
      <w:r>
        <w:rPr>
          <w:rFonts w:ascii="Arial" w:hAnsi="Arial" w:eastAsia="Arial"/>
          <w:color w:val="D4A853"/>
          <w:sz w:val="28"/>
        </w:rPr>
        <w:t>2.5 تحليل المنافسة</w:t>
      </w:r>
    </w:p>
    <w:p>
      <w:pPr>
        <w:jc w:val="right"/>
      </w:pPr>
      <w:r>
        <w:rPr>
          <w:rFonts w:ascii="Arial" w:hAnsi="Arial" w:eastAsia="Arial"/>
          <w:b w:val="0"/>
          <w:i w:val="0"/>
          <w:color w:val="000000"/>
          <w:sz w:val="24"/>
        </w:rPr>
        <w:t>المنافسة الرئيسية ليست من الشركات الكبرى، بل من المطورين التقليديين الذين يتطلب نموذجهم شراء أراضٍ ورأس مال ضخم. تكمن ميزتنا التنافسية في عدم الحاجة إلى شراء الأرض، والتركيز على الأصول غير المكتملة التي لا تجذب المطورين الكبار.</w:t>
      </w:r>
    </w:p>
    <w:p>
      <w:r>
        <w:br w:type="page"/>
      </w:r>
    </w:p>
    <w:p>
      <w:pPr>
        <w:pStyle w:val="Heading1"/>
        <w:jc w:val="right"/>
      </w:pPr>
      <w:r>
        <w:rPr>
          <w:rFonts w:ascii="Arial" w:hAnsi="Arial" w:eastAsia="Arial"/>
          <w:color w:val="003366"/>
          <w:sz w:val="36"/>
        </w:rPr>
        <w:t>3. الخدمات والحلول</w:t>
      </w:r>
    </w:p>
    <w:p>
      <w:pPr>
        <w:pStyle w:val="Heading2"/>
        <w:jc w:val="right"/>
      </w:pPr>
      <w:r>
        <w:rPr>
          <w:rFonts w:ascii="Arial" w:hAnsi="Arial" w:eastAsia="Arial"/>
          <w:color w:val="D4A853"/>
          <w:sz w:val="28"/>
        </w:rPr>
        <w:t>3.1 الخدمات الأساسية</w:t>
      </w:r>
    </w:p>
    <w:p>
      <w:pPr>
        <w:pStyle w:val="ListBullet"/>
        <w:jc w:val="right"/>
      </w:pPr>
      <w:r>
        <w:rPr>
          <w:rFonts w:ascii="Arial" w:hAnsi="Arial" w:eastAsia="Arial"/>
          <w:sz w:val="22"/>
        </w:rPr>
        <w:t>إجراء تقييم هندسي وقانوني شامل للعقار غير المكتمل.</w:t>
      </w:r>
    </w:p>
    <w:p>
      <w:pPr>
        <w:pStyle w:val="ListBullet"/>
        <w:jc w:val="right"/>
      </w:pPr>
      <w:r>
        <w:rPr>
          <w:rFonts w:ascii="Arial" w:hAnsi="Arial" w:eastAsia="Arial"/>
          <w:sz w:val="22"/>
        </w:rPr>
        <w:t>إعداد التصاميم المعمارية والإنشائية والميكانيكية المطلوبة.</w:t>
      </w:r>
    </w:p>
    <w:p>
      <w:pPr>
        <w:pStyle w:val="ListBullet"/>
        <w:jc w:val="right"/>
      </w:pPr>
      <w:r>
        <w:rPr>
          <w:rFonts w:ascii="Arial" w:hAnsi="Arial" w:eastAsia="Arial"/>
          <w:sz w:val="22"/>
        </w:rPr>
        <w:t>إدارة عمليات التشطيب والإشراف اليومي على التنفيذ.</w:t>
      </w:r>
    </w:p>
    <w:p>
      <w:pPr>
        <w:pStyle w:val="ListBullet"/>
        <w:jc w:val="right"/>
      </w:pPr>
      <w:r>
        <w:rPr>
          <w:rFonts w:ascii="Arial" w:hAnsi="Arial" w:eastAsia="Arial"/>
          <w:sz w:val="22"/>
        </w:rPr>
        <w:t>التسويق والبيع الاحترافي للوحدات بأسعار السوق.</w:t>
      </w:r>
    </w:p>
    <w:p>
      <w:pPr>
        <w:pStyle w:val="ListBullet"/>
        <w:jc w:val="right"/>
      </w:pPr>
      <w:r>
        <w:rPr>
          <w:rFonts w:ascii="Arial" w:hAnsi="Arial" w:eastAsia="Arial"/>
          <w:sz w:val="22"/>
        </w:rPr>
        <w:t>إدارة عملية التسليم ونقل الملكية وتوزيع الأرباح.</w:t>
      </w:r>
    </w:p>
    <w:p>
      <w:pPr>
        <w:pStyle w:val="Heading2"/>
        <w:jc w:val="right"/>
      </w:pPr>
      <w:r>
        <w:rPr>
          <w:rFonts w:ascii="Arial" w:hAnsi="Arial" w:eastAsia="Arial"/>
          <w:color w:val="D4A853"/>
          <w:sz w:val="28"/>
        </w:rPr>
        <w:t>3.2 نماذج الشراكة</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النموذج</w:t>
            </w:r>
          </w:p>
        </w:tc>
        <w:tc>
          <w:tcPr>
            <w:tcW w:type="dxa" w:w="3010"/>
            <w:shd w:fill="0A0F1A"/>
          </w:tcPr>
          <w:p>
            <w:pPr>
              <w:jc w:val="right"/>
            </w:pPr>
            <w:r>
              <w:rPr>
                <w:rFonts w:ascii="Arial" w:hAnsi="Arial" w:eastAsia="Arial"/>
                <w:b/>
                <w:color w:val="FFFFFF"/>
              </w:rPr>
              <w:t>الوصف</w:t>
            </w:r>
          </w:p>
        </w:tc>
        <w:tc>
          <w:tcPr>
            <w:tcW w:type="dxa" w:w="3010"/>
            <w:shd w:fill="0A0F1A"/>
          </w:tcPr>
          <w:p>
            <w:pPr>
              <w:jc w:val="right"/>
            </w:pPr>
            <w:r>
              <w:rPr>
                <w:rFonts w:ascii="Arial" w:hAnsi="Arial" w:eastAsia="Arial"/>
                <w:b/>
                <w:color w:val="FFFFFF"/>
              </w:rPr>
              <w:t>الحالة المناسبة</w:t>
            </w:r>
          </w:p>
        </w:tc>
      </w:tr>
      <w:tr>
        <w:tc>
          <w:tcPr>
            <w:tcW w:type="dxa" w:w="3010"/>
          </w:tcPr>
          <w:p>
            <w:pPr>
              <w:jc w:val="right"/>
            </w:pPr>
            <w:r>
              <w:rPr>
                <w:rFonts w:ascii="Arial" w:hAnsi="Arial" w:eastAsia="Arial"/>
              </w:rPr>
              <w:t>النموذج</w:t>
            </w:r>
          </w:p>
        </w:tc>
        <w:tc>
          <w:tcPr>
            <w:tcW w:type="dxa" w:w="3010"/>
          </w:tcPr>
          <w:p>
            <w:pPr>
              <w:jc w:val="right"/>
            </w:pPr>
            <w:r>
              <w:rPr>
                <w:rFonts w:ascii="Arial" w:hAnsi="Arial" w:eastAsia="Arial"/>
              </w:rPr>
              <w:t>الوصف</w:t>
            </w:r>
          </w:p>
        </w:tc>
        <w:tc>
          <w:tcPr>
            <w:tcW w:type="dxa" w:w="3010"/>
          </w:tcPr>
          <w:p>
            <w:pPr>
              <w:jc w:val="right"/>
            </w:pPr>
            <w:r>
              <w:rPr>
                <w:rFonts w:ascii="Arial" w:hAnsi="Arial" w:eastAsia="Arial"/>
              </w:rPr>
              <w:t>الحالة المناسبة</w:t>
            </w:r>
          </w:p>
        </w:tc>
      </w:tr>
      <w:tr>
        <w:tc>
          <w:tcPr>
            <w:tcW w:type="dxa" w:w="3010"/>
          </w:tcPr>
          <w:p>
            <w:pPr>
              <w:jc w:val="right"/>
            </w:pPr>
            <w:r>
              <w:rPr>
                <w:rFonts w:ascii="Arial" w:hAnsi="Arial" w:eastAsia="Arial"/>
              </w:rPr>
              <w:t>المحاصة الكاملة</w:t>
            </w:r>
          </w:p>
        </w:tc>
        <w:tc>
          <w:tcPr>
            <w:tcW w:type="dxa" w:w="3010"/>
          </w:tcPr>
          <w:p>
            <w:pPr>
              <w:jc w:val="right"/>
            </w:pPr>
            <w:r>
              <w:rPr>
                <w:rFonts w:ascii="Arial" w:hAnsi="Arial" w:eastAsia="Arial"/>
              </w:rPr>
              <w:t>تتولى الشركة التشطيب والتسويق مقابل نسبة متفق عليها من الأرباح</w:t>
            </w:r>
          </w:p>
        </w:tc>
        <w:tc>
          <w:tcPr>
            <w:tcW w:type="dxa" w:w="3010"/>
          </w:tcPr>
          <w:p>
            <w:pPr>
              <w:jc w:val="right"/>
            </w:pPr>
            <w:r>
              <w:rPr>
                <w:rFonts w:ascii="Arial" w:hAnsi="Arial" w:eastAsia="Arial"/>
              </w:rPr>
              <w:t>المالك يملك سيولة محدودة ويرغب في إحياء العقار</w:t>
            </w:r>
          </w:p>
        </w:tc>
      </w:tr>
      <w:tr>
        <w:tc>
          <w:tcPr>
            <w:tcW w:type="dxa" w:w="3010"/>
          </w:tcPr>
          <w:p>
            <w:pPr>
              <w:jc w:val="right"/>
            </w:pPr>
            <w:r>
              <w:rPr>
                <w:rFonts w:ascii="Arial" w:hAnsi="Arial" w:eastAsia="Arial"/>
              </w:rPr>
              <w:t>الشراء الجزئي</w:t>
            </w:r>
          </w:p>
        </w:tc>
        <w:tc>
          <w:tcPr>
            <w:tcW w:type="dxa" w:w="3010"/>
          </w:tcPr>
          <w:p>
            <w:pPr>
              <w:jc w:val="right"/>
            </w:pPr>
            <w:r>
              <w:rPr>
                <w:rFonts w:ascii="Arial" w:hAnsi="Arial" w:eastAsia="Arial"/>
              </w:rPr>
              <w:t>تشتري الشركة جزءاً من الوحدات بعد إتمام التشطيب</w:t>
            </w:r>
          </w:p>
        </w:tc>
        <w:tc>
          <w:tcPr>
            <w:tcW w:type="dxa" w:w="3010"/>
          </w:tcPr>
          <w:p>
            <w:pPr>
              <w:jc w:val="right"/>
            </w:pPr>
            <w:r>
              <w:rPr>
                <w:rFonts w:ascii="Arial" w:hAnsi="Arial" w:eastAsia="Arial"/>
              </w:rPr>
              <w:t>المالك يرغب في تحقيق سيولة فورية</w:t>
            </w:r>
          </w:p>
        </w:tc>
      </w:tr>
      <w:tr>
        <w:tc>
          <w:tcPr>
            <w:tcW w:type="dxa" w:w="3010"/>
          </w:tcPr>
          <w:p>
            <w:pPr>
              <w:jc w:val="right"/>
            </w:pPr>
            <w:r>
              <w:rPr>
                <w:rFonts w:ascii="Arial" w:hAnsi="Arial" w:eastAsia="Arial"/>
              </w:rPr>
              <w:t>رسوم الإدارة</w:t>
            </w:r>
          </w:p>
        </w:tc>
        <w:tc>
          <w:tcPr>
            <w:tcW w:type="dxa" w:w="3010"/>
          </w:tcPr>
          <w:p>
            <w:pPr>
              <w:jc w:val="right"/>
            </w:pPr>
            <w:r>
              <w:rPr>
                <w:rFonts w:ascii="Arial" w:hAnsi="Arial" w:eastAsia="Arial"/>
              </w:rPr>
              <w:t>تتقاضى الشركة رسوم إدارة ثابتة مقابل التشطيب والتسويق</w:t>
            </w:r>
          </w:p>
        </w:tc>
        <w:tc>
          <w:tcPr>
            <w:tcW w:type="dxa" w:w="3010"/>
          </w:tcPr>
          <w:p>
            <w:pPr>
              <w:jc w:val="right"/>
            </w:pPr>
            <w:r>
              <w:rPr>
                <w:rFonts w:ascii="Arial" w:hAnsi="Arial" w:eastAsia="Arial"/>
              </w:rPr>
              <w:t>المالك يرغب في الاحتفاظ بمعظم الأرباح</w:t>
            </w:r>
          </w:p>
        </w:tc>
      </w:tr>
      <w:tr>
        <w:tc>
          <w:tcPr>
            <w:tcW w:type="dxa" w:w="3010"/>
          </w:tcPr>
          <w:p>
            <w:pPr>
              <w:jc w:val="right"/>
            </w:pPr>
            <w:r>
              <w:rPr>
                <w:rFonts w:ascii="Arial" w:hAnsi="Arial" w:eastAsia="Arial"/>
              </w:rPr>
              <w:t>النموذج المختلط</w:t>
            </w:r>
          </w:p>
        </w:tc>
        <w:tc>
          <w:tcPr>
            <w:tcW w:type="dxa" w:w="3010"/>
          </w:tcPr>
          <w:p>
            <w:pPr>
              <w:jc w:val="right"/>
            </w:pPr>
            <w:r>
              <w:rPr>
                <w:rFonts w:ascii="Arial" w:hAnsi="Arial" w:eastAsia="Arial"/>
              </w:rPr>
              <w:t>مزيج متوازن من المحاصة والشراء ورسوم الإدارة</w:t>
            </w:r>
          </w:p>
        </w:tc>
        <w:tc>
          <w:tcPr>
            <w:tcW w:type="dxa" w:w="3010"/>
          </w:tcPr>
          <w:p>
            <w:pPr>
              <w:jc w:val="right"/>
            </w:pPr>
            <w:r>
              <w:rPr>
                <w:rFonts w:ascii="Arial" w:hAnsi="Arial" w:eastAsia="Arial"/>
              </w:rPr>
              <w:t>معظم الحالات العملية</w:t>
            </w:r>
          </w:p>
        </w:tc>
      </w:tr>
    </w:tbl>
    <w:p>
      <w:r>
        <w:br w:type="page"/>
      </w:r>
    </w:p>
    <w:p>
      <w:pPr>
        <w:pStyle w:val="Heading1"/>
        <w:jc w:val="right"/>
      </w:pPr>
      <w:r>
        <w:rPr>
          <w:rFonts w:ascii="Arial" w:hAnsi="Arial" w:eastAsia="Arial"/>
          <w:color w:val="003366"/>
          <w:sz w:val="36"/>
        </w:rPr>
        <w:t>4. النموذج التجاري</w:t>
      </w:r>
    </w:p>
    <w:p>
      <w:pPr>
        <w:pStyle w:val="Heading2"/>
        <w:jc w:val="right"/>
      </w:pPr>
      <w:r>
        <w:rPr>
          <w:rFonts w:ascii="Arial" w:hAnsi="Arial" w:eastAsia="Arial"/>
          <w:color w:val="D4A853"/>
          <w:sz w:val="28"/>
        </w:rPr>
        <w:t>4.1 آلية عمل الشركة</w:t>
      </w:r>
    </w:p>
    <w:p>
      <w:pPr>
        <w:pStyle w:val="ListBullet"/>
        <w:jc w:val="right"/>
      </w:pPr>
      <w:r>
        <w:rPr>
          <w:rFonts w:ascii="Arial" w:hAnsi="Arial" w:eastAsia="Arial"/>
          <w:sz w:val="22"/>
        </w:rPr>
        <w:t>البحث عن عقارات غير مكتملة في المواقع المستهدفة وتحديد فرصها.</w:t>
      </w:r>
    </w:p>
    <w:p>
      <w:pPr>
        <w:pStyle w:val="ListBullet"/>
        <w:jc w:val="right"/>
      </w:pPr>
      <w:r>
        <w:rPr>
          <w:rFonts w:ascii="Arial" w:hAnsi="Arial" w:eastAsia="Arial"/>
          <w:sz w:val="22"/>
        </w:rPr>
        <w:t>إجراء التقييم الهندسي والقانوني والمالي الشامل.</w:t>
      </w:r>
    </w:p>
    <w:p>
      <w:pPr>
        <w:pStyle w:val="ListBullet"/>
        <w:jc w:val="right"/>
      </w:pPr>
      <w:r>
        <w:rPr>
          <w:rFonts w:ascii="Arial" w:hAnsi="Arial" w:eastAsia="Arial"/>
          <w:sz w:val="22"/>
        </w:rPr>
        <w:t>التفاوض مع المالك وإبرام عقد محاصة أو شراكة واضح.</w:t>
      </w:r>
    </w:p>
    <w:p>
      <w:pPr>
        <w:pStyle w:val="ListBullet"/>
        <w:jc w:val="right"/>
      </w:pPr>
      <w:r>
        <w:rPr>
          <w:rFonts w:ascii="Arial" w:hAnsi="Arial" w:eastAsia="Arial"/>
          <w:sz w:val="22"/>
        </w:rPr>
        <w:t>إنجاز أعمال التشطيب وفق أعلى المعايير والكود السعودي.</w:t>
      </w:r>
    </w:p>
    <w:p>
      <w:pPr>
        <w:pStyle w:val="ListBullet"/>
        <w:jc w:val="right"/>
      </w:pPr>
      <w:r>
        <w:rPr>
          <w:rFonts w:ascii="Arial" w:hAnsi="Arial" w:eastAsia="Arial"/>
          <w:sz w:val="22"/>
        </w:rPr>
        <w:t>تسويق الوحدات وبيعها بأسعار السوق المناسبة.</w:t>
      </w:r>
    </w:p>
    <w:p>
      <w:pPr>
        <w:pStyle w:val="ListBullet"/>
        <w:jc w:val="right"/>
      </w:pPr>
      <w:r>
        <w:rPr>
          <w:rFonts w:ascii="Arial" w:hAnsi="Arial" w:eastAsia="Arial"/>
          <w:sz w:val="22"/>
        </w:rPr>
        <w:t>توزيع الأرباح بين الشركة والمالك وفق بنود العقد.</w:t>
      </w:r>
    </w:p>
    <w:p>
      <w:pPr>
        <w:pStyle w:val="Heading2"/>
        <w:jc w:val="right"/>
      </w:pPr>
      <w:r>
        <w:rPr>
          <w:rFonts w:ascii="Arial" w:hAnsi="Arial" w:eastAsia="Arial"/>
          <w:color w:val="D4A853"/>
          <w:sz w:val="28"/>
        </w:rPr>
        <w:t>4.2 مصادر الإيرادات</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مصدر الإيراد</w:t>
            </w:r>
          </w:p>
        </w:tc>
        <w:tc>
          <w:tcPr>
            <w:tcW w:type="dxa" w:w="4514"/>
            <w:shd w:fill="0A0F1A"/>
          </w:tcPr>
          <w:p>
            <w:pPr>
              <w:jc w:val="right"/>
            </w:pPr>
            <w:r>
              <w:rPr>
                <w:rFonts w:ascii="Arial" w:hAnsi="Arial" w:eastAsia="Arial"/>
                <w:b/>
                <w:color w:val="FFFFFF"/>
              </w:rPr>
              <w:t>النسبة المتوقعة</w:t>
            </w:r>
          </w:p>
        </w:tc>
      </w:tr>
      <w:tr>
        <w:tc>
          <w:tcPr>
            <w:tcW w:type="dxa" w:w="4514"/>
          </w:tcPr>
          <w:p>
            <w:pPr>
              <w:jc w:val="right"/>
            </w:pPr>
            <w:r>
              <w:rPr>
                <w:rFonts w:ascii="Arial" w:hAnsi="Arial" w:eastAsia="Arial"/>
              </w:rPr>
              <w:t>مصدر الإيراد</w:t>
            </w:r>
          </w:p>
        </w:tc>
        <w:tc>
          <w:tcPr>
            <w:tcW w:type="dxa" w:w="4514"/>
          </w:tcPr>
          <w:p>
            <w:pPr>
              <w:jc w:val="right"/>
            </w:pPr>
            <w:r>
              <w:rPr>
                <w:rFonts w:ascii="Arial" w:hAnsi="Arial" w:eastAsia="Arial"/>
              </w:rPr>
              <w:t>النسبة المتوقعة</w:t>
            </w:r>
          </w:p>
        </w:tc>
      </w:tr>
      <w:tr>
        <w:tc>
          <w:tcPr>
            <w:tcW w:type="dxa" w:w="4514"/>
          </w:tcPr>
          <w:p>
            <w:pPr>
              <w:jc w:val="right"/>
            </w:pPr>
            <w:r>
              <w:rPr>
                <w:rFonts w:ascii="Arial" w:hAnsi="Arial" w:eastAsia="Arial"/>
              </w:rPr>
              <w:t>إيرادات المحاصة (نصيب الشركة)</w:t>
            </w:r>
          </w:p>
        </w:tc>
        <w:tc>
          <w:tcPr>
            <w:tcW w:type="dxa" w:w="4514"/>
          </w:tcPr>
          <w:p>
            <w:pPr>
              <w:jc w:val="right"/>
            </w:pPr>
            <w:r>
              <w:rPr>
                <w:rFonts w:ascii="Arial" w:hAnsi="Arial" w:eastAsia="Arial"/>
              </w:rPr>
              <w:t>60%</w:t>
            </w:r>
          </w:p>
        </w:tc>
      </w:tr>
      <w:tr>
        <w:tc>
          <w:tcPr>
            <w:tcW w:type="dxa" w:w="4514"/>
          </w:tcPr>
          <w:p>
            <w:pPr>
              <w:jc w:val="right"/>
            </w:pPr>
            <w:r>
              <w:rPr>
                <w:rFonts w:ascii="Arial" w:hAnsi="Arial" w:eastAsia="Arial"/>
              </w:rPr>
              <w:t>أرباح إعادة البيع والشراء</w:t>
            </w:r>
          </w:p>
        </w:tc>
        <w:tc>
          <w:tcPr>
            <w:tcW w:type="dxa" w:w="4514"/>
          </w:tcPr>
          <w:p>
            <w:pPr>
              <w:jc w:val="right"/>
            </w:pPr>
            <w:r>
              <w:rPr>
                <w:rFonts w:ascii="Arial" w:hAnsi="Arial" w:eastAsia="Arial"/>
              </w:rPr>
              <w:t>25%</w:t>
            </w:r>
          </w:p>
        </w:tc>
      </w:tr>
      <w:tr>
        <w:tc>
          <w:tcPr>
            <w:tcW w:type="dxa" w:w="4514"/>
          </w:tcPr>
          <w:p>
            <w:pPr>
              <w:jc w:val="right"/>
            </w:pPr>
            <w:r>
              <w:rPr>
                <w:rFonts w:ascii="Arial" w:hAnsi="Arial" w:eastAsia="Arial"/>
              </w:rPr>
              <w:t>رسوم الإدارة والتسويق</w:t>
            </w:r>
          </w:p>
        </w:tc>
        <w:tc>
          <w:tcPr>
            <w:tcW w:type="dxa" w:w="4514"/>
          </w:tcPr>
          <w:p>
            <w:pPr>
              <w:jc w:val="right"/>
            </w:pPr>
            <w:r>
              <w:rPr>
                <w:rFonts w:ascii="Arial" w:hAnsi="Arial" w:eastAsia="Arial"/>
              </w:rPr>
              <w:t>10%</w:t>
            </w:r>
          </w:p>
        </w:tc>
      </w:tr>
      <w:tr>
        <w:tc>
          <w:tcPr>
            <w:tcW w:type="dxa" w:w="4514"/>
          </w:tcPr>
          <w:p>
            <w:pPr>
              <w:jc w:val="right"/>
            </w:pPr>
            <w:r>
              <w:rPr>
                <w:rFonts w:ascii="Arial" w:hAnsi="Arial" w:eastAsia="Arial"/>
              </w:rPr>
              <w:t>خدمات استشارية وإدارية</w:t>
            </w:r>
          </w:p>
        </w:tc>
        <w:tc>
          <w:tcPr>
            <w:tcW w:type="dxa" w:w="4514"/>
          </w:tcPr>
          <w:p>
            <w:pPr>
              <w:jc w:val="right"/>
            </w:pPr>
            <w:r>
              <w:rPr>
                <w:rFonts w:ascii="Arial" w:hAnsi="Arial" w:eastAsia="Arial"/>
              </w:rPr>
              <w:t>5%</w:t>
            </w:r>
          </w:p>
        </w:tc>
      </w:tr>
    </w:tbl>
    <w:p>
      <w:pPr>
        <w:pStyle w:val="Heading2"/>
        <w:jc w:val="right"/>
      </w:pPr>
      <w:r>
        <w:rPr>
          <w:rFonts w:ascii="Arial" w:hAnsi="Arial" w:eastAsia="Arial"/>
          <w:color w:val="D4A853"/>
          <w:sz w:val="28"/>
        </w:rPr>
        <w:t>4.3 هيكل التكاليف</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البند</w:t>
            </w:r>
          </w:p>
        </w:tc>
        <w:tc>
          <w:tcPr>
            <w:tcW w:type="dxa" w:w="4514"/>
            <w:shd w:fill="0A0F1A"/>
          </w:tcPr>
          <w:p>
            <w:pPr>
              <w:jc w:val="right"/>
            </w:pPr>
            <w:r>
              <w:rPr>
                <w:rFonts w:ascii="Arial" w:hAnsi="Arial" w:eastAsia="Arial"/>
                <w:b/>
                <w:color w:val="FFFFFF"/>
              </w:rPr>
              <w:t>النسبة</w:t>
            </w:r>
          </w:p>
        </w:tc>
      </w:tr>
      <w:tr>
        <w:tc>
          <w:tcPr>
            <w:tcW w:type="dxa" w:w="4514"/>
          </w:tcPr>
          <w:p>
            <w:pPr>
              <w:jc w:val="right"/>
            </w:pPr>
            <w:r>
              <w:rPr>
                <w:rFonts w:ascii="Arial" w:hAnsi="Arial" w:eastAsia="Arial"/>
              </w:rPr>
              <w:t>البند</w:t>
            </w:r>
          </w:p>
        </w:tc>
        <w:tc>
          <w:tcPr>
            <w:tcW w:type="dxa" w:w="4514"/>
          </w:tcPr>
          <w:p>
            <w:pPr>
              <w:jc w:val="right"/>
            </w:pPr>
            <w:r>
              <w:rPr>
                <w:rFonts w:ascii="Arial" w:hAnsi="Arial" w:eastAsia="Arial"/>
              </w:rPr>
              <w:t>النسبة من تكلفة المشروع</w:t>
            </w:r>
          </w:p>
        </w:tc>
      </w:tr>
      <w:tr>
        <w:tc>
          <w:tcPr>
            <w:tcW w:type="dxa" w:w="4514"/>
          </w:tcPr>
          <w:p>
            <w:pPr>
              <w:jc w:val="right"/>
            </w:pPr>
            <w:r>
              <w:rPr>
                <w:rFonts w:ascii="Arial" w:hAnsi="Arial" w:eastAsia="Arial"/>
              </w:rPr>
              <w:t>تكاليف التشطيب المباشرة</w:t>
            </w:r>
          </w:p>
        </w:tc>
        <w:tc>
          <w:tcPr>
            <w:tcW w:type="dxa" w:w="4514"/>
          </w:tcPr>
          <w:p>
            <w:pPr>
              <w:jc w:val="right"/>
            </w:pPr>
            <w:r>
              <w:rPr>
                <w:rFonts w:ascii="Arial" w:hAnsi="Arial" w:eastAsia="Arial"/>
              </w:rPr>
              <w:t>55%</w:t>
            </w:r>
          </w:p>
        </w:tc>
      </w:tr>
      <w:tr>
        <w:tc>
          <w:tcPr>
            <w:tcW w:type="dxa" w:w="4514"/>
          </w:tcPr>
          <w:p>
            <w:pPr>
              <w:jc w:val="right"/>
            </w:pPr>
            <w:r>
              <w:rPr>
                <w:rFonts w:ascii="Arial" w:hAnsi="Arial" w:eastAsia="Arial"/>
              </w:rPr>
              <w:t>التراخيص والرسوم البلدية</w:t>
            </w:r>
          </w:p>
        </w:tc>
        <w:tc>
          <w:tcPr>
            <w:tcW w:type="dxa" w:w="4514"/>
          </w:tcPr>
          <w:p>
            <w:pPr>
              <w:jc w:val="right"/>
            </w:pPr>
            <w:r>
              <w:rPr>
                <w:rFonts w:ascii="Arial" w:hAnsi="Arial" w:eastAsia="Arial"/>
              </w:rPr>
              <w:t>4%</w:t>
            </w:r>
          </w:p>
        </w:tc>
      </w:tr>
      <w:tr>
        <w:tc>
          <w:tcPr>
            <w:tcW w:type="dxa" w:w="4514"/>
          </w:tcPr>
          <w:p>
            <w:pPr>
              <w:jc w:val="right"/>
            </w:pPr>
            <w:r>
              <w:rPr>
                <w:rFonts w:ascii="Arial" w:hAnsi="Arial" w:eastAsia="Arial"/>
              </w:rPr>
              <w:t>الاستشارات الهندسية والإشراف</w:t>
            </w:r>
          </w:p>
        </w:tc>
        <w:tc>
          <w:tcPr>
            <w:tcW w:type="dxa" w:w="4514"/>
          </w:tcPr>
          <w:p>
            <w:pPr>
              <w:jc w:val="right"/>
            </w:pPr>
            <w:r>
              <w:rPr>
                <w:rFonts w:ascii="Arial" w:hAnsi="Arial" w:eastAsia="Arial"/>
              </w:rPr>
              <w:t>5%</w:t>
            </w:r>
          </w:p>
        </w:tc>
      </w:tr>
      <w:tr>
        <w:tc>
          <w:tcPr>
            <w:tcW w:type="dxa" w:w="4514"/>
          </w:tcPr>
          <w:p>
            <w:pPr>
              <w:jc w:val="right"/>
            </w:pPr>
            <w:r>
              <w:rPr>
                <w:rFonts w:ascii="Arial" w:hAnsi="Arial" w:eastAsia="Arial"/>
              </w:rPr>
              <w:t>التسويق والمبيعات</w:t>
            </w:r>
          </w:p>
        </w:tc>
        <w:tc>
          <w:tcPr>
            <w:tcW w:type="dxa" w:w="4514"/>
          </w:tcPr>
          <w:p>
            <w:pPr>
              <w:jc w:val="right"/>
            </w:pPr>
            <w:r>
              <w:rPr>
                <w:rFonts w:ascii="Arial" w:hAnsi="Arial" w:eastAsia="Arial"/>
              </w:rPr>
              <w:t>7%</w:t>
            </w:r>
          </w:p>
        </w:tc>
      </w:tr>
      <w:tr>
        <w:tc>
          <w:tcPr>
            <w:tcW w:type="dxa" w:w="4514"/>
          </w:tcPr>
          <w:p>
            <w:pPr>
              <w:jc w:val="right"/>
            </w:pPr>
            <w:r>
              <w:rPr>
                <w:rFonts w:ascii="Arial" w:hAnsi="Arial" w:eastAsia="Arial"/>
              </w:rPr>
              <w:t>احتياطي المخاطر</w:t>
            </w:r>
          </w:p>
        </w:tc>
        <w:tc>
          <w:tcPr>
            <w:tcW w:type="dxa" w:w="4514"/>
          </w:tcPr>
          <w:p>
            <w:pPr>
              <w:jc w:val="right"/>
            </w:pPr>
            <w:r>
              <w:rPr>
                <w:rFonts w:ascii="Arial" w:hAnsi="Arial" w:eastAsia="Arial"/>
              </w:rPr>
              <w:t>10%</w:t>
            </w:r>
          </w:p>
        </w:tc>
      </w:tr>
      <w:tr>
        <w:tc>
          <w:tcPr>
            <w:tcW w:type="dxa" w:w="4514"/>
          </w:tcPr>
          <w:p>
            <w:pPr>
              <w:jc w:val="right"/>
            </w:pPr>
            <w:r>
              <w:rPr>
                <w:rFonts w:ascii="Arial" w:hAnsi="Arial" w:eastAsia="Arial"/>
              </w:rPr>
              <w:t>التكاليف الإدارية التشغيلية</w:t>
            </w:r>
          </w:p>
        </w:tc>
        <w:tc>
          <w:tcPr>
            <w:tcW w:type="dxa" w:w="4514"/>
          </w:tcPr>
          <w:p>
            <w:pPr>
              <w:jc w:val="right"/>
            </w:pPr>
            <w:r>
              <w:rPr>
                <w:rFonts w:ascii="Arial" w:hAnsi="Arial" w:eastAsia="Arial"/>
              </w:rPr>
              <w:t>6%</w:t>
            </w:r>
          </w:p>
        </w:tc>
      </w:tr>
      <w:tr>
        <w:tc>
          <w:tcPr>
            <w:tcW w:type="dxa" w:w="4514"/>
          </w:tcPr>
          <w:p>
            <w:pPr>
              <w:jc w:val="right"/>
            </w:pPr>
            <w:r>
              <w:rPr>
                <w:rFonts w:ascii="Arial" w:hAnsi="Arial" w:eastAsia="Arial"/>
              </w:rPr>
              <w:t>رسوم البيع والنقل</w:t>
            </w:r>
          </w:p>
        </w:tc>
        <w:tc>
          <w:tcPr>
            <w:tcW w:type="dxa" w:w="4514"/>
          </w:tcPr>
          <w:p>
            <w:pPr>
              <w:jc w:val="right"/>
            </w:pPr>
            <w:r>
              <w:rPr>
                <w:rFonts w:ascii="Arial" w:hAnsi="Arial" w:eastAsia="Arial"/>
              </w:rPr>
              <w:t>9%</w:t>
            </w:r>
          </w:p>
        </w:tc>
      </w:tr>
      <w:tr>
        <w:tc>
          <w:tcPr>
            <w:tcW w:type="dxa" w:w="4514"/>
          </w:tcPr>
          <w:p>
            <w:pPr>
              <w:jc w:val="right"/>
            </w:pPr>
            <w:r>
              <w:rPr>
                <w:rFonts w:ascii="Arial" w:hAnsi="Arial" w:eastAsia="Arial"/>
              </w:rPr>
              <w:t>التأمين</w:t>
            </w:r>
          </w:p>
        </w:tc>
        <w:tc>
          <w:tcPr>
            <w:tcW w:type="dxa" w:w="4514"/>
          </w:tcPr>
          <w:p>
            <w:pPr>
              <w:jc w:val="right"/>
            </w:pPr>
            <w:r>
              <w:rPr>
                <w:rFonts w:ascii="Arial" w:hAnsi="Arial" w:eastAsia="Arial"/>
              </w:rPr>
              <w:t>4%</w:t>
            </w:r>
          </w:p>
        </w:tc>
      </w:tr>
    </w:tbl>
    <w:p>
      <w:pPr>
        <w:pStyle w:val="Heading2"/>
        <w:jc w:val="right"/>
      </w:pPr>
      <w:r>
        <w:rPr>
          <w:rFonts w:ascii="Arial" w:hAnsi="Arial" w:eastAsia="Arial"/>
          <w:color w:val="D4A853"/>
          <w:sz w:val="28"/>
        </w:rPr>
        <w:t>4.4 نقاط القوة التنافسية</w:t>
      </w:r>
    </w:p>
    <w:p>
      <w:pPr>
        <w:pStyle w:val="ListBullet"/>
        <w:jc w:val="right"/>
      </w:pPr>
      <w:r>
        <w:rPr>
          <w:rFonts w:ascii="Arial" w:hAnsi="Arial" w:eastAsia="Arial"/>
          <w:sz w:val="22"/>
        </w:rPr>
        <w:t>لا يتطلب النموذج شراء أراضٍ، مما يقلل رأس المال المطلوب للبدء.</w:t>
      </w:r>
    </w:p>
    <w:p>
      <w:pPr>
        <w:pStyle w:val="ListBullet"/>
        <w:jc w:val="right"/>
      </w:pPr>
      <w:r>
        <w:rPr>
          <w:rFonts w:ascii="Arial" w:hAnsi="Arial" w:eastAsia="Arial"/>
          <w:sz w:val="22"/>
        </w:rPr>
        <w:t>سرعة الدخول للسوق مقارنة بالتطوير العقاري التقليدي.</w:t>
      </w:r>
    </w:p>
    <w:p>
      <w:pPr>
        <w:pStyle w:val="ListBullet"/>
        <w:jc w:val="right"/>
      </w:pPr>
      <w:r>
        <w:rPr>
          <w:rFonts w:ascii="Arial" w:hAnsi="Arial" w:eastAsia="Arial"/>
          <w:sz w:val="22"/>
        </w:rPr>
        <w:t>شبكة علاقات واسعة مع مالكين، مصفين، محامين، ووسطاء عقاريين.</w:t>
      </w:r>
    </w:p>
    <w:p>
      <w:pPr>
        <w:pStyle w:val="ListBullet"/>
        <w:jc w:val="right"/>
      </w:pPr>
      <w:r>
        <w:rPr>
          <w:rFonts w:ascii="Arial" w:hAnsi="Arial" w:eastAsia="Arial"/>
          <w:sz w:val="22"/>
        </w:rPr>
        <w:t>الالتزام بالكود السعودي والتأمين، مما يقلل المخاطر القانونية والمالية.</w:t>
      </w:r>
    </w:p>
    <w:p>
      <w:pPr>
        <w:pStyle w:val="ListBullet"/>
        <w:jc w:val="right"/>
      </w:pPr>
      <w:r>
        <w:rPr>
          <w:rFonts w:ascii="Arial" w:hAnsi="Arial" w:eastAsia="Arial"/>
          <w:sz w:val="22"/>
        </w:rPr>
        <w:t>نموذج مالي مرن وممول ذاتياً من المساهمين المؤسسين.</w:t>
      </w:r>
    </w:p>
    <w:p>
      <w:r>
        <w:br w:type="page"/>
      </w:r>
    </w:p>
    <w:p>
      <w:pPr>
        <w:pStyle w:val="Heading1"/>
        <w:jc w:val="right"/>
      </w:pPr>
      <w:r>
        <w:rPr>
          <w:rFonts w:ascii="Arial" w:hAnsi="Arial" w:eastAsia="Arial"/>
          <w:color w:val="003366"/>
          <w:sz w:val="36"/>
        </w:rPr>
        <w:t>5. استراتيجية التسويق والمبيعات</w:t>
      </w:r>
    </w:p>
    <w:p>
      <w:pPr>
        <w:pStyle w:val="Heading2"/>
        <w:jc w:val="right"/>
      </w:pPr>
      <w:r>
        <w:rPr>
          <w:rFonts w:ascii="Arial" w:hAnsi="Arial" w:eastAsia="Arial"/>
          <w:color w:val="D4A853"/>
          <w:sz w:val="28"/>
        </w:rPr>
        <w:t>5.1 استراتيجية التسويق الرقمي</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القناة</w:t>
            </w:r>
          </w:p>
        </w:tc>
        <w:tc>
          <w:tcPr>
            <w:tcW w:type="dxa" w:w="3010"/>
            <w:shd w:fill="0A0F1A"/>
          </w:tcPr>
          <w:p>
            <w:pPr>
              <w:jc w:val="right"/>
            </w:pPr>
            <w:r>
              <w:rPr>
                <w:rFonts w:ascii="Arial" w:hAnsi="Arial" w:eastAsia="Arial"/>
                <w:b/>
                <w:color w:val="FFFFFF"/>
              </w:rPr>
              <w:t>الهدف</w:t>
            </w:r>
          </w:p>
        </w:tc>
        <w:tc>
          <w:tcPr>
            <w:tcW w:type="dxa" w:w="3010"/>
            <w:shd w:fill="0A0F1A"/>
          </w:tcPr>
          <w:p>
            <w:pPr>
              <w:jc w:val="right"/>
            </w:pPr>
            <w:r>
              <w:rPr>
                <w:rFonts w:ascii="Arial" w:hAnsi="Arial" w:eastAsia="Arial"/>
                <w:b/>
                <w:color w:val="FFFFFF"/>
              </w:rPr>
              <w:t>الميزانية الشهرية</w:t>
            </w:r>
          </w:p>
        </w:tc>
      </w:tr>
      <w:tr>
        <w:tc>
          <w:tcPr>
            <w:tcW w:type="dxa" w:w="3010"/>
          </w:tcPr>
          <w:p>
            <w:pPr>
              <w:jc w:val="right"/>
            </w:pPr>
            <w:r>
              <w:rPr>
                <w:rFonts w:ascii="Arial" w:hAnsi="Arial" w:eastAsia="Arial"/>
              </w:rPr>
              <w:t>القناة</w:t>
            </w:r>
          </w:p>
        </w:tc>
        <w:tc>
          <w:tcPr>
            <w:tcW w:type="dxa" w:w="3010"/>
          </w:tcPr>
          <w:p>
            <w:pPr>
              <w:jc w:val="right"/>
            </w:pPr>
            <w:r>
              <w:rPr>
                <w:rFonts w:ascii="Arial" w:hAnsi="Arial" w:eastAsia="Arial"/>
              </w:rPr>
              <w:t>الهدف</w:t>
            </w:r>
          </w:p>
        </w:tc>
        <w:tc>
          <w:tcPr>
            <w:tcW w:type="dxa" w:w="3010"/>
          </w:tcPr>
          <w:p>
            <w:pPr>
              <w:jc w:val="right"/>
            </w:pPr>
            <w:r>
              <w:rPr>
                <w:rFonts w:ascii="Arial" w:hAnsi="Arial" w:eastAsia="Arial"/>
              </w:rPr>
              <w:t>الميزانية الشهرية</w:t>
            </w:r>
          </w:p>
        </w:tc>
      </w:tr>
      <w:tr>
        <w:tc>
          <w:tcPr>
            <w:tcW w:type="dxa" w:w="3010"/>
          </w:tcPr>
          <w:p>
            <w:pPr>
              <w:jc w:val="right"/>
            </w:pPr>
            <w:r>
              <w:rPr>
                <w:rFonts w:ascii="Arial" w:hAnsi="Arial" w:eastAsia="Arial"/>
              </w:rPr>
              <w:t>Google Ads</w:t>
            </w:r>
          </w:p>
        </w:tc>
        <w:tc>
          <w:tcPr>
            <w:tcW w:type="dxa" w:w="3010"/>
          </w:tcPr>
          <w:p>
            <w:pPr>
              <w:jc w:val="right"/>
            </w:pPr>
            <w:r>
              <w:rPr>
                <w:rFonts w:ascii="Arial" w:hAnsi="Arial" w:eastAsia="Arial"/>
              </w:rPr>
              <w:t>الوصول إلى مالكي العقارات غير المكتملة</w:t>
            </w:r>
          </w:p>
        </w:tc>
        <w:tc>
          <w:tcPr>
            <w:tcW w:type="dxa" w:w="3010"/>
          </w:tcPr>
          <w:p>
            <w:pPr>
              <w:jc w:val="right"/>
            </w:pPr>
            <w:r>
              <w:rPr>
                <w:rFonts w:ascii="Arial" w:hAnsi="Arial" w:eastAsia="Arial"/>
              </w:rPr>
              <w:t>10,000 ريال</w:t>
            </w:r>
          </w:p>
        </w:tc>
      </w:tr>
      <w:tr>
        <w:tc>
          <w:tcPr>
            <w:tcW w:type="dxa" w:w="3010"/>
          </w:tcPr>
          <w:p>
            <w:pPr>
              <w:jc w:val="right"/>
            </w:pPr>
            <w:r>
              <w:rPr>
                <w:rFonts w:ascii="Arial" w:hAnsi="Arial" w:eastAsia="Arial"/>
              </w:rPr>
              <w:t>Snapchat Ads</w:t>
            </w:r>
          </w:p>
        </w:tc>
        <w:tc>
          <w:tcPr>
            <w:tcW w:type="dxa" w:w="3010"/>
          </w:tcPr>
          <w:p>
            <w:pPr>
              <w:jc w:val="right"/>
            </w:pPr>
            <w:r>
              <w:rPr>
                <w:rFonts w:ascii="Arial" w:hAnsi="Arial" w:eastAsia="Arial"/>
              </w:rPr>
              <w:t>استهداف الفئة العمرية 25 - 45 سنة</w:t>
            </w:r>
          </w:p>
        </w:tc>
        <w:tc>
          <w:tcPr>
            <w:tcW w:type="dxa" w:w="3010"/>
          </w:tcPr>
          <w:p>
            <w:pPr>
              <w:jc w:val="right"/>
            </w:pPr>
            <w:r>
              <w:rPr>
                <w:rFonts w:ascii="Arial" w:hAnsi="Arial" w:eastAsia="Arial"/>
              </w:rPr>
              <w:t>8,000 ريال</w:t>
            </w:r>
          </w:p>
        </w:tc>
      </w:tr>
      <w:tr>
        <w:tc>
          <w:tcPr>
            <w:tcW w:type="dxa" w:w="3010"/>
          </w:tcPr>
          <w:p>
            <w:pPr>
              <w:jc w:val="right"/>
            </w:pPr>
            <w:r>
              <w:rPr>
                <w:rFonts w:ascii="Arial" w:hAnsi="Arial" w:eastAsia="Arial"/>
              </w:rPr>
              <w:t>Instagram / TikTok</w:t>
            </w:r>
          </w:p>
        </w:tc>
        <w:tc>
          <w:tcPr>
            <w:tcW w:type="dxa" w:w="3010"/>
          </w:tcPr>
          <w:p>
            <w:pPr>
              <w:jc w:val="right"/>
            </w:pPr>
            <w:r>
              <w:rPr>
                <w:rFonts w:ascii="Arial" w:hAnsi="Arial" w:eastAsia="Arial"/>
              </w:rPr>
              <w:t>عرض مشاريع "قبل وبعد"</w:t>
            </w:r>
          </w:p>
        </w:tc>
        <w:tc>
          <w:tcPr>
            <w:tcW w:type="dxa" w:w="3010"/>
          </w:tcPr>
          <w:p>
            <w:pPr>
              <w:jc w:val="right"/>
            </w:pPr>
            <w:r>
              <w:rPr>
                <w:rFonts w:ascii="Arial" w:hAnsi="Arial" w:eastAsia="Arial"/>
              </w:rPr>
              <w:t>5,000 ريال</w:t>
            </w:r>
          </w:p>
        </w:tc>
      </w:tr>
      <w:tr>
        <w:tc>
          <w:tcPr>
            <w:tcW w:type="dxa" w:w="3010"/>
          </w:tcPr>
          <w:p>
            <w:pPr>
              <w:jc w:val="right"/>
            </w:pPr>
            <w:r>
              <w:rPr>
                <w:rFonts w:ascii="Arial" w:hAnsi="Arial" w:eastAsia="Arial"/>
              </w:rPr>
              <w:t>SEO</w:t>
            </w:r>
          </w:p>
        </w:tc>
        <w:tc>
          <w:tcPr>
            <w:tcW w:type="dxa" w:w="3010"/>
          </w:tcPr>
          <w:p>
            <w:pPr>
              <w:jc w:val="right"/>
            </w:pPr>
            <w:r>
              <w:rPr>
                <w:rFonts w:ascii="Arial" w:hAnsi="Arial" w:eastAsia="Arial"/>
              </w:rPr>
              <w:t>الظهور في نتائج البحث عن إحياء المباني</w:t>
            </w:r>
          </w:p>
        </w:tc>
        <w:tc>
          <w:tcPr>
            <w:tcW w:type="dxa" w:w="3010"/>
          </w:tcPr>
          <w:p>
            <w:pPr>
              <w:jc w:val="right"/>
            </w:pPr>
            <w:r>
              <w:rPr>
                <w:rFonts w:ascii="Arial" w:hAnsi="Arial" w:eastAsia="Arial"/>
              </w:rPr>
              <w:t>3,000 ريال</w:t>
            </w:r>
          </w:p>
        </w:tc>
      </w:tr>
      <w:tr>
        <w:tc>
          <w:tcPr>
            <w:tcW w:type="dxa" w:w="3010"/>
          </w:tcPr>
          <w:p>
            <w:pPr>
              <w:jc w:val="right"/>
            </w:pPr>
            <w:r>
              <w:rPr>
                <w:rFonts w:ascii="Arial" w:hAnsi="Arial" w:eastAsia="Arial"/>
              </w:rPr>
              <w:t>LinkedIn</w:t>
            </w:r>
          </w:p>
        </w:tc>
        <w:tc>
          <w:tcPr>
            <w:tcW w:type="dxa" w:w="3010"/>
          </w:tcPr>
          <w:p>
            <w:pPr>
              <w:jc w:val="right"/>
            </w:pPr>
            <w:r>
              <w:rPr>
                <w:rFonts w:ascii="Arial" w:hAnsi="Arial" w:eastAsia="Arial"/>
              </w:rPr>
              <w:t>الوصول إلى المستثمرين ومالكي العقارات</w:t>
            </w:r>
          </w:p>
        </w:tc>
        <w:tc>
          <w:tcPr>
            <w:tcW w:type="dxa" w:w="3010"/>
          </w:tcPr>
          <w:p>
            <w:pPr>
              <w:jc w:val="right"/>
            </w:pPr>
            <w:r>
              <w:rPr>
                <w:rFonts w:ascii="Arial" w:hAnsi="Arial" w:eastAsia="Arial"/>
              </w:rPr>
              <w:t>2,000 ريال</w:t>
            </w:r>
          </w:p>
        </w:tc>
      </w:tr>
    </w:tbl>
    <w:p>
      <w:pPr>
        <w:pStyle w:val="Heading2"/>
        <w:jc w:val="right"/>
      </w:pPr>
      <w:r>
        <w:rPr>
          <w:rFonts w:ascii="Arial" w:hAnsi="Arial" w:eastAsia="Arial"/>
          <w:color w:val="D4A853"/>
          <w:sz w:val="28"/>
        </w:rPr>
        <w:t>5.2 قمع المبيعات</w:t>
      </w:r>
    </w:p>
    <w:p>
      <w:pPr>
        <w:pStyle w:val="ListBullet"/>
        <w:jc w:val="right"/>
      </w:pPr>
      <w:r>
        <w:rPr>
          <w:rFonts w:ascii="Arial" w:hAnsi="Arial" w:eastAsia="Arial"/>
          <w:sz w:val="22"/>
        </w:rPr>
        <w:t>الوعي: الوصول إلى 100,000 شخص شهرياً.</w:t>
      </w:r>
    </w:p>
    <w:p>
      <w:pPr>
        <w:pStyle w:val="ListBullet"/>
        <w:jc w:val="right"/>
      </w:pPr>
      <w:r>
        <w:rPr>
          <w:rFonts w:ascii="Arial" w:hAnsi="Arial" w:eastAsia="Arial"/>
          <w:sz w:val="22"/>
        </w:rPr>
        <w:t>الاهتمام: تحويل 5,000 شخص إلى مهتمين بالخدمة.</w:t>
      </w:r>
    </w:p>
    <w:p>
      <w:pPr>
        <w:pStyle w:val="ListBullet"/>
        <w:jc w:val="right"/>
      </w:pPr>
      <w:r>
        <w:rPr>
          <w:rFonts w:ascii="Arial" w:hAnsi="Arial" w:eastAsia="Arial"/>
          <w:sz w:val="22"/>
        </w:rPr>
        <w:t>التقييم: التواصل مع 500 مالك محتمل شهرياً.</w:t>
      </w:r>
    </w:p>
    <w:p>
      <w:pPr>
        <w:pStyle w:val="ListBullet"/>
        <w:jc w:val="right"/>
      </w:pPr>
      <w:r>
        <w:rPr>
          <w:rFonts w:ascii="Arial" w:hAnsi="Arial" w:eastAsia="Arial"/>
          <w:sz w:val="22"/>
        </w:rPr>
        <w:t>النية: عقد 50 اجتماعاً مبدئياً شهرياً.</w:t>
      </w:r>
    </w:p>
    <w:p>
      <w:pPr>
        <w:pStyle w:val="ListBullet"/>
        <w:jc w:val="right"/>
      </w:pPr>
      <w:r>
        <w:rPr>
          <w:rFonts w:ascii="Arial" w:hAnsi="Arial" w:eastAsia="Arial"/>
          <w:sz w:val="22"/>
        </w:rPr>
        <w:t>الشراء: إبرام 2 - 4 عقود محاصة شهرياً.</w:t>
      </w:r>
    </w:p>
    <w:p>
      <w:pPr>
        <w:pStyle w:val="Heading2"/>
        <w:jc w:val="right"/>
      </w:pPr>
      <w:r>
        <w:rPr>
          <w:rFonts w:ascii="Arial" w:hAnsi="Arial" w:eastAsia="Arial"/>
          <w:color w:val="D4A853"/>
          <w:sz w:val="28"/>
        </w:rPr>
        <w:t>5.3 استراتيجية الوصول إلى المالكين</w:t>
      </w:r>
    </w:p>
    <w:p>
      <w:pPr>
        <w:pStyle w:val="ListBullet"/>
        <w:jc w:val="right"/>
      </w:pPr>
      <w:r>
        <w:rPr>
          <w:rFonts w:ascii="Arial" w:hAnsi="Arial" w:eastAsia="Arial"/>
          <w:sz w:val="22"/>
        </w:rPr>
        <w:t>بناء قاعدة بيانات شاملة للعقارات غير المكتملة في المناطق المستهدفة.</w:t>
      </w:r>
    </w:p>
    <w:p>
      <w:pPr>
        <w:pStyle w:val="ListBullet"/>
        <w:jc w:val="right"/>
      </w:pPr>
      <w:r>
        <w:rPr>
          <w:rFonts w:ascii="Arial" w:hAnsi="Arial" w:eastAsia="Arial"/>
          <w:sz w:val="22"/>
        </w:rPr>
        <w:t>إبرام شراكات استراتيجية مع المصفين والوسطاء العقاريين.</w:t>
      </w:r>
    </w:p>
    <w:p>
      <w:pPr>
        <w:pStyle w:val="ListBullet"/>
        <w:jc w:val="right"/>
      </w:pPr>
      <w:r>
        <w:rPr>
          <w:rFonts w:ascii="Arial" w:hAnsi="Arial" w:eastAsia="Arial"/>
          <w:sz w:val="22"/>
        </w:rPr>
        <w:t>المشاركة في المعارض العقارية السنوية داخل المملكة.</w:t>
      </w:r>
    </w:p>
    <w:p>
      <w:pPr>
        <w:pStyle w:val="ListBullet"/>
        <w:jc w:val="right"/>
      </w:pPr>
      <w:r>
        <w:rPr>
          <w:rFonts w:ascii="Arial" w:hAnsi="Arial" w:eastAsia="Arial"/>
          <w:sz w:val="22"/>
        </w:rPr>
        <w:t>إطلاق حملات توعوية حول فوائد إحياء الأصول غير المكتملة.</w:t>
      </w:r>
    </w:p>
    <w:p>
      <w:r>
        <w:br w:type="page"/>
      </w:r>
    </w:p>
    <w:p>
      <w:pPr>
        <w:pStyle w:val="Heading1"/>
        <w:jc w:val="right"/>
      </w:pPr>
      <w:r>
        <w:rPr>
          <w:rFonts w:ascii="Arial" w:hAnsi="Arial" w:eastAsia="Arial"/>
          <w:color w:val="003366"/>
          <w:sz w:val="36"/>
        </w:rPr>
        <w:t>6. الخطة التشغيلية</w:t>
      </w:r>
    </w:p>
    <w:p>
      <w:pPr>
        <w:pStyle w:val="Heading2"/>
        <w:jc w:val="right"/>
      </w:pPr>
      <w:r>
        <w:rPr>
          <w:rFonts w:ascii="Arial" w:hAnsi="Arial" w:eastAsia="Arial"/>
          <w:color w:val="D4A853"/>
          <w:sz w:val="28"/>
        </w:rPr>
        <w:t>6.1 مراحل المشروع الواحد</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المرحلة</w:t>
            </w:r>
          </w:p>
        </w:tc>
        <w:tc>
          <w:tcPr>
            <w:tcW w:type="dxa" w:w="3010"/>
            <w:shd w:fill="0A0F1A"/>
          </w:tcPr>
          <w:p>
            <w:pPr>
              <w:jc w:val="right"/>
            </w:pPr>
            <w:r>
              <w:rPr>
                <w:rFonts w:ascii="Arial" w:hAnsi="Arial" w:eastAsia="Arial"/>
                <w:b/>
                <w:color w:val="FFFFFF"/>
              </w:rPr>
              <w:t>المدة</w:t>
            </w:r>
          </w:p>
        </w:tc>
        <w:tc>
          <w:tcPr>
            <w:tcW w:type="dxa" w:w="3010"/>
            <w:shd w:fill="0A0F1A"/>
          </w:tcPr>
          <w:p>
            <w:pPr>
              <w:jc w:val="right"/>
            </w:pPr>
            <w:r>
              <w:rPr>
                <w:rFonts w:ascii="Arial" w:hAnsi="Arial" w:eastAsia="Arial"/>
                <w:b/>
                <w:color w:val="FFFFFF"/>
              </w:rPr>
              <w:t>الأنشطة الرئيسية</w:t>
            </w:r>
          </w:p>
        </w:tc>
      </w:tr>
      <w:tr>
        <w:tc>
          <w:tcPr>
            <w:tcW w:type="dxa" w:w="3010"/>
          </w:tcPr>
          <w:p>
            <w:pPr>
              <w:jc w:val="right"/>
            </w:pPr>
            <w:r>
              <w:rPr>
                <w:rFonts w:ascii="Arial" w:hAnsi="Arial" w:eastAsia="Arial"/>
              </w:rPr>
              <w:t>المرحلة</w:t>
            </w:r>
          </w:p>
        </w:tc>
        <w:tc>
          <w:tcPr>
            <w:tcW w:type="dxa" w:w="3010"/>
          </w:tcPr>
          <w:p>
            <w:pPr>
              <w:jc w:val="right"/>
            </w:pPr>
            <w:r>
              <w:rPr>
                <w:rFonts w:ascii="Arial" w:hAnsi="Arial" w:eastAsia="Arial"/>
              </w:rPr>
              <w:t>المدة</w:t>
            </w:r>
          </w:p>
        </w:tc>
        <w:tc>
          <w:tcPr>
            <w:tcW w:type="dxa" w:w="3010"/>
          </w:tcPr>
          <w:p>
            <w:pPr>
              <w:jc w:val="right"/>
            </w:pPr>
            <w:r>
              <w:rPr>
                <w:rFonts w:ascii="Arial" w:hAnsi="Arial" w:eastAsia="Arial"/>
              </w:rPr>
              <w:t>الأنشطة الرئيسية</w:t>
            </w:r>
          </w:p>
        </w:tc>
      </w:tr>
      <w:tr>
        <w:tc>
          <w:tcPr>
            <w:tcW w:type="dxa" w:w="3010"/>
          </w:tcPr>
          <w:p>
            <w:pPr>
              <w:jc w:val="right"/>
            </w:pPr>
            <w:r>
              <w:rPr>
                <w:rFonts w:ascii="Arial" w:hAnsi="Arial" w:eastAsia="Arial"/>
              </w:rPr>
              <w:t>التقييم</w:t>
            </w:r>
          </w:p>
        </w:tc>
        <w:tc>
          <w:tcPr>
            <w:tcW w:type="dxa" w:w="3010"/>
          </w:tcPr>
          <w:p>
            <w:pPr>
              <w:jc w:val="right"/>
            </w:pPr>
            <w:r>
              <w:rPr>
                <w:rFonts w:ascii="Arial" w:hAnsi="Arial" w:eastAsia="Arial"/>
              </w:rPr>
              <w:t>4 أسابيع</w:t>
            </w:r>
          </w:p>
        </w:tc>
        <w:tc>
          <w:tcPr>
            <w:tcW w:type="dxa" w:w="3010"/>
          </w:tcPr>
          <w:p>
            <w:pPr>
              <w:jc w:val="right"/>
            </w:pPr>
            <w:r>
              <w:rPr>
                <w:rFonts w:ascii="Arial" w:hAnsi="Arial" w:eastAsia="Arial"/>
              </w:rPr>
              <w:t>فحص هيكلي، مراجعة قانونية، تقدير تكلفة مبدئي</w:t>
            </w:r>
          </w:p>
        </w:tc>
      </w:tr>
      <w:tr>
        <w:tc>
          <w:tcPr>
            <w:tcW w:type="dxa" w:w="3010"/>
          </w:tcPr>
          <w:p>
            <w:pPr>
              <w:jc w:val="right"/>
            </w:pPr>
            <w:r>
              <w:rPr>
                <w:rFonts w:ascii="Arial" w:hAnsi="Arial" w:eastAsia="Arial"/>
              </w:rPr>
              <w:t>التعاقد</w:t>
            </w:r>
          </w:p>
        </w:tc>
        <w:tc>
          <w:tcPr>
            <w:tcW w:type="dxa" w:w="3010"/>
          </w:tcPr>
          <w:p>
            <w:pPr>
              <w:jc w:val="right"/>
            </w:pPr>
            <w:r>
              <w:rPr>
                <w:rFonts w:ascii="Arial" w:hAnsi="Arial" w:eastAsia="Arial"/>
              </w:rPr>
              <w:t>2 - 4 أسابيع</w:t>
            </w:r>
          </w:p>
        </w:tc>
        <w:tc>
          <w:tcPr>
            <w:tcW w:type="dxa" w:w="3010"/>
          </w:tcPr>
          <w:p>
            <w:pPr>
              <w:jc w:val="right"/>
            </w:pPr>
            <w:r>
              <w:rPr>
                <w:rFonts w:ascii="Arial" w:hAnsi="Arial" w:eastAsia="Arial"/>
              </w:rPr>
              <w:t>صياغة عقد المحاصة، استصدار الموافقات اللازمة</w:t>
            </w:r>
          </w:p>
        </w:tc>
      </w:tr>
      <w:tr>
        <w:tc>
          <w:tcPr>
            <w:tcW w:type="dxa" w:w="3010"/>
          </w:tcPr>
          <w:p>
            <w:pPr>
              <w:jc w:val="right"/>
            </w:pPr>
            <w:r>
              <w:rPr>
                <w:rFonts w:ascii="Arial" w:hAnsi="Arial" w:eastAsia="Arial"/>
              </w:rPr>
              <w:t>التصميم</w:t>
            </w:r>
          </w:p>
        </w:tc>
        <w:tc>
          <w:tcPr>
            <w:tcW w:type="dxa" w:w="3010"/>
          </w:tcPr>
          <w:p>
            <w:pPr>
              <w:jc w:val="right"/>
            </w:pPr>
            <w:r>
              <w:rPr>
                <w:rFonts w:ascii="Arial" w:hAnsi="Arial" w:eastAsia="Arial"/>
              </w:rPr>
              <w:t>4 - 8 أسابيع</w:t>
            </w:r>
          </w:p>
        </w:tc>
        <w:tc>
          <w:tcPr>
            <w:tcW w:type="dxa" w:w="3010"/>
          </w:tcPr>
          <w:p>
            <w:pPr>
              <w:jc w:val="right"/>
            </w:pPr>
            <w:r>
              <w:rPr>
                <w:rFonts w:ascii="Arial" w:hAnsi="Arial" w:eastAsia="Arial"/>
              </w:rPr>
              <w:t>إعداد التصاميم واستصدار التراخيص البلدية</w:t>
            </w:r>
          </w:p>
        </w:tc>
      </w:tr>
      <w:tr>
        <w:tc>
          <w:tcPr>
            <w:tcW w:type="dxa" w:w="3010"/>
          </w:tcPr>
          <w:p>
            <w:pPr>
              <w:jc w:val="right"/>
            </w:pPr>
            <w:r>
              <w:rPr>
                <w:rFonts w:ascii="Arial" w:hAnsi="Arial" w:eastAsia="Arial"/>
              </w:rPr>
              <w:t>التشطيب</w:t>
            </w:r>
          </w:p>
        </w:tc>
        <w:tc>
          <w:tcPr>
            <w:tcW w:type="dxa" w:w="3010"/>
          </w:tcPr>
          <w:p>
            <w:pPr>
              <w:jc w:val="right"/>
            </w:pPr>
            <w:r>
              <w:rPr>
                <w:rFonts w:ascii="Arial" w:hAnsi="Arial" w:eastAsia="Arial"/>
              </w:rPr>
              <w:t>16 - 24 أسبوع</w:t>
            </w:r>
          </w:p>
        </w:tc>
        <w:tc>
          <w:tcPr>
            <w:tcW w:type="dxa" w:w="3010"/>
          </w:tcPr>
          <w:p>
            <w:pPr>
              <w:jc w:val="right"/>
            </w:pPr>
            <w:r>
              <w:rPr>
                <w:rFonts w:ascii="Arial" w:hAnsi="Arial" w:eastAsia="Arial"/>
              </w:rPr>
              <w:t>اختيار مقاول، إشراف يومي، تفتيش دوري</w:t>
            </w:r>
          </w:p>
        </w:tc>
      </w:tr>
      <w:tr>
        <w:tc>
          <w:tcPr>
            <w:tcW w:type="dxa" w:w="3010"/>
          </w:tcPr>
          <w:p>
            <w:pPr>
              <w:jc w:val="right"/>
            </w:pPr>
            <w:r>
              <w:rPr>
                <w:rFonts w:ascii="Arial" w:hAnsi="Arial" w:eastAsia="Arial"/>
              </w:rPr>
              <w:t>التسويق والبيع</w:t>
            </w:r>
          </w:p>
        </w:tc>
        <w:tc>
          <w:tcPr>
            <w:tcW w:type="dxa" w:w="3010"/>
          </w:tcPr>
          <w:p>
            <w:pPr>
              <w:jc w:val="right"/>
            </w:pPr>
            <w:r>
              <w:rPr>
                <w:rFonts w:ascii="Arial" w:hAnsi="Arial" w:eastAsia="Arial"/>
              </w:rPr>
              <w:t>12 - 24 أسبوع</w:t>
            </w:r>
          </w:p>
        </w:tc>
        <w:tc>
          <w:tcPr>
            <w:tcW w:type="dxa" w:w="3010"/>
          </w:tcPr>
          <w:p>
            <w:pPr>
              <w:jc w:val="right"/>
            </w:pPr>
            <w:r>
              <w:rPr>
                <w:rFonts w:ascii="Arial" w:hAnsi="Arial" w:eastAsia="Arial"/>
              </w:rPr>
              <w:t>عرض الوحدات، استقبال العملاء، عقود البيع</w:t>
            </w:r>
          </w:p>
        </w:tc>
      </w:tr>
      <w:tr>
        <w:tc>
          <w:tcPr>
            <w:tcW w:type="dxa" w:w="3010"/>
          </w:tcPr>
          <w:p>
            <w:pPr>
              <w:jc w:val="right"/>
            </w:pPr>
            <w:r>
              <w:rPr>
                <w:rFonts w:ascii="Arial" w:hAnsi="Arial" w:eastAsia="Arial"/>
              </w:rPr>
              <w:t>التسليم والتسوية</w:t>
            </w:r>
          </w:p>
        </w:tc>
        <w:tc>
          <w:tcPr>
            <w:tcW w:type="dxa" w:w="3010"/>
          </w:tcPr>
          <w:p>
            <w:pPr>
              <w:jc w:val="right"/>
            </w:pPr>
            <w:r>
              <w:rPr>
                <w:rFonts w:ascii="Arial" w:hAnsi="Arial" w:eastAsia="Arial"/>
              </w:rPr>
              <w:t>4 - 8 أسابيع</w:t>
            </w:r>
          </w:p>
        </w:tc>
        <w:tc>
          <w:tcPr>
            <w:tcW w:type="dxa" w:w="3010"/>
          </w:tcPr>
          <w:p>
            <w:pPr>
              <w:jc w:val="right"/>
            </w:pPr>
            <w:r>
              <w:rPr>
                <w:rFonts w:ascii="Arial" w:hAnsi="Arial" w:eastAsia="Arial"/>
              </w:rPr>
              <w:t>تسليم الوحدات، نقل الملكية، توزيع الأرباح</w:t>
            </w:r>
          </w:p>
        </w:tc>
      </w:tr>
    </w:tbl>
    <w:p>
      <w:pPr>
        <w:pStyle w:val="Heading2"/>
        <w:jc w:val="right"/>
      </w:pPr>
      <w:r>
        <w:rPr>
          <w:rFonts w:ascii="Arial" w:hAnsi="Arial" w:eastAsia="Arial"/>
          <w:color w:val="D4A853"/>
          <w:sz w:val="28"/>
        </w:rPr>
        <w:t>6.2 مؤشرات الأداء الرئيسية (KPIs)</w:t>
      </w:r>
    </w:p>
    <w:tbl>
      <w:tblPr>
        <w:tblStyle w:val="LightGrid-Accent1"/>
        <w:tblW w:type="auto" w:w="0"/>
        <w:jc w:val="right"/>
        <w:tblLayout w:type="autofit"/>
        <w:tblLook w:firstColumn="1" w:firstRow="1" w:lastColumn="0" w:lastRow="0" w:noHBand="0" w:noVBand="1" w:val="04A0"/>
      </w:tblPr>
      <w:tblGrid>
        <w:gridCol w:w="2257"/>
        <w:gridCol w:w="2257"/>
        <w:gridCol w:w="2257"/>
        <w:gridCol w:w="2257"/>
      </w:tblGrid>
      <w:tr>
        <w:tc>
          <w:tcPr>
            <w:tcW w:type="dxa" w:w="2257"/>
            <w:shd w:fill="0A0F1A"/>
          </w:tcPr>
          <w:p>
            <w:pPr>
              <w:jc w:val="right"/>
            </w:pPr>
            <w:r>
              <w:rPr>
                <w:rFonts w:ascii="Arial" w:hAnsi="Arial" w:eastAsia="Arial"/>
                <w:b/>
                <w:color w:val="FFFFFF"/>
              </w:rPr>
              <w:t>المؤشر</w:t>
            </w:r>
          </w:p>
        </w:tc>
        <w:tc>
          <w:tcPr>
            <w:tcW w:type="dxa" w:w="2257"/>
            <w:shd w:fill="0A0F1A"/>
          </w:tcPr>
          <w:p>
            <w:pPr>
              <w:jc w:val="right"/>
            </w:pPr>
            <w:r>
              <w:rPr>
                <w:rFonts w:ascii="Arial" w:hAnsi="Arial" w:eastAsia="Arial"/>
                <w:b/>
                <w:color w:val="FFFFFF"/>
              </w:rPr>
              <w:t>الهدف</w:t>
            </w:r>
          </w:p>
        </w:tc>
        <w:tc>
          <w:tcPr>
            <w:tcW w:type="dxa" w:w="2257"/>
            <w:shd w:fill="0A0F1A"/>
          </w:tcPr>
          <w:p>
            <w:pPr>
              <w:jc w:val="right"/>
            </w:pPr>
            <w:r>
              <w:rPr>
                <w:rFonts w:ascii="Arial" w:hAnsi="Arial" w:eastAsia="Arial"/>
                <w:b/>
                <w:color w:val="FFFFFF"/>
              </w:rPr>
              <w:t>التحذير</w:t>
            </w:r>
          </w:p>
        </w:tc>
        <w:tc>
          <w:tcPr>
            <w:tcW w:type="dxa" w:w="2257"/>
            <w:shd w:fill="0A0F1A"/>
          </w:tcPr>
          <w:p>
            <w:pPr>
              <w:jc w:val="right"/>
            </w:pPr>
            <w:r>
              <w:rPr>
                <w:rFonts w:ascii="Arial" w:hAnsi="Arial" w:eastAsia="Arial"/>
                <w:b/>
                <w:color w:val="FFFFFF"/>
              </w:rPr>
              <w:t>الخطر</w:t>
            </w:r>
          </w:p>
        </w:tc>
      </w:tr>
      <w:tr>
        <w:tc>
          <w:tcPr>
            <w:tcW w:type="dxa" w:w="2257"/>
          </w:tcPr>
          <w:p>
            <w:pPr>
              <w:jc w:val="right"/>
            </w:pPr>
            <w:r>
              <w:rPr>
                <w:rFonts w:ascii="Arial" w:hAnsi="Arial" w:eastAsia="Arial"/>
              </w:rPr>
              <w:t>المؤشر</w:t>
            </w:r>
          </w:p>
        </w:tc>
        <w:tc>
          <w:tcPr>
            <w:tcW w:type="dxa" w:w="2257"/>
          </w:tcPr>
          <w:p>
            <w:pPr>
              <w:jc w:val="right"/>
            </w:pPr>
            <w:r>
              <w:rPr>
                <w:rFonts w:ascii="Arial" w:hAnsi="Arial" w:eastAsia="Arial"/>
              </w:rPr>
              <w:t>الهدف</w:t>
            </w:r>
          </w:p>
        </w:tc>
        <w:tc>
          <w:tcPr>
            <w:tcW w:type="dxa" w:w="2257"/>
          </w:tcPr>
          <w:p>
            <w:pPr>
              <w:jc w:val="right"/>
            </w:pPr>
            <w:r>
              <w:rPr>
                <w:rFonts w:ascii="Arial" w:hAnsi="Arial" w:eastAsia="Arial"/>
              </w:rPr>
              <w:t>التحذير</w:t>
            </w:r>
          </w:p>
        </w:tc>
        <w:tc>
          <w:tcPr>
            <w:tcW w:type="dxa" w:w="2257"/>
          </w:tcPr>
          <w:p>
            <w:pPr>
              <w:jc w:val="right"/>
            </w:pPr>
            <w:r>
              <w:rPr>
                <w:rFonts w:ascii="Arial" w:hAnsi="Arial" w:eastAsia="Arial"/>
              </w:rPr>
              <w:t>الخطر</w:t>
            </w:r>
          </w:p>
        </w:tc>
      </w:tr>
      <w:tr>
        <w:tc>
          <w:tcPr>
            <w:tcW w:type="dxa" w:w="2257"/>
          </w:tcPr>
          <w:p>
            <w:pPr>
              <w:jc w:val="right"/>
            </w:pPr>
            <w:r>
              <w:rPr>
                <w:rFonts w:ascii="Arial" w:hAnsi="Arial" w:eastAsia="Arial"/>
              </w:rPr>
              <w:t>نسبة إنجاز التشطيب</w:t>
            </w:r>
          </w:p>
        </w:tc>
        <w:tc>
          <w:tcPr>
            <w:tcW w:type="dxa" w:w="2257"/>
          </w:tcPr>
          <w:p>
            <w:pPr>
              <w:jc w:val="right"/>
            </w:pPr>
            <w:r>
              <w:rPr>
                <w:rFonts w:ascii="Arial" w:hAnsi="Arial" w:eastAsia="Arial"/>
              </w:rPr>
              <w:t>أكثر من 80% في الشهر الرابع</w:t>
            </w:r>
          </w:p>
        </w:tc>
        <w:tc>
          <w:tcPr>
            <w:tcW w:type="dxa" w:w="2257"/>
          </w:tcPr>
          <w:p>
            <w:pPr>
              <w:jc w:val="right"/>
            </w:pPr>
            <w:r>
              <w:rPr>
                <w:rFonts w:ascii="Arial" w:hAnsi="Arial" w:eastAsia="Arial"/>
              </w:rPr>
              <w:t>أقل من 60%</w:t>
            </w:r>
          </w:p>
        </w:tc>
        <w:tc>
          <w:tcPr>
            <w:tcW w:type="dxa" w:w="2257"/>
          </w:tcPr>
          <w:p>
            <w:pPr>
              <w:jc w:val="right"/>
            </w:pPr>
            <w:r>
              <w:rPr>
                <w:rFonts w:ascii="Arial" w:hAnsi="Arial" w:eastAsia="Arial"/>
              </w:rPr>
              <w:t>تأخر المقاول</w:t>
            </w:r>
          </w:p>
        </w:tc>
      </w:tr>
      <w:tr>
        <w:tc>
          <w:tcPr>
            <w:tcW w:type="dxa" w:w="2257"/>
          </w:tcPr>
          <w:p>
            <w:pPr>
              <w:jc w:val="right"/>
            </w:pPr>
            <w:r>
              <w:rPr>
                <w:rFonts w:ascii="Arial" w:hAnsi="Arial" w:eastAsia="Arial"/>
              </w:rPr>
              <w:t>معدل بيع الوحدات</w:t>
            </w:r>
          </w:p>
        </w:tc>
        <w:tc>
          <w:tcPr>
            <w:tcW w:type="dxa" w:w="2257"/>
          </w:tcPr>
          <w:p>
            <w:pPr>
              <w:jc w:val="right"/>
            </w:pPr>
            <w:r>
              <w:rPr>
                <w:rFonts w:ascii="Arial" w:hAnsi="Arial" w:eastAsia="Arial"/>
              </w:rPr>
              <w:t>أكثر من 30% في الشهر الثاني</w:t>
            </w:r>
          </w:p>
        </w:tc>
        <w:tc>
          <w:tcPr>
            <w:tcW w:type="dxa" w:w="2257"/>
          </w:tcPr>
          <w:p>
            <w:pPr>
              <w:jc w:val="right"/>
            </w:pPr>
            <w:r>
              <w:rPr>
                <w:rFonts w:ascii="Arial" w:hAnsi="Arial" w:eastAsia="Arial"/>
              </w:rPr>
              <w:t>أقل من 10%</w:t>
            </w:r>
          </w:p>
        </w:tc>
        <w:tc>
          <w:tcPr>
            <w:tcW w:type="dxa" w:w="2257"/>
          </w:tcPr>
          <w:p>
            <w:pPr>
              <w:jc w:val="right"/>
            </w:pPr>
            <w:r>
              <w:rPr>
                <w:rFonts w:ascii="Arial" w:hAnsi="Arial" w:eastAsia="Arial"/>
              </w:rPr>
              <w:t>ضعف الطلب</w:t>
            </w:r>
          </w:p>
        </w:tc>
      </w:tr>
      <w:tr>
        <w:tc>
          <w:tcPr>
            <w:tcW w:type="dxa" w:w="2257"/>
          </w:tcPr>
          <w:p>
            <w:pPr>
              <w:jc w:val="right"/>
            </w:pPr>
            <w:r>
              <w:rPr>
                <w:rFonts w:ascii="Arial" w:hAnsi="Arial" w:eastAsia="Arial"/>
              </w:rPr>
              <w:t>تكلفة التشطيب مقارنة بالمتوقع</w:t>
            </w:r>
          </w:p>
        </w:tc>
        <w:tc>
          <w:tcPr>
            <w:tcW w:type="dxa" w:w="2257"/>
          </w:tcPr>
          <w:p>
            <w:pPr>
              <w:jc w:val="right"/>
            </w:pPr>
            <w:r>
              <w:rPr>
                <w:rFonts w:ascii="Arial" w:hAnsi="Arial" w:eastAsia="Arial"/>
              </w:rPr>
              <w:t>أقل من 105%</w:t>
            </w:r>
          </w:p>
        </w:tc>
        <w:tc>
          <w:tcPr>
            <w:tcW w:type="dxa" w:w="2257"/>
          </w:tcPr>
          <w:p>
            <w:pPr>
              <w:jc w:val="right"/>
            </w:pPr>
            <w:r>
              <w:rPr>
                <w:rFonts w:ascii="Arial" w:hAnsi="Arial" w:eastAsia="Arial"/>
              </w:rPr>
              <w:t>أكثر من 115%</w:t>
            </w:r>
          </w:p>
        </w:tc>
        <w:tc>
          <w:tcPr>
            <w:tcW w:type="dxa" w:w="2257"/>
          </w:tcPr>
          <w:p>
            <w:pPr>
              <w:jc w:val="right"/>
            </w:pPr>
            <w:r>
              <w:rPr>
                <w:rFonts w:ascii="Arial" w:hAnsi="Arial" w:eastAsia="Arial"/>
              </w:rPr>
              <w:t>عيوب مخفية</w:t>
            </w:r>
          </w:p>
        </w:tc>
      </w:tr>
      <w:tr>
        <w:tc>
          <w:tcPr>
            <w:tcW w:type="dxa" w:w="2257"/>
          </w:tcPr>
          <w:p>
            <w:pPr>
              <w:jc w:val="right"/>
            </w:pPr>
            <w:r>
              <w:rPr>
                <w:rFonts w:ascii="Arial" w:hAnsi="Arial" w:eastAsia="Arial"/>
              </w:rPr>
              <w:t>رضا العملاء (NPS)</w:t>
            </w:r>
          </w:p>
        </w:tc>
        <w:tc>
          <w:tcPr>
            <w:tcW w:type="dxa" w:w="2257"/>
          </w:tcPr>
          <w:p>
            <w:pPr>
              <w:jc w:val="right"/>
            </w:pPr>
            <w:r>
              <w:rPr>
                <w:rFonts w:ascii="Arial" w:hAnsi="Arial" w:eastAsia="Arial"/>
              </w:rPr>
              <w:t>أكثر من 50</w:t>
            </w:r>
          </w:p>
        </w:tc>
        <w:tc>
          <w:tcPr>
            <w:tcW w:type="dxa" w:w="2257"/>
          </w:tcPr>
          <w:p>
            <w:pPr>
              <w:jc w:val="right"/>
            </w:pPr>
            <w:r>
              <w:rPr>
                <w:rFonts w:ascii="Arial" w:hAnsi="Arial" w:eastAsia="Arial"/>
              </w:rPr>
              <w:t>أقل من 30</w:t>
            </w:r>
          </w:p>
        </w:tc>
        <w:tc>
          <w:tcPr>
            <w:tcW w:type="dxa" w:w="2257"/>
          </w:tcPr>
          <w:p>
            <w:pPr>
              <w:jc w:val="right"/>
            </w:pPr>
            <w:r>
              <w:rPr>
                <w:rFonts w:ascii="Arial" w:hAnsi="Arial" w:eastAsia="Arial"/>
              </w:rPr>
              <w:t>مشاكل في الجودة</w:t>
            </w:r>
          </w:p>
        </w:tc>
      </w:tr>
      <w:tr>
        <w:tc>
          <w:tcPr>
            <w:tcW w:type="dxa" w:w="2257"/>
          </w:tcPr>
          <w:p>
            <w:pPr>
              <w:jc w:val="right"/>
            </w:pPr>
            <w:r>
              <w:rPr>
                <w:rFonts w:ascii="Arial" w:hAnsi="Arial" w:eastAsia="Arial"/>
              </w:rPr>
              <w:t>مدة البيع</w:t>
            </w:r>
          </w:p>
        </w:tc>
        <w:tc>
          <w:tcPr>
            <w:tcW w:type="dxa" w:w="2257"/>
          </w:tcPr>
          <w:p>
            <w:pPr>
              <w:jc w:val="right"/>
            </w:pPr>
            <w:r>
              <w:rPr>
                <w:rFonts w:ascii="Arial" w:hAnsi="Arial" w:eastAsia="Arial"/>
              </w:rPr>
              <w:t>أقل من 6 أشهر</w:t>
            </w:r>
          </w:p>
        </w:tc>
        <w:tc>
          <w:tcPr>
            <w:tcW w:type="dxa" w:w="2257"/>
          </w:tcPr>
          <w:p>
            <w:pPr>
              <w:jc w:val="right"/>
            </w:pPr>
            <w:r>
              <w:rPr>
                <w:rFonts w:ascii="Arial" w:hAnsi="Arial" w:eastAsia="Arial"/>
              </w:rPr>
              <w:t>أكثر من 9 أشهر</w:t>
            </w:r>
          </w:p>
        </w:tc>
        <w:tc>
          <w:tcPr>
            <w:tcW w:type="dxa" w:w="2257"/>
          </w:tcPr>
          <w:p>
            <w:pPr>
              <w:jc w:val="right"/>
            </w:pPr>
            <w:r>
              <w:rPr>
                <w:rFonts w:ascii="Arial" w:hAnsi="Arial" w:eastAsia="Arial"/>
              </w:rPr>
              <w:t>ركود في السوق</w:t>
            </w:r>
          </w:p>
        </w:tc>
      </w:tr>
    </w:tbl>
    <w:p>
      <w:pPr>
        <w:pStyle w:val="Heading2"/>
        <w:jc w:val="right"/>
      </w:pPr>
      <w:r>
        <w:rPr>
          <w:rFonts w:ascii="Arial" w:hAnsi="Arial" w:eastAsia="Arial"/>
          <w:color w:val="D4A853"/>
          <w:sz w:val="28"/>
        </w:rPr>
        <w:t>6.3 نظام الجودة</w:t>
      </w:r>
    </w:p>
    <w:p>
      <w:pPr>
        <w:pStyle w:val="ListBullet"/>
        <w:jc w:val="right"/>
      </w:pPr>
      <w:r>
        <w:rPr>
          <w:rFonts w:ascii="Arial" w:hAnsi="Arial" w:eastAsia="Arial"/>
          <w:sz w:val="22"/>
        </w:rPr>
        <w:t>الالتزام الكامل بكود البناء السعودي في جميع مراحل التنفيذ.</w:t>
      </w:r>
    </w:p>
    <w:p>
      <w:pPr>
        <w:pStyle w:val="ListBullet"/>
        <w:jc w:val="right"/>
      </w:pPr>
      <w:r>
        <w:rPr>
          <w:rFonts w:ascii="Arial" w:hAnsi="Arial" w:eastAsia="Arial"/>
          <w:sz w:val="22"/>
        </w:rPr>
        <w:t>إجراء فحوصات جودة دورية في كل مرحلة من مراحل التشطيب.</w:t>
      </w:r>
    </w:p>
    <w:p>
      <w:pPr>
        <w:pStyle w:val="ListBullet"/>
        <w:jc w:val="right"/>
      </w:pPr>
      <w:r>
        <w:rPr>
          <w:rFonts w:ascii="Arial" w:hAnsi="Arial" w:eastAsia="Arial"/>
          <w:sz w:val="22"/>
        </w:rPr>
        <w:t>توثيق جميع المواد المستخدمة وشهادات المطابقة الخاصة بها.</w:t>
      </w:r>
    </w:p>
    <w:p>
      <w:pPr>
        <w:pStyle w:val="ListBullet"/>
        <w:jc w:val="right"/>
      </w:pPr>
      <w:r>
        <w:rPr>
          <w:rFonts w:ascii="Arial" w:hAnsi="Arial" w:eastAsia="Arial"/>
          <w:sz w:val="22"/>
        </w:rPr>
        <w:t>تسليم المشروع بملف فني وقانوني كامل للمالك والمشتري.</w:t>
      </w:r>
    </w:p>
    <w:p>
      <w:r>
        <w:br w:type="page"/>
      </w:r>
    </w:p>
    <w:p>
      <w:pPr>
        <w:pStyle w:val="Heading1"/>
        <w:jc w:val="right"/>
      </w:pPr>
      <w:r>
        <w:rPr>
          <w:rFonts w:ascii="Arial" w:hAnsi="Arial" w:eastAsia="Arial"/>
          <w:color w:val="003366"/>
          <w:sz w:val="36"/>
        </w:rPr>
        <w:t>7. الفريق الإداري والتنظيمي</w:t>
      </w:r>
    </w:p>
    <w:p>
      <w:pPr>
        <w:pStyle w:val="Heading2"/>
        <w:jc w:val="right"/>
      </w:pPr>
      <w:r>
        <w:rPr>
          <w:rFonts w:ascii="Arial" w:hAnsi="Arial" w:eastAsia="Arial"/>
          <w:color w:val="D4A853"/>
          <w:sz w:val="28"/>
        </w:rPr>
        <w:t>7.1 الهيكل التنظيمي</w:t>
      </w:r>
    </w:p>
    <w:p>
      <w:pPr>
        <w:jc w:val="right"/>
      </w:pPr>
      <w:r>
        <w:rPr>
          <w:rFonts w:ascii="Arial" w:hAnsi="Arial" w:eastAsia="Arial"/>
          <w:b w:val="0"/>
          <w:i w:val="0"/>
          <w:color w:val="000000"/>
          <w:sz w:val="24"/>
        </w:rPr>
        <w:t>تم تصميم الهيكل الإداري ليكون مرناً وفعالاً، مع بدء تشغيلي يعتمد على 15 موظفاً في السنوات الأولى، مع إمكانية التوسع تبعاً لنمو المحفظة.</w:t>
      </w:r>
    </w:p>
    <w:p>
      <w:pPr>
        <w:pStyle w:val="Heading2"/>
        <w:jc w:val="right"/>
      </w:pPr>
      <w:r>
        <w:rPr>
          <w:rFonts w:ascii="Arial" w:hAnsi="Arial" w:eastAsia="Arial"/>
          <w:color w:val="D4A853"/>
          <w:sz w:val="28"/>
        </w:rPr>
        <w:t>7.2 الأدوار الإدارية الرئيسية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الدور</w:t>
            </w:r>
          </w:p>
        </w:tc>
        <w:tc>
          <w:tcPr>
            <w:tcW w:type="dxa" w:w="4514"/>
            <w:shd w:fill="0A0F1A"/>
          </w:tcPr>
          <w:p>
            <w:pPr>
              <w:jc w:val="right"/>
            </w:pPr>
            <w:r>
              <w:rPr>
                <w:rFonts w:ascii="Arial" w:hAnsi="Arial" w:eastAsia="Arial"/>
                <w:b/>
                <w:color w:val="FFFFFF"/>
              </w:rPr>
              <w:t>المسؤوليات الرئيسية</w:t>
            </w:r>
          </w:p>
        </w:tc>
      </w:tr>
      <w:tr>
        <w:tc>
          <w:tcPr>
            <w:tcW w:type="dxa" w:w="4514"/>
          </w:tcPr>
          <w:p>
            <w:pPr>
              <w:jc w:val="right"/>
            </w:pPr>
            <w:r>
              <w:rPr>
                <w:rFonts w:ascii="Arial" w:hAnsi="Arial" w:eastAsia="Arial"/>
              </w:rPr>
              <w:t>الدور</w:t>
            </w:r>
          </w:p>
        </w:tc>
        <w:tc>
          <w:tcPr>
            <w:tcW w:type="dxa" w:w="4514"/>
          </w:tcPr>
          <w:p>
            <w:pPr>
              <w:jc w:val="right"/>
            </w:pPr>
            <w:r>
              <w:rPr>
                <w:rFonts w:ascii="Arial" w:hAnsi="Arial" w:eastAsia="Arial"/>
              </w:rPr>
              <w:t>المسؤوليات الرئيسية</w:t>
            </w:r>
          </w:p>
        </w:tc>
      </w:tr>
      <w:tr>
        <w:tc>
          <w:tcPr>
            <w:tcW w:type="dxa" w:w="4514"/>
          </w:tcPr>
          <w:p>
            <w:pPr>
              <w:jc w:val="right"/>
            </w:pPr>
            <w:r>
              <w:rPr>
                <w:rFonts w:ascii="Arial" w:hAnsi="Arial" w:eastAsia="Arial"/>
              </w:rPr>
              <w:t>الرئيس التنفيذي</w:t>
            </w:r>
          </w:p>
        </w:tc>
        <w:tc>
          <w:tcPr>
            <w:tcW w:type="dxa" w:w="4514"/>
          </w:tcPr>
          <w:p>
            <w:pPr>
              <w:jc w:val="right"/>
            </w:pPr>
            <w:r>
              <w:rPr>
                <w:rFonts w:ascii="Arial" w:hAnsi="Arial" w:eastAsia="Arial"/>
              </w:rPr>
              <w:t>وضع الاستراتيجية العامة، إدارة علاقات المستثمرين، اتخاذ القرارات الكبرى</w:t>
            </w:r>
          </w:p>
        </w:tc>
      </w:tr>
      <w:tr>
        <w:tc>
          <w:tcPr>
            <w:tcW w:type="dxa" w:w="4514"/>
          </w:tcPr>
          <w:p>
            <w:pPr>
              <w:jc w:val="right"/>
            </w:pPr>
            <w:r>
              <w:rPr>
                <w:rFonts w:ascii="Arial" w:hAnsi="Arial" w:eastAsia="Arial"/>
              </w:rPr>
              <w:t>المدير التشغيلي</w:t>
            </w:r>
          </w:p>
        </w:tc>
        <w:tc>
          <w:tcPr>
            <w:tcW w:type="dxa" w:w="4514"/>
          </w:tcPr>
          <w:p>
            <w:pPr>
              <w:jc w:val="right"/>
            </w:pPr>
            <w:r>
              <w:rPr>
                <w:rFonts w:ascii="Arial" w:hAnsi="Arial" w:eastAsia="Arial"/>
              </w:rPr>
              <w:t>إدارة المشاريع، التنسيق مع المقاولين، ضمان جودة التنفيذ</w:t>
            </w:r>
          </w:p>
        </w:tc>
      </w:tr>
      <w:tr>
        <w:tc>
          <w:tcPr>
            <w:tcW w:type="dxa" w:w="4514"/>
          </w:tcPr>
          <w:p>
            <w:pPr>
              <w:jc w:val="right"/>
            </w:pPr>
            <w:r>
              <w:rPr>
                <w:rFonts w:ascii="Arial" w:hAnsi="Arial" w:eastAsia="Arial"/>
              </w:rPr>
              <w:t>المدير المالي</w:t>
            </w:r>
          </w:p>
        </w:tc>
        <w:tc>
          <w:tcPr>
            <w:tcW w:type="dxa" w:w="4514"/>
          </w:tcPr>
          <w:p>
            <w:pPr>
              <w:jc w:val="right"/>
            </w:pPr>
            <w:r>
              <w:rPr>
                <w:rFonts w:ascii="Arial" w:hAnsi="Arial" w:eastAsia="Arial"/>
              </w:rPr>
              <w:t>إدارة التدفقات النقدية، إعداد التقارير المالية، التخطيط المالي</w:t>
            </w:r>
          </w:p>
        </w:tc>
      </w:tr>
      <w:tr>
        <w:tc>
          <w:tcPr>
            <w:tcW w:type="dxa" w:w="4514"/>
          </w:tcPr>
          <w:p>
            <w:pPr>
              <w:jc w:val="right"/>
            </w:pPr>
            <w:r>
              <w:rPr>
                <w:rFonts w:ascii="Arial" w:hAnsi="Arial" w:eastAsia="Arial"/>
              </w:rPr>
              <w:t>المدير التجاري</w:t>
            </w:r>
          </w:p>
        </w:tc>
        <w:tc>
          <w:tcPr>
            <w:tcW w:type="dxa" w:w="4514"/>
          </w:tcPr>
          <w:p>
            <w:pPr>
              <w:jc w:val="right"/>
            </w:pPr>
            <w:r>
              <w:rPr>
                <w:rFonts w:ascii="Arial" w:hAnsi="Arial" w:eastAsia="Arial"/>
              </w:rPr>
              <w:t>إدارة التسويق والمبيعات، بناء علاقات المالكين، تطوير الأعمال</w:t>
            </w:r>
          </w:p>
        </w:tc>
      </w:tr>
      <w:tr>
        <w:tc>
          <w:tcPr>
            <w:tcW w:type="dxa" w:w="4514"/>
          </w:tcPr>
          <w:p>
            <w:pPr>
              <w:jc w:val="right"/>
            </w:pPr>
            <w:r>
              <w:rPr>
                <w:rFonts w:ascii="Arial" w:hAnsi="Arial" w:eastAsia="Arial"/>
              </w:rPr>
              <w:t>المدير القانوني</w:t>
            </w:r>
          </w:p>
        </w:tc>
        <w:tc>
          <w:tcPr>
            <w:tcW w:type="dxa" w:w="4514"/>
          </w:tcPr>
          <w:p>
            <w:pPr>
              <w:jc w:val="right"/>
            </w:pPr>
            <w:r>
              <w:rPr>
                <w:rFonts w:ascii="Arial" w:hAnsi="Arial" w:eastAsia="Arial"/>
              </w:rPr>
              <w:t>صياغة العقود، ضمان الامتثال، حل النزاعات</w:t>
            </w:r>
          </w:p>
        </w:tc>
      </w:tr>
      <w:tr>
        <w:tc>
          <w:tcPr>
            <w:tcW w:type="dxa" w:w="4514"/>
          </w:tcPr>
          <w:p>
            <w:pPr>
              <w:jc w:val="right"/>
            </w:pPr>
            <w:r>
              <w:rPr>
                <w:rFonts w:ascii="Arial" w:hAnsi="Arial" w:eastAsia="Arial"/>
              </w:rPr>
              <w:t>مدير الموارد البشرية والإدارة</w:t>
            </w:r>
          </w:p>
        </w:tc>
        <w:tc>
          <w:tcPr>
            <w:tcW w:type="dxa" w:w="4514"/>
          </w:tcPr>
          <w:p>
            <w:pPr>
              <w:jc w:val="right"/>
            </w:pPr>
            <w:r>
              <w:rPr>
                <w:rFonts w:ascii="Arial" w:hAnsi="Arial" w:eastAsia="Arial"/>
              </w:rPr>
              <w:t>إدارة الموظفين والإجراءات الإدارية</w:t>
            </w:r>
          </w:p>
        </w:tc>
      </w:tr>
    </w:tbl>
    <w:p>
      <w:pPr>
        <w:pStyle w:val="Heading2"/>
        <w:jc w:val="right"/>
      </w:pPr>
      <w:r>
        <w:rPr>
          <w:rFonts w:ascii="Arial" w:hAnsi="Arial" w:eastAsia="Arial"/>
          <w:color w:val="D4A853"/>
          <w:sz w:val="28"/>
        </w:rPr>
        <w:t>7.3 خطة التوظيف</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السنة</w:t>
            </w:r>
          </w:p>
        </w:tc>
        <w:tc>
          <w:tcPr>
            <w:tcW w:type="dxa" w:w="3010"/>
            <w:shd w:fill="0A0F1A"/>
          </w:tcPr>
          <w:p>
            <w:pPr>
              <w:jc w:val="right"/>
            </w:pPr>
            <w:r>
              <w:rPr>
                <w:rFonts w:ascii="Arial" w:hAnsi="Arial" w:eastAsia="Arial"/>
                <w:b/>
                <w:color w:val="FFFFFF"/>
              </w:rPr>
              <w:t>عدد الموظفين</w:t>
            </w:r>
          </w:p>
        </w:tc>
        <w:tc>
          <w:tcPr>
            <w:tcW w:type="dxa" w:w="3010"/>
            <w:shd w:fill="0A0F1A"/>
          </w:tcPr>
          <w:p>
            <w:pPr>
              <w:jc w:val="right"/>
            </w:pPr>
            <w:r>
              <w:rPr>
                <w:rFonts w:ascii="Arial" w:hAnsi="Arial" w:eastAsia="Arial"/>
                <w:b/>
                <w:color w:val="FFFFFF"/>
              </w:rPr>
              <w:t>الملاحظات</w:t>
            </w:r>
          </w:p>
        </w:tc>
      </w:tr>
      <w:tr>
        <w:tc>
          <w:tcPr>
            <w:tcW w:type="dxa" w:w="3010"/>
          </w:tcPr>
          <w:p>
            <w:pPr>
              <w:jc w:val="right"/>
            </w:pPr>
            <w:r>
              <w:rPr>
                <w:rFonts w:ascii="Arial" w:hAnsi="Arial" w:eastAsia="Arial"/>
              </w:rPr>
              <w:t>السنة</w:t>
            </w:r>
          </w:p>
        </w:tc>
        <w:tc>
          <w:tcPr>
            <w:tcW w:type="dxa" w:w="3010"/>
          </w:tcPr>
          <w:p>
            <w:pPr>
              <w:jc w:val="right"/>
            </w:pPr>
            <w:r>
              <w:rPr>
                <w:rFonts w:ascii="Arial" w:hAnsi="Arial" w:eastAsia="Arial"/>
              </w:rPr>
              <w:t>عدد الموظفين</w:t>
            </w:r>
          </w:p>
        </w:tc>
        <w:tc>
          <w:tcPr>
            <w:tcW w:type="dxa" w:w="3010"/>
          </w:tcPr>
          <w:p>
            <w:pPr>
              <w:jc w:val="right"/>
            </w:pPr>
            <w:r>
              <w:rPr>
                <w:rFonts w:ascii="Arial" w:hAnsi="Arial" w:eastAsia="Arial"/>
              </w:rPr>
              <w:t>الملاحظات</w:t>
            </w:r>
          </w:p>
        </w:tc>
      </w:tr>
      <w:tr>
        <w:tc>
          <w:tcPr>
            <w:tcW w:type="dxa" w:w="3010"/>
          </w:tcPr>
          <w:p>
            <w:pPr>
              <w:jc w:val="right"/>
            </w:pPr>
            <w:r>
              <w:rPr>
                <w:rFonts w:ascii="Arial" w:hAnsi="Arial" w:eastAsia="Arial"/>
              </w:rPr>
              <w:t>السنة الأولى</w:t>
            </w:r>
          </w:p>
        </w:tc>
        <w:tc>
          <w:tcPr>
            <w:tcW w:type="dxa" w:w="3010"/>
          </w:tcPr>
          <w:p>
            <w:pPr>
              <w:jc w:val="right"/>
            </w:pPr>
            <w:r>
              <w:rPr>
                <w:rFonts w:ascii="Arial" w:hAnsi="Arial" w:eastAsia="Arial"/>
              </w:rPr>
              <w:t>10 - 15</w:t>
            </w:r>
          </w:p>
        </w:tc>
        <w:tc>
          <w:tcPr>
            <w:tcW w:type="dxa" w:w="3010"/>
          </w:tcPr>
          <w:p>
            <w:pPr>
              <w:jc w:val="right"/>
            </w:pPr>
            <w:r>
              <w:rPr>
                <w:rFonts w:ascii="Arial" w:hAnsi="Arial" w:eastAsia="Arial"/>
              </w:rPr>
              <w:t>فريق أساسي لتشغيل المرحلة الأولى</w:t>
            </w:r>
          </w:p>
        </w:tc>
      </w:tr>
      <w:tr>
        <w:tc>
          <w:tcPr>
            <w:tcW w:type="dxa" w:w="3010"/>
          </w:tcPr>
          <w:p>
            <w:pPr>
              <w:jc w:val="right"/>
            </w:pPr>
            <w:r>
              <w:rPr>
                <w:rFonts w:ascii="Arial" w:hAnsi="Arial" w:eastAsia="Arial"/>
              </w:rPr>
              <w:t>السنة الثانية</w:t>
            </w:r>
          </w:p>
        </w:tc>
        <w:tc>
          <w:tcPr>
            <w:tcW w:type="dxa" w:w="3010"/>
          </w:tcPr>
          <w:p>
            <w:pPr>
              <w:jc w:val="right"/>
            </w:pPr>
            <w:r>
              <w:rPr>
                <w:rFonts w:ascii="Arial" w:hAnsi="Arial" w:eastAsia="Arial"/>
              </w:rPr>
              <w:t>15</w:t>
            </w:r>
          </w:p>
        </w:tc>
        <w:tc>
          <w:tcPr>
            <w:tcW w:type="dxa" w:w="3010"/>
          </w:tcPr>
          <w:p>
            <w:pPr>
              <w:jc w:val="right"/>
            </w:pPr>
            <w:r>
              <w:rPr>
                <w:rFonts w:ascii="Arial" w:hAnsi="Arial" w:eastAsia="Arial"/>
              </w:rPr>
              <w:t>تثبيت الهيكل التشغيلي</w:t>
            </w:r>
          </w:p>
        </w:tc>
      </w:tr>
      <w:tr>
        <w:tc>
          <w:tcPr>
            <w:tcW w:type="dxa" w:w="3010"/>
          </w:tcPr>
          <w:p>
            <w:pPr>
              <w:jc w:val="right"/>
            </w:pPr>
            <w:r>
              <w:rPr>
                <w:rFonts w:ascii="Arial" w:hAnsi="Arial" w:eastAsia="Arial"/>
              </w:rPr>
              <w:t>السنة الثالثة</w:t>
            </w:r>
          </w:p>
        </w:tc>
        <w:tc>
          <w:tcPr>
            <w:tcW w:type="dxa" w:w="3010"/>
          </w:tcPr>
          <w:p>
            <w:pPr>
              <w:jc w:val="right"/>
            </w:pPr>
            <w:r>
              <w:rPr>
                <w:rFonts w:ascii="Arial" w:hAnsi="Arial" w:eastAsia="Arial"/>
              </w:rPr>
              <w:t>18 - 20</w:t>
            </w:r>
          </w:p>
        </w:tc>
        <w:tc>
          <w:tcPr>
            <w:tcW w:type="dxa" w:w="3010"/>
          </w:tcPr>
          <w:p>
            <w:pPr>
              <w:jc w:val="right"/>
            </w:pPr>
            <w:r>
              <w:rPr>
                <w:rFonts w:ascii="Arial" w:hAnsi="Arial" w:eastAsia="Arial"/>
              </w:rPr>
              <w:t>التوسع في عدد المشاريع</w:t>
            </w:r>
          </w:p>
        </w:tc>
      </w:tr>
      <w:tr>
        <w:tc>
          <w:tcPr>
            <w:tcW w:type="dxa" w:w="3010"/>
          </w:tcPr>
          <w:p>
            <w:pPr>
              <w:jc w:val="right"/>
            </w:pPr>
            <w:r>
              <w:rPr>
                <w:rFonts w:ascii="Arial" w:hAnsi="Arial" w:eastAsia="Arial"/>
              </w:rPr>
              <w:t>السنة الخامسة</w:t>
            </w:r>
          </w:p>
        </w:tc>
        <w:tc>
          <w:tcPr>
            <w:tcW w:type="dxa" w:w="3010"/>
          </w:tcPr>
          <w:p>
            <w:pPr>
              <w:jc w:val="right"/>
            </w:pPr>
            <w:r>
              <w:rPr>
                <w:rFonts w:ascii="Arial" w:hAnsi="Arial" w:eastAsia="Arial"/>
              </w:rPr>
              <w:t>25 - 30</w:t>
            </w:r>
          </w:p>
        </w:tc>
        <w:tc>
          <w:tcPr>
            <w:tcW w:type="dxa" w:w="3010"/>
          </w:tcPr>
          <w:p>
            <w:pPr>
              <w:jc w:val="right"/>
            </w:pPr>
            <w:r>
              <w:rPr>
                <w:rFonts w:ascii="Arial" w:hAnsi="Arial" w:eastAsia="Arial"/>
              </w:rPr>
              <w:t>دعم محفظة 10 مشاريع سنوياً</w:t>
            </w:r>
          </w:p>
        </w:tc>
      </w:tr>
    </w:tbl>
    <w:p>
      <w:r>
        <w:br w:type="page"/>
      </w:r>
    </w:p>
    <w:p>
      <w:pPr>
        <w:pStyle w:val="Heading1"/>
        <w:jc w:val="right"/>
      </w:pPr>
      <w:r>
        <w:rPr>
          <w:rFonts w:ascii="Arial" w:hAnsi="Arial" w:eastAsia="Arial"/>
          <w:color w:val="003366"/>
          <w:sz w:val="36"/>
        </w:rPr>
        <w:t>8. الخطة المالية</w:t>
      </w:r>
    </w:p>
    <w:p>
      <w:pPr>
        <w:pStyle w:val="Heading2"/>
        <w:jc w:val="right"/>
      </w:pPr>
      <w:r>
        <w:rPr>
          <w:rFonts w:ascii="Arial" w:hAnsi="Arial" w:eastAsia="Arial"/>
          <w:color w:val="D4A853"/>
          <w:sz w:val="28"/>
        </w:rPr>
        <w:t>8.1 افتراضات النموذج المالي</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الافتراض</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الافتراض</w:t>
            </w:r>
          </w:p>
        </w:tc>
        <w:tc>
          <w:tcPr>
            <w:tcW w:type="dxa" w:w="4514"/>
          </w:tcPr>
          <w:p>
            <w:pPr>
              <w:jc w:val="right"/>
            </w:pPr>
            <w:r>
              <w:rPr>
                <w:rFonts w:ascii="Arial" w:hAnsi="Arial" w:eastAsia="Arial"/>
              </w:rPr>
              <w:t>القيمة</w:t>
            </w:r>
          </w:p>
        </w:tc>
      </w:tr>
      <w:tr>
        <w:tc>
          <w:tcPr>
            <w:tcW w:type="dxa" w:w="4514"/>
          </w:tcPr>
          <w:p>
            <w:pPr>
              <w:jc w:val="right"/>
            </w:pPr>
            <w:r>
              <w:rPr>
                <w:rFonts w:ascii="Arial" w:hAnsi="Arial" w:eastAsia="Arial"/>
              </w:rPr>
              <w:t>متوسط مساحة المبنى</w:t>
            </w:r>
          </w:p>
        </w:tc>
        <w:tc>
          <w:tcPr>
            <w:tcW w:type="dxa" w:w="4514"/>
          </w:tcPr>
          <w:p>
            <w:pPr>
              <w:jc w:val="right"/>
            </w:pPr>
            <w:r>
              <w:rPr>
                <w:rFonts w:ascii="Arial" w:hAnsi="Arial" w:eastAsia="Arial"/>
              </w:rPr>
              <w:t>1,500 متر مربع</w:t>
            </w:r>
          </w:p>
        </w:tc>
      </w:tr>
      <w:tr>
        <w:tc>
          <w:tcPr>
            <w:tcW w:type="dxa" w:w="4514"/>
          </w:tcPr>
          <w:p>
            <w:pPr>
              <w:jc w:val="right"/>
            </w:pPr>
            <w:r>
              <w:rPr>
                <w:rFonts w:ascii="Arial" w:hAnsi="Arial" w:eastAsia="Arial"/>
              </w:rPr>
              <w:t>عدد الوحدات في المبنى</w:t>
            </w:r>
          </w:p>
        </w:tc>
        <w:tc>
          <w:tcPr>
            <w:tcW w:type="dxa" w:w="4514"/>
          </w:tcPr>
          <w:p>
            <w:pPr>
              <w:jc w:val="right"/>
            </w:pPr>
            <w:r>
              <w:rPr>
                <w:rFonts w:ascii="Arial" w:hAnsi="Arial" w:eastAsia="Arial"/>
              </w:rPr>
              <w:t>6 - 8 وحدات</w:t>
            </w:r>
          </w:p>
        </w:tc>
      </w:tr>
      <w:tr>
        <w:tc>
          <w:tcPr>
            <w:tcW w:type="dxa" w:w="4514"/>
          </w:tcPr>
          <w:p>
            <w:pPr>
              <w:jc w:val="right"/>
            </w:pPr>
            <w:r>
              <w:rPr>
                <w:rFonts w:ascii="Arial" w:hAnsi="Arial" w:eastAsia="Arial"/>
              </w:rPr>
              <w:t>تكلفة التشطيب</w:t>
            </w:r>
          </w:p>
        </w:tc>
        <w:tc>
          <w:tcPr>
            <w:tcW w:type="dxa" w:w="4514"/>
          </w:tcPr>
          <w:p>
            <w:pPr>
              <w:jc w:val="right"/>
            </w:pPr>
            <w:r>
              <w:rPr>
                <w:rFonts w:ascii="Arial" w:hAnsi="Arial" w:eastAsia="Arial"/>
              </w:rPr>
              <w:t>1,200 - 1,800 ريال لكل متر مربع</w:t>
            </w:r>
          </w:p>
        </w:tc>
      </w:tr>
      <w:tr>
        <w:tc>
          <w:tcPr>
            <w:tcW w:type="dxa" w:w="4514"/>
          </w:tcPr>
          <w:p>
            <w:pPr>
              <w:jc w:val="right"/>
            </w:pPr>
            <w:r>
              <w:rPr>
                <w:rFonts w:ascii="Arial" w:hAnsi="Arial" w:eastAsia="Arial"/>
              </w:rPr>
              <w:t>سعر البيع</w:t>
            </w:r>
          </w:p>
        </w:tc>
        <w:tc>
          <w:tcPr>
            <w:tcW w:type="dxa" w:w="4514"/>
          </w:tcPr>
          <w:p>
            <w:pPr>
              <w:jc w:val="right"/>
            </w:pPr>
            <w:r>
              <w:rPr>
                <w:rFonts w:ascii="Arial" w:hAnsi="Arial" w:eastAsia="Arial"/>
              </w:rPr>
              <w:t>2,500 - 3,500 ريال لكل متر مربع</w:t>
            </w:r>
          </w:p>
        </w:tc>
      </w:tr>
      <w:tr>
        <w:tc>
          <w:tcPr>
            <w:tcW w:type="dxa" w:w="4514"/>
          </w:tcPr>
          <w:p>
            <w:pPr>
              <w:jc w:val="right"/>
            </w:pPr>
            <w:r>
              <w:rPr>
                <w:rFonts w:ascii="Arial" w:hAnsi="Arial" w:eastAsia="Arial"/>
              </w:rPr>
              <w:t>نسبة المحاصة للشركة</w:t>
            </w:r>
          </w:p>
        </w:tc>
        <w:tc>
          <w:tcPr>
            <w:tcW w:type="dxa" w:w="4514"/>
          </w:tcPr>
          <w:p>
            <w:pPr>
              <w:jc w:val="right"/>
            </w:pPr>
            <w:r>
              <w:rPr>
                <w:rFonts w:ascii="Arial" w:hAnsi="Arial" w:eastAsia="Arial"/>
              </w:rPr>
              <w:t>50%</w:t>
            </w:r>
          </w:p>
        </w:tc>
      </w:tr>
    </w:tbl>
    <w:p>
      <w:pPr>
        <w:pStyle w:val="Heading2"/>
        <w:jc w:val="right"/>
      </w:pPr>
      <w:r>
        <w:rPr>
          <w:rFonts w:ascii="Arial" w:hAnsi="Arial" w:eastAsia="Arial"/>
          <w:color w:val="D4A853"/>
          <w:sz w:val="28"/>
        </w:rPr>
        <w:t>8.2 استخدامات رأس المال</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الاستخدام</w:t>
            </w:r>
          </w:p>
        </w:tc>
        <w:tc>
          <w:tcPr>
            <w:tcW w:type="dxa" w:w="3010"/>
            <w:shd w:fill="0A0F1A"/>
          </w:tcPr>
          <w:p>
            <w:pPr>
              <w:jc w:val="right"/>
            </w:pPr>
            <w:r>
              <w:rPr>
                <w:rFonts w:ascii="Arial" w:hAnsi="Arial" w:eastAsia="Arial"/>
                <w:b/>
                <w:color w:val="FFFFFF"/>
              </w:rPr>
              <w:t>المبلغ</w:t>
            </w:r>
          </w:p>
        </w:tc>
        <w:tc>
          <w:tcPr>
            <w:tcW w:type="dxa" w:w="3010"/>
            <w:shd w:fill="0A0F1A"/>
          </w:tcPr>
          <w:p>
            <w:pPr>
              <w:jc w:val="right"/>
            </w:pPr>
            <w:r>
              <w:rPr>
                <w:rFonts w:ascii="Arial" w:hAnsi="Arial" w:eastAsia="Arial"/>
                <w:b/>
                <w:color w:val="FFFFFF"/>
              </w:rPr>
              <w:t>النسبة</w:t>
            </w:r>
          </w:p>
        </w:tc>
      </w:tr>
      <w:tr>
        <w:tc>
          <w:tcPr>
            <w:tcW w:type="dxa" w:w="3010"/>
          </w:tcPr>
          <w:p>
            <w:pPr>
              <w:jc w:val="right"/>
            </w:pPr>
            <w:r>
              <w:rPr>
                <w:rFonts w:ascii="Arial" w:hAnsi="Arial" w:eastAsia="Arial"/>
              </w:rPr>
              <w:t>الاستخدام</w:t>
            </w:r>
          </w:p>
        </w:tc>
        <w:tc>
          <w:tcPr>
            <w:tcW w:type="dxa" w:w="3010"/>
          </w:tcPr>
          <w:p>
            <w:pPr>
              <w:jc w:val="right"/>
            </w:pPr>
            <w:r>
              <w:rPr>
                <w:rFonts w:ascii="Arial" w:hAnsi="Arial" w:eastAsia="Arial"/>
              </w:rPr>
              <w:t>المبلغ</w:t>
            </w:r>
          </w:p>
        </w:tc>
        <w:tc>
          <w:tcPr>
            <w:tcW w:type="dxa" w:w="3010"/>
          </w:tcPr>
          <w:p>
            <w:pPr>
              <w:jc w:val="right"/>
            </w:pPr>
            <w:r>
              <w:rPr>
                <w:rFonts w:ascii="Arial" w:hAnsi="Arial" w:eastAsia="Arial"/>
              </w:rPr>
              <w:t>النسبة</w:t>
            </w:r>
          </w:p>
        </w:tc>
      </w:tr>
      <w:tr>
        <w:tc>
          <w:tcPr>
            <w:tcW w:type="dxa" w:w="3010"/>
          </w:tcPr>
          <w:p>
            <w:pPr>
              <w:jc w:val="right"/>
            </w:pPr>
            <w:r>
              <w:rPr>
                <w:rFonts w:ascii="Arial" w:hAnsi="Arial" w:eastAsia="Arial"/>
              </w:rPr>
              <w:t>استثمارات في مشاريع (شراء + تشطيب)</w:t>
            </w:r>
          </w:p>
        </w:tc>
        <w:tc>
          <w:tcPr>
            <w:tcW w:type="dxa" w:w="3010"/>
          </w:tcPr>
          <w:p>
            <w:pPr>
              <w:jc w:val="right"/>
            </w:pPr>
            <w:r>
              <w:rPr>
                <w:rFonts w:ascii="Arial" w:hAnsi="Arial" w:eastAsia="Arial"/>
              </w:rPr>
              <w:t>150 مليون ريال</w:t>
            </w:r>
          </w:p>
        </w:tc>
        <w:tc>
          <w:tcPr>
            <w:tcW w:type="dxa" w:w="3010"/>
          </w:tcPr>
          <w:p>
            <w:pPr>
              <w:jc w:val="right"/>
            </w:pPr>
            <w:r>
              <w:rPr>
                <w:rFonts w:ascii="Arial" w:hAnsi="Arial" w:eastAsia="Arial"/>
              </w:rPr>
              <w:t>66%</w:t>
            </w:r>
          </w:p>
        </w:tc>
      </w:tr>
      <w:tr>
        <w:tc>
          <w:tcPr>
            <w:tcW w:type="dxa" w:w="3010"/>
          </w:tcPr>
          <w:p>
            <w:pPr>
              <w:jc w:val="right"/>
            </w:pPr>
            <w:r>
              <w:rPr>
                <w:rFonts w:ascii="Arial" w:hAnsi="Arial" w:eastAsia="Arial"/>
              </w:rPr>
              <w:t>رأس المال العامل التشغيلي</w:t>
            </w:r>
          </w:p>
        </w:tc>
        <w:tc>
          <w:tcPr>
            <w:tcW w:type="dxa" w:w="3010"/>
          </w:tcPr>
          <w:p>
            <w:pPr>
              <w:jc w:val="right"/>
            </w:pPr>
            <w:r>
              <w:rPr>
                <w:rFonts w:ascii="Arial" w:hAnsi="Arial" w:eastAsia="Arial"/>
              </w:rPr>
              <w:t>40 مليون ريال</w:t>
            </w:r>
          </w:p>
        </w:tc>
        <w:tc>
          <w:tcPr>
            <w:tcW w:type="dxa" w:w="3010"/>
          </w:tcPr>
          <w:p>
            <w:pPr>
              <w:jc w:val="right"/>
            </w:pPr>
            <w:r>
              <w:rPr>
                <w:rFonts w:ascii="Arial" w:hAnsi="Arial" w:eastAsia="Arial"/>
              </w:rPr>
              <w:t>18%</w:t>
            </w:r>
          </w:p>
        </w:tc>
      </w:tr>
      <w:tr>
        <w:tc>
          <w:tcPr>
            <w:tcW w:type="dxa" w:w="3010"/>
          </w:tcPr>
          <w:p>
            <w:pPr>
              <w:jc w:val="right"/>
            </w:pPr>
            <w:r>
              <w:rPr>
                <w:rFonts w:ascii="Arial" w:hAnsi="Arial" w:eastAsia="Arial"/>
              </w:rPr>
              <w:t>تكنولوجيا وأنظمة</w:t>
            </w:r>
          </w:p>
        </w:tc>
        <w:tc>
          <w:tcPr>
            <w:tcW w:type="dxa" w:w="3010"/>
          </w:tcPr>
          <w:p>
            <w:pPr>
              <w:jc w:val="right"/>
            </w:pPr>
            <w:r>
              <w:rPr>
                <w:rFonts w:ascii="Arial" w:hAnsi="Arial" w:eastAsia="Arial"/>
              </w:rPr>
              <w:t>10 مليون ريال</w:t>
            </w:r>
          </w:p>
        </w:tc>
        <w:tc>
          <w:tcPr>
            <w:tcW w:type="dxa" w:w="3010"/>
          </w:tcPr>
          <w:p>
            <w:pPr>
              <w:jc w:val="right"/>
            </w:pPr>
            <w:r>
              <w:rPr>
                <w:rFonts w:ascii="Arial" w:hAnsi="Arial" w:eastAsia="Arial"/>
              </w:rPr>
              <w:t>4%</w:t>
            </w:r>
          </w:p>
        </w:tc>
      </w:tr>
      <w:tr>
        <w:tc>
          <w:tcPr>
            <w:tcW w:type="dxa" w:w="3010"/>
          </w:tcPr>
          <w:p>
            <w:pPr>
              <w:jc w:val="right"/>
            </w:pPr>
            <w:r>
              <w:rPr>
                <w:rFonts w:ascii="Arial" w:hAnsi="Arial" w:eastAsia="Arial"/>
              </w:rPr>
              <w:t>تأسيس وتسويق وعلاقات</w:t>
            </w:r>
          </w:p>
        </w:tc>
        <w:tc>
          <w:tcPr>
            <w:tcW w:type="dxa" w:w="3010"/>
          </w:tcPr>
          <w:p>
            <w:pPr>
              <w:jc w:val="right"/>
            </w:pPr>
            <w:r>
              <w:rPr>
                <w:rFonts w:ascii="Arial" w:hAnsi="Arial" w:eastAsia="Arial"/>
              </w:rPr>
              <w:t>15 مليون ريال</w:t>
            </w:r>
          </w:p>
        </w:tc>
        <w:tc>
          <w:tcPr>
            <w:tcW w:type="dxa" w:w="3010"/>
          </w:tcPr>
          <w:p>
            <w:pPr>
              <w:jc w:val="right"/>
            </w:pPr>
            <w:r>
              <w:rPr>
                <w:rFonts w:ascii="Arial" w:hAnsi="Arial" w:eastAsia="Arial"/>
              </w:rPr>
              <w:t>7%</w:t>
            </w:r>
          </w:p>
        </w:tc>
      </w:tr>
      <w:tr>
        <w:tc>
          <w:tcPr>
            <w:tcW w:type="dxa" w:w="3010"/>
          </w:tcPr>
          <w:p>
            <w:pPr>
              <w:jc w:val="right"/>
            </w:pPr>
            <w:r>
              <w:rPr>
                <w:rFonts w:ascii="Arial" w:hAnsi="Arial" w:eastAsia="Arial"/>
              </w:rPr>
              <w:t>احتياطي سيولة طوارئ</w:t>
            </w:r>
          </w:p>
        </w:tc>
        <w:tc>
          <w:tcPr>
            <w:tcW w:type="dxa" w:w="3010"/>
          </w:tcPr>
          <w:p>
            <w:pPr>
              <w:jc w:val="right"/>
            </w:pPr>
            <w:r>
              <w:rPr>
                <w:rFonts w:ascii="Arial" w:hAnsi="Arial" w:eastAsia="Arial"/>
              </w:rPr>
              <w:t>11 مليون ريال</w:t>
            </w:r>
          </w:p>
        </w:tc>
        <w:tc>
          <w:tcPr>
            <w:tcW w:type="dxa" w:w="3010"/>
          </w:tcPr>
          <w:p>
            <w:pPr>
              <w:jc w:val="right"/>
            </w:pPr>
            <w:r>
              <w:rPr>
                <w:rFonts w:ascii="Arial" w:hAnsi="Arial" w:eastAsia="Arial"/>
              </w:rPr>
              <w:t>5%</w:t>
            </w:r>
          </w:p>
        </w:tc>
      </w:tr>
    </w:tbl>
    <w:p>
      <w:pPr>
        <w:pStyle w:val="Heading2"/>
        <w:jc w:val="right"/>
      </w:pPr>
      <w:r>
        <w:rPr>
          <w:rFonts w:ascii="Arial" w:hAnsi="Arial" w:eastAsia="Arial"/>
          <w:color w:val="D4A853"/>
          <w:sz w:val="28"/>
        </w:rPr>
        <w:t>8.3 ملخص النتائج المالية المتوقعة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المؤشر</w:t>
            </w:r>
          </w:p>
        </w:tc>
        <w:tc>
          <w:tcPr>
            <w:tcW w:type="dxa" w:w="4514"/>
          </w:tcPr>
          <w:p>
            <w:pPr>
              <w:jc w:val="right"/>
            </w:pPr>
            <w:r>
              <w:rPr>
                <w:rFonts w:ascii="Arial" w:hAnsi="Arial" w:eastAsia="Arial"/>
              </w:rPr>
              <w:t>القيمة</w:t>
            </w:r>
          </w:p>
        </w:tc>
      </w:tr>
      <w:tr>
        <w:tc>
          <w:tcPr>
            <w:tcW w:type="dxa" w:w="4514"/>
          </w:tcPr>
          <w:p>
            <w:pPr>
              <w:jc w:val="right"/>
            </w:pPr>
            <w:r>
              <w:rPr>
                <w:rFonts w:ascii="Arial" w:hAnsi="Arial" w:eastAsia="Arial"/>
              </w:rPr>
              <w:t>العائد الداخلي المتوقع (IRR) على أفق 10 سنوات</w:t>
            </w:r>
          </w:p>
        </w:tc>
        <w:tc>
          <w:tcPr>
            <w:tcW w:type="dxa" w:w="4514"/>
          </w:tcPr>
          <w:p>
            <w:pPr>
              <w:jc w:val="right"/>
            </w:pPr>
            <w:r>
              <w:rPr>
                <w:rFonts w:ascii="Arial" w:hAnsi="Arial" w:eastAsia="Arial"/>
              </w:rPr>
              <w:t>19% - 20%</w:t>
            </w:r>
          </w:p>
        </w:tc>
      </w:tr>
      <w:tr>
        <w:tc>
          <w:tcPr>
            <w:tcW w:type="dxa" w:w="4514"/>
          </w:tcPr>
          <w:p>
            <w:pPr>
              <w:jc w:val="right"/>
            </w:pPr>
            <w:r>
              <w:rPr>
                <w:rFonts w:ascii="Arial" w:hAnsi="Arial" w:eastAsia="Arial"/>
              </w:rPr>
              <w:t>مضاعفة رأس المال عند الخروج</w:t>
            </w:r>
          </w:p>
        </w:tc>
        <w:tc>
          <w:tcPr>
            <w:tcW w:type="dxa" w:w="4514"/>
          </w:tcPr>
          <w:p>
            <w:pPr>
              <w:jc w:val="right"/>
            </w:pPr>
            <w:r>
              <w:rPr>
                <w:rFonts w:ascii="Arial" w:hAnsi="Arial" w:eastAsia="Arial"/>
              </w:rPr>
              <w:t>2.5x - 4x</w:t>
            </w:r>
          </w:p>
        </w:tc>
      </w:tr>
      <w:tr>
        <w:tc>
          <w:tcPr>
            <w:tcW w:type="dxa" w:w="4514"/>
          </w:tcPr>
          <w:p>
            <w:pPr>
              <w:jc w:val="right"/>
            </w:pPr>
            <w:r>
              <w:rPr>
                <w:rFonts w:ascii="Arial" w:hAnsi="Arial" w:eastAsia="Arial"/>
              </w:rPr>
              <w:t>فترة استرداد رأس المال المستدعى</w:t>
            </w:r>
          </w:p>
        </w:tc>
        <w:tc>
          <w:tcPr>
            <w:tcW w:type="dxa" w:w="4514"/>
          </w:tcPr>
          <w:p>
            <w:pPr>
              <w:jc w:val="right"/>
            </w:pPr>
            <w:r>
              <w:rPr>
                <w:rFonts w:ascii="Arial" w:hAnsi="Arial" w:eastAsia="Arial"/>
              </w:rPr>
              <w:t>5.5 سنة</w:t>
            </w:r>
          </w:p>
        </w:tc>
      </w:tr>
      <w:tr>
        <w:tc>
          <w:tcPr>
            <w:tcW w:type="dxa" w:w="4514"/>
          </w:tcPr>
          <w:p>
            <w:pPr>
              <w:jc w:val="right"/>
            </w:pPr>
            <w:r>
              <w:rPr>
                <w:rFonts w:ascii="Arial" w:hAnsi="Arial" w:eastAsia="Arial"/>
              </w:rPr>
              <w:t>صافي الربح المتوقع في السنة الخامسة</w:t>
            </w:r>
          </w:p>
        </w:tc>
        <w:tc>
          <w:tcPr>
            <w:tcW w:type="dxa" w:w="4514"/>
          </w:tcPr>
          <w:p>
            <w:pPr>
              <w:jc w:val="right"/>
            </w:pPr>
            <w:r>
              <w:rPr>
                <w:rFonts w:ascii="Arial" w:hAnsi="Arial" w:eastAsia="Arial"/>
              </w:rPr>
              <w:t>9.8 مليون ريال</w:t>
            </w:r>
          </w:p>
        </w:tc>
      </w:tr>
      <w:tr>
        <w:tc>
          <w:tcPr>
            <w:tcW w:type="dxa" w:w="4514"/>
          </w:tcPr>
          <w:p>
            <w:pPr>
              <w:jc w:val="right"/>
            </w:pPr>
            <w:r>
              <w:rPr>
                <w:rFonts w:ascii="Arial" w:hAnsi="Arial" w:eastAsia="Arial"/>
              </w:rPr>
              <w:t>القيمة السوقية المتوقعة بعد 5 سنوات</w:t>
            </w:r>
          </w:p>
        </w:tc>
        <w:tc>
          <w:tcPr>
            <w:tcW w:type="dxa" w:w="4514"/>
          </w:tcPr>
          <w:p>
            <w:pPr>
              <w:jc w:val="right"/>
            </w:pPr>
            <w:r>
              <w:rPr>
                <w:rFonts w:ascii="Arial" w:hAnsi="Arial" w:eastAsia="Arial"/>
              </w:rPr>
              <w:t>120 - 155 مليون ريال</w:t>
            </w:r>
          </w:p>
        </w:tc>
      </w:tr>
    </w:tbl>
    <w:p>
      <w:pPr>
        <w:pStyle w:val="Heading2"/>
        <w:jc w:val="right"/>
      </w:pPr>
      <w:r>
        <w:rPr>
          <w:rFonts w:ascii="Arial" w:hAnsi="Arial" w:eastAsia="Arial"/>
          <w:color w:val="D4A853"/>
          <w:sz w:val="28"/>
        </w:rPr>
        <w:t>8.4 آلية سحب رأس المال</w:t>
      </w:r>
    </w:p>
    <w:p>
      <w:pPr>
        <w:jc w:val="right"/>
      </w:pPr>
      <w:r>
        <w:rPr>
          <w:rFonts w:ascii="Arial" w:hAnsi="Arial" w:eastAsia="Arial"/>
          <w:b w:val="0"/>
          <w:i w:val="0"/>
          <w:color w:val="000000"/>
          <w:sz w:val="24"/>
        </w:rPr>
        <w:t>لا يُضخ رأس المال دفعة واحدة، بل يتم سحبه على أربع دفعات مرتبطة بإنجاز مراحل محددة:</w:t>
      </w:r>
    </w:p>
    <w:p>
      <w:pPr>
        <w:pStyle w:val="ListBullet"/>
        <w:jc w:val="right"/>
      </w:pPr>
      <w:r>
        <w:rPr>
          <w:rFonts w:ascii="Arial" w:hAnsi="Arial" w:eastAsia="Arial"/>
          <w:sz w:val="22"/>
        </w:rPr>
        <w:t>الدفعة الأولى (30%): التأسيس وشراء 3 - 5 مبانٍ أولى.</w:t>
      </w:r>
    </w:p>
    <w:p>
      <w:pPr>
        <w:pStyle w:val="ListBullet"/>
        <w:jc w:val="right"/>
      </w:pPr>
      <w:r>
        <w:rPr>
          <w:rFonts w:ascii="Arial" w:hAnsi="Arial" w:eastAsia="Arial"/>
          <w:sz w:val="22"/>
        </w:rPr>
        <w:t>الدفعة الثانية (30%): إنجاز أول مشروعين وتحقيق أولى الإيرادات.</w:t>
      </w:r>
    </w:p>
    <w:p>
      <w:pPr>
        <w:pStyle w:val="ListBullet"/>
        <w:jc w:val="right"/>
      </w:pPr>
      <w:r>
        <w:rPr>
          <w:rFonts w:ascii="Arial" w:hAnsi="Arial" w:eastAsia="Arial"/>
          <w:sz w:val="22"/>
        </w:rPr>
        <w:t>الدفعة الثالثة (25%): الوصول إلى 6 مشاريع نشطة وتحقيق التعادل التشغيلي.</w:t>
      </w:r>
    </w:p>
    <w:p>
      <w:pPr>
        <w:pStyle w:val="ListBullet"/>
        <w:jc w:val="right"/>
      </w:pPr>
      <w:r>
        <w:rPr>
          <w:rFonts w:ascii="Arial" w:hAnsi="Arial" w:eastAsia="Arial"/>
          <w:sz w:val="22"/>
        </w:rPr>
        <w:t>الدفعة الرابعة (15%): احتياطي مرن يُطلق حسب الحاجة أو يُعاد للمساهمين.</w:t>
      </w:r>
    </w:p>
    <w:p>
      <w:r>
        <w:br w:type="page"/>
      </w:r>
    </w:p>
    <w:p>
      <w:pPr>
        <w:pStyle w:val="Heading1"/>
        <w:jc w:val="right"/>
      </w:pPr>
      <w:r>
        <w:rPr>
          <w:rFonts w:ascii="Arial" w:hAnsi="Arial" w:eastAsia="Arial"/>
          <w:color w:val="003366"/>
          <w:sz w:val="36"/>
        </w:rPr>
        <w:t>9. تحليل المخاطر والتحوطات</w:t>
      </w:r>
    </w:p>
    <w:p>
      <w:pPr>
        <w:pStyle w:val="Heading2"/>
        <w:jc w:val="right"/>
      </w:pPr>
      <w:r>
        <w:rPr>
          <w:rFonts w:ascii="Arial" w:hAnsi="Arial" w:eastAsia="Arial"/>
          <w:color w:val="D4A853"/>
          <w:sz w:val="28"/>
        </w:rPr>
        <w:t>9.1 المخاطر والتحوطات المقترحة</w:t>
      </w:r>
    </w:p>
    <w:tbl>
      <w:tblPr>
        <w:tblStyle w:val="LightGrid-Accent1"/>
        <w:tblW w:type="auto" w:w="0"/>
        <w:jc w:val="right"/>
        <w:tblLayout w:type="autofit"/>
        <w:tblLook w:firstColumn="1" w:firstRow="1" w:lastColumn="0" w:lastRow="0" w:noHBand="0" w:noVBand="1" w:val="04A0"/>
      </w:tblPr>
      <w:tblGrid>
        <w:gridCol w:w="2257"/>
        <w:gridCol w:w="2257"/>
        <w:gridCol w:w="2257"/>
        <w:gridCol w:w="2257"/>
      </w:tblGrid>
      <w:tr>
        <w:tc>
          <w:tcPr>
            <w:tcW w:type="dxa" w:w="2257"/>
            <w:shd w:fill="0A0F1A"/>
          </w:tcPr>
          <w:p>
            <w:pPr>
              <w:jc w:val="right"/>
            </w:pPr>
            <w:r>
              <w:rPr>
                <w:rFonts w:ascii="Arial" w:hAnsi="Arial" w:eastAsia="Arial"/>
                <w:b/>
                <w:color w:val="FFFFFF"/>
              </w:rPr>
              <w:t>المخاطر</w:t>
            </w:r>
          </w:p>
        </w:tc>
        <w:tc>
          <w:tcPr>
            <w:tcW w:type="dxa" w:w="2257"/>
            <w:shd w:fill="0A0F1A"/>
          </w:tcPr>
          <w:p>
            <w:pPr>
              <w:jc w:val="right"/>
            </w:pPr>
            <w:r>
              <w:rPr>
                <w:rFonts w:ascii="Arial" w:hAnsi="Arial" w:eastAsia="Arial"/>
                <w:b/>
                <w:color w:val="FFFFFF"/>
              </w:rPr>
              <w:t>الاحتمالية</w:t>
            </w:r>
          </w:p>
        </w:tc>
        <w:tc>
          <w:tcPr>
            <w:tcW w:type="dxa" w:w="2257"/>
            <w:shd w:fill="0A0F1A"/>
          </w:tcPr>
          <w:p>
            <w:pPr>
              <w:jc w:val="right"/>
            </w:pPr>
            <w:r>
              <w:rPr>
                <w:rFonts w:ascii="Arial" w:hAnsi="Arial" w:eastAsia="Arial"/>
                <w:b/>
                <w:color w:val="FFFFFF"/>
              </w:rPr>
              <w:t>التأثير</w:t>
            </w:r>
          </w:p>
        </w:tc>
        <w:tc>
          <w:tcPr>
            <w:tcW w:type="dxa" w:w="2257"/>
            <w:shd w:fill="0A0F1A"/>
          </w:tcPr>
          <w:p>
            <w:pPr>
              <w:jc w:val="right"/>
            </w:pPr>
            <w:r>
              <w:rPr>
                <w:rFonts w:ascii="Arial" w:hAnsi="Arial" w:eastAsia="Arial"/>
                <w:b/>
                <w:color w:val="FFFFFF"/>
              </w:rPr>
              <w:t>التحوط</w:t>
            </w:r>
          </w:p>
        </w:tc>
      </w:tr>
      <w:tr>
        <w:tc>
          <w:tcPr>
            <w:tcW w:type="dxa" w:w="2257"/>
          </w:tcPr>
          <w:p>
            <w:pPr>
              <w:jc w:val="right"/>
            </w:pPr>
            <w:r>
              <w:rPr>
                <w:rFonts w:ascii="Arial" w:hAnsi="Arial" w:eastAsia="Arial"/>
              </w:rPr>
              <w:t>المخاطر</w:t>
            </w:r>
          </w:p>
        </w:tc>
        <w:tc>
          <w:tcPr>
            <w:tcW w:type="dxa" w:w="2257"/>
          </w:tcPr>
          <w:p>
            <w:pPr>
              <w:jc w:val="right"/>
            </w:pPr>
            <w:r>
              <w:rPr>
                <w:rFonts w:ascii="Arial" w:hAnsi="Arial" w:eastAsia="Arial"/>
              </w:rPr>
              <w:t>الاحتمالية</w:t>
            </w:r>
          </w:p>
        </w:tc>
        <w:tc>
          <w:tcPr>
            <w:tcW w:type="dxa" w:w="2257"/>
          </w:tcPr>
          <w:p>
            <w:pPr>
              <w:jc w:val="right"/>
            </w:pPr>
            <w:r>
              <w:rPr>
                <w:rFonts w:ascii="Arial" w:hAnsi="Arial" w:eastAsia="Arial"/>
              </w:rPr>
              <w:t>التأثير</w:t>
            </w:r>
          </w:p>
        </w:tc>
        <w:tc>
          <w:tcPr>
            <w:tcW w:type="dxa" w:w="2257"/>
          </w:tcPr>
          <w:p>
            <w:pPr>
              <w:jc w:val="right"/>
            </w:pPr>
            <w:r>
              <w:rPr>
                <w:rFonts w:ascii="Arial" w:hAnsi="Arial" w:eastAsia="Arial"/>
              </w:rPr>
              <w:t>التحوط</w:t>
            </w:r>
          </w:p>
        </w:tc>
      </w:tr>
      <w:tr>
        <w:tc>
          <w:tcPr>
            <w:tcW w:type="dxa" w:w="2257"/>
          </w:tcPr>
          <w:p>
            <w:pPr>
              <w:jc w:val="right"/>
            </w:pPr>
            <w:r>
              <w:rPr>
                <w:rFonts w:ascii="Arial" w:hAnsi="Arial" w:eastAsia="Arial"/>
              </w:rPr>
              <w:t>صعوبة الحصول على أصول جيدة</w:t>
            </w:r>
          </w:p>
        </w:tc>
        <w:tc>
          <w:tcPr>
            <w:tcW w:type="dxa" w:w="2257"/>
          </w:tcPr>
          <w:p>
            <w:pPr>
              <w:jc w:val="right"/>
            </w:pPr>
            <w:r>
              <w:rPr>
                <w:rFonts w:ascii="Arial" w:hAnsi="Arial" w:eastAsia="Arial"/>
              </w:rPr>
              <w:t>عالية</w:t>
            </w:r>
          </w:p>
        </w:tc>
        <w:tc>
          <w:tcPr>
            <w:tcW w:type="dxa" w:w="2257"/>
          </w:tcPr>
          <w:p>
            <w:pPr>
              <w:jc w:val="right"/>
            </w:pPr>
            <w:r>
              <w:rPr>
                <w:rFonts w:ascii="Arial" w:hAnsi="Arial" w:eastAsia="Arial"/>
              </w:rPr>
              <w:t>توقف النمو</w:t>
            </w:r>
          </w:p>
        </w:tc>
        <w:tc>
          <w:tcPr>
            <w:tcW w:type="dxa" w:w="2257"/>
          </w:tcPr>
          <w:p>
            <w:pPr>
              <w:jc w:val="right"/>
            </w:pPr>
            <w:r>
              <w:rPr>
                <w:rFonts w:ascii="Arial" w:hAnsi="Arial" w:eastAsia="Arial"/>
              </w:rPr>
              <w:t>بناء شبكة علاقات وقاعدة بيانات وشراكات مع مصفين</w:t>
            </w:r>
          </w:p>
        </w:tc>
      </w:tr>
      <w:tr>
        <w:tc>
          <w:tcPr>
            <w:tcW w:type="dxa" w:w="2257"/>
          </w:tcPr>
          <w:p>
            <w:pPr>
              <w:jc w:val="right"/>
            </w:pPr>
            <w:r>
              <w:rPr>
                <w:rFonts w:ascii="Arial" w:hAnsi="Arial" w:eastAsia="Arial"/>
              </w:rPr>
              <w:t>عيوب إنشائية مخفية</w:t>
            </w:r>
          </w:p>
        </w:tc>
        <w:tc>
          <w:tcPr>
            <w:tcW w:type="dxa" w:w="2257"/>
          </w:tcPr>
          <w:p>
            <w:pPr>
              <w:jc w:val="right"/>
            </w:pPr>
            <w:r>
              <w:rPr>
                <w:rFonts w:ascii="Arial" w:hAnsi="Arial" w:eastAsia="Arial"/>
              </w:rPr>
              <w:t>عالية</w:t>
            </w:r>
          </w:p>
        </w:tc>
        <w:tc>
          <w:tcPr>
            <w:tcW w:type="dxa" w:w="2257"/>
          </w:tcPr>
          <w:p>
            <w:pPr>
              <w:jc w:val="right"/>
            </w:pPr>
            <w:r>
              <w:rPr>
                <w:rFonts w:ascii="Arial" w:hAnsi="Arial" w:eastAsia="Arial"/>
              </w:rPr>
              <w:t>خسارة مالية كبيرة</w:t>
            </w:r>
          </w:p>
        </w:tc>
        <w:tc>
          <w:tcPr>
            <w:tcW w:type="dxa" w:w="2257"/>
          </w:tcPr>
          <w:p>
            <w:pPr>
              <w:jc w:val="right"/>
            </w:pPr>
            <w:r>
              <w:rPr>
                <w:rFonts w:ascii="Arial" w:hAnsi="Arial" w:eastAsia="Arial"/>
              </w:rPr>
              <w:t>فحص هندسي شامل + تأمين + احتياطي 10%</w:t>
            </w:r>
          </w:p>
        </w:tc>
      </w:tr>
      <w:tr>
        <w:tc>
          <w:tcPr>
            <w:tcW w:type="dxa" w:w="2257"/>
          </w:tcPr>
          <w:p>
            <w:pPr>
              <w:jc w:val="right"/>
            </w:pPr>
            <w:r>
              <w:rPr>
                <w:rFonts w:ascii="Arial" w:hAnsi="Arial" w:eastAsia="Arial"/>
              </w:rPr>
              <w:t>تأخر بيع الوحدات</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حمل تكاليف إضافي</w:t>
            </w:r>
          </w:p>
        </w:tc>
        <w:tc>
          <w:tcPr>
            <w:tcW w:type="dxa" w:w="2257"/>
          </w:tcPr>
          <w:p>
            <w:pPr>
              <w:jc w:val="right"/>
            </w:pPr>
            <w:r>
              <w:rPr>
                <w:rFonts w:ascii="Arial" w:hAnsi="Arial" w:eastAsia="Arial"/>
              </w:rPr>
              <w:t>تسعير تنافسي + عقود مسبقة البيع</w:t>
            </w:r>
          </w:p>
        </w:tc>
      </w:tr>
      <w:tr>
        <w:tc>
          <w:tcPr>
            <w:tcW w:type="dxa" w:w="2257"/>
          </w:tcPr>
          <w:p>
            <w:pPr>
              <w:jc w:val="right"/>
            </w:pPr>
            <w:r>
              <w:rPr>
                <w:rFonts w:ascii="Arial" w:hAnsi="Arial" w:eastAsia="Arial"/>
              </w:rPr>
              <w:t>تأخر المقاول في التنفيذ</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تكاليف إضافية</w:t>
            </w:r>
          </w:p>
        </w:tc>
        <w:tc>
          <w:tcPr>
            <w:tcW w:type="dxa" w:w="2257"/>
          </w:tcPr>
          <w:p>
            <w:pPr>
              <w:jc w:val="right"/>
            </w:pPr>
            <w:r>
              <w:rPr>
                <w:rFonts w:ascii="Arial" w:hAnsi="Arial" w:eastAsia="Arial"/>
              </w:rPr>
              <w:t>كفالة بنكية + عقوبات تأخير في العقد</w:t>
            </w:r>
          </w:p>
        </w:tc>
      </w:tr>
      <w:tr>
        <w:tc>
          <w:tcPr>
            <w:tcW w:type="dxa" w:w="2257"/>
          </w:tcPr>
          <w:p>
            <w:pPr>
              <w:jc w:val="right"/>
            </w:pPr>
            <w:r>
              <w:rPr>
                <w:rFonts w:ascii="Arial" w:hAnsi="Arial" w:eastAsia="Arial"/>
              </w:rPr>
              <w:t>تغير أسعار مواد البناء</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ارتفاع التكاليف</w:t>
            </w:r>
          </w:p>
        </w:tc>
        <w:tc>
          <w:tcPr>
            <w:tcW w:type="dxa" w:w="2257"/>
          </w:tcPr>
          <w:p>
            <w:pPr>
              <w:jc w:val="right"/>
            </w:pPr>
            <w:r>
              <w:rPr>
                <w:rFonts w:ascii="Arial" w:hAnsi="Arial" w:eastAsia="Arial"/>
              </w:rPr>
              <w:t>عقود ثابتة السعر مع مقاولين موثوقين</w:t>
            </w:r>
          </w:p>
        </w:tc>
      </w:tr>
      <w:tr>
        <w:tc>
          <w:tcPr>
            <w:tcW w:type="dxa" w:w="2257"/>
          </w:tcPr>
          <w:p>
            <w:pPr>
              <w:jc w:val="right"/>
            </w:pPr>
            <w:r>
              <w:rPr>
                <w:rFonts w:ascii="Arial" w:hAnsi="Arial" w:eastAsia="Arial"/>
              </w:rPr>
              <w:t>نزاعات قانونية مع المالك</w:t>
            </w:r>
          </w:p>
        </w:tc>
        <w:tc>
          <w:tcPr>
            <w:tcW w:type="dxa" w:w="2257"/>
          </w:tcPr>
          <w:p>
            <w:pPr>
              <w:jc w:val="right"/>
            </w:pPr>
            <w:r>
              <w:rPr>
                <w:rFonts w:ascii="Arial" w:hAnsi="Arial" w:eastAsia="Arial"/>
              </w:rPr>
              <w:t>متوسطة</w:t>
            </w:r>
          </w:p>
        </w:tc>
        <w:tc>
          <w:tcPr>
            <w:tcW w:type="dxa" w:w="2257"/>
          </w:tcPr>
          <w:p>
            <w:pPr>
              <w:jc w:val="right"/>
            </w:pPr>
            <w:r>
              <w:rPr>
                <w:rFonts w:ascii="Arial" w:hAnsi="Arial" w:eastAsia="Arial"/>
              </w:rPr>
              <w:t>توقف المشروع</w:t>
            </w:r>
          </w:p>
        </w:tc>
        <w:tc>
          <w:tcPr>
            <w:tcW w:type="dxa" w:w="2257"/>
          </w:tcPr>
          <w:p>
            <w:pPr>
              <w:jc w:val="right"/>
            </w:pPr>
            <w:r>
              <w:rPr>
                <w:rFonts w:ascii="Arial" w:hAnsi="Arial" w:eastAsia="Arial"/>
              </w:rPr>
              <w:t>عقود واضحة + إدراج شرط تحكيم ملزم</w:t>
            </w:r>
          </w:p>
        </w:tc>
      </w:tr>
      <w:tr>
        <w:tc>
          <w:tcPr>
            <w:tcW w:type="dxa" w:w="2257"/>
          </w:tcPr>
          <w:p>
            <w:pPr>
              <w:jc w:val="right"/>
            </w:pPr>
            <w:r>
              <w:rPr>
                <w:rFonts w:ascii="Arial" w:hAnsi="Arial" w:eastAsia="Arial"/>
              </w:rPr>
              <w:t>تراجع أسعار العقار</w:t>
            </w:r>
          </w:p>
        </w:tc>
        <w:tc>
          <w:tcPr>
            <w:tcW w:type="dxa" w:w="2257"/>
          </w:tcPr>
          <w:p>
            <w:pPr>
              <w:jc w:val="right"/>
            </w:pPr>
            <w:r>
              <w:rPr>
                <w:rFonts w:ascii="Arial" w:hAnsi="Arial" w:eastAsia="Arial"/>
              </w:rPr>
              <w:t>منخفضة إلى متوسطة</w:t>
            </w:r>
          </w:p>
        </w:tc>
        <w:tc>
          <w:tcPr>
            <w:tcW w:type="dxa" w:w="2257"/>
          </w:tcPr>
          <w:p>
            <w:pPr>
              <w:jc w:val="right"/>
            </w:pPr>
            <w:r>
              <w:rPr>
                <w:rFonts w:ascii="Arial" w:hAnsi="Arial" w:eastAsia="Arial"/>
              </w:rPr>
              <w:t>انخفاض الهوامش</w:t>
            </w:r>
          </w:p>
        </w:tc>
        <w:tc>
          <w:tcPr>
            <w:tcW w:type="dxa" w:w="2257"/>
          </w:tcPr>
          <w:p>
            <w:pPr>
              <w:jc w:val="right"/>
            </w:pPr>
            <w:r>
              <w:rPr>
                <w:rFonts w:ascii="Arial" w:hAnsi="Arial" w:eastAsia="Arial"/>
              </w:rPr>
              <w:t>تنويع جغرافي واستهداف فئات متعددة</w:t>
            </w:r>
          </w:p>
        </w:tc>
      </w:tr>
    </w:tbl>
    <w:p>
      <w:pPr>
        <w:pStyle w:val="Heading2"/>
        <w:jc w:val="right"/>
      </w:pPr>
      <w:r>
        <w:rPr>
          <w:rFonts w:ascii="Arial" w:hAnsi="Arial" w:eastAsia="Arial"/>
          <w:color w:val="D4A853"/>
          <w:sz w:val="28"/>
        </w:rPr>
        <w:t>9.2 سياسة التأمين</w:t>
      </w:r>
    </w:p>
    <w:p>
      <w:pPr>
        <w:pStyle w:val="ListBullet"/>
        <w:jc w:val="right"/>
      </w:pPr>
      <w:r>
        <w:rPr>
          <w:rFonts w:ascii="Arial" w:hAnsi="Arial" w:eastAsia="Arial"/>
          <w:sz w:val="22"/>
        </w:rPr>
        <w:t>تأمين المقاولين الشامل (CAR) لكل مشروع على حدة.</w:t>
      </w:r>
    </w:p>
    <w:p>
      <w:pPr>
        <w:pStyle w:val="ListBullet"/>
        <w:jc w:val="right"/>
      </w:pPr>
      <w:r>
        <w:rPr>
          <w:rFonts w:ascii="Arial" w:hAnsi="Arial" w:eastAsia="Arial"/>
          <w:sz w:val="22"/>
        </w:rPr>
        <w:t>تأمين المسؤولية المدنية العامة للشركة.</w:t>
      </w:r>
    </w:p>
    <w:p>
      <w:pPr>
        <w:pStyle w:val="ListBullet"/>
        <w:jc w:val="right"/>
      </w:pPr>
      <w:r>
        <w:rPr>
          <w:rFonts w:ascii="Arial" w:hAnsi="Arial" w:eastAsia="Arial"/>
          <w:sz w:val="22"/>
        </w:rPr>
        <w:t>تأمين العيوب الخفية للمباني غير المكتملة.</w:t>
      </w:r>
    </w:p>
    <w:p>
      <w:pPr>
        <w:pStyle w:val="ListBullet"/>
        <w:jc w:val="right"/>
      </w:pPr>
      <w:r>
        <w:rPr>
          <w:rFonts w:ascii="Arial" w:hAnsi="Arial" w:eastAsia="Arial"/>
          <w:sz w:val="22"/>
        </w:rPr>
        <w:t>تأمين المسؤولية المهنية للمهندسين والاستشاريين.</w:t>
      </w:r>
    </w:p>
    <w:p>
      <w:pPr>
        <w:pStyle w:val="ListBullet"/>
        <w:jc w:val="right"/>
      </w:pPr>
      <w:r>
        <w:rPr>
          <w:rFonts w:ascii="Arial" w:hAnsi="Arial" w:eastAsia="Arial"/>
          <w:sz w:val="22"/>
        </w:rPr>
        <w:t>تأمين مقر الشركة والأصول الثابتة.</w:t>
      </w:r>
    </w:p>
    <w:p>
      <w:pPr>
        <w:pStyle w:val="Heading2"/>
        <w:jc w:val="right"/>
      </w:pPr>
      <w:r>
        <w:rPr>
          <w:rFonts w:ascii="Arial" w:hAnsi="Arial" w:eastAsia="Arial"/>
          <w:color w:val="D4A853"/>
          <w:sz w:val="28"/>
        </w:rPr>
        <w:t>9.3 الامتثال للكود السعودي</w:t>
      </w:r>
    </w:p>
    <w:p>
      <w:pPr>
        <w:pStyle w:val="ListBullet"/>
        <w:jc w:val="right"/>
      </w:pPr>
      <w:r>
        <w:rPr>
          <w:rFonts w:ascii="Arial" w:hAnsi="Arial" w:eastAsia="Arial"/>
          <w:sz w:val="22"/>
        </w:rPr>
        <w:t>كود البناء السعودي (SBC) - معايير الإنشاء والسلامة.</w:t>
      </w:r>
    </w:p>
    <w:p>
      <w:pPr>
        <w:pStyle w:val="ListBullet"/>
        <w:jc w:val="right"/>
      </w:pPr>
      <w:r>
        <w:rPr>
          <w:rFonts w:ascii="Arial" w:hAnsi="Arial" w:eastAsia="Arial"/>
          <w:sz w:val="22"/>
        </w:rPr>
        <w:t>اشتراطات البلدية - التراخيص والتفتيش الدوري.</w:t>
      </w:r>
    </w:p>
    <w:p>
      <w:pPr>
        <w:pStyle w:val="ListBullet"/>
        <w:jc w:val="right"/>
      </w:pPr>
      <w:r>
        <w:rPr>
          <w:rFonts w:ascii="Arial" w:hAnsi="Arial" w:eastAsia="Arial"/>
          <w:sz w:val="22"/>
        </w:rPr>
        <w:t>اشتراطات الدفاع المدني - السلامة من الحريق.</w:t>
      </w:r>
    </w:p>
    <w:p>
      <w:pPr>
        <w:pStyle w:val="ListBullet"/>
        <w:jc w:val="right"/>
      </w:pPr>
      <w:r>
        <w:rPr>
          <w:rFonts w:ascii="Arial" w:hAnsi="Arial" w:eastAsia="Arial"/>
          <w:sz w:val="22"/>
        </w:rPr>
        <w:t>اشتراطات الهيئة العامة للعقار (REGA).</w:t>
      </w:r>
    </w:p>
    <w:p>
      <w:r>
        <w:br w:type="page"/>
      </w:r>
    </w:p>
    <w:p>
      <w:pPr>
        <w:pStyle w:val="Heading1"/>
        <w:jc w:val="right"/>
      </w:pPr>
      <w:r>
        <w:rPr>
          <w:rFonts w:ascii="Arial" w:hAnsi="Arial" w:eastAsia="Arial"/>
          <w:color w:val="003366"/>
          <w:sz w:val="36"/>
        </w:rPr>
        <w:t>10. خطة التنفيذ والمراحل الزمنية</w:t>
      </w:r>
    </w:p>
    <w:p>
      <w:pPr>
        <w:pStyle w:val="Heading2"/>
        <w:jc w:val="right"/>
      </w:pPr>
      <w:r>
        <w:rPr>
          <w:rFonts w:ascii="Arial" w:hAnsi="Arial" w:eastAsia="Arial"/>
          <w:color w:val="D4A853"/>
          <w:sz w:val="28"/>
        </w:rPr>
        <w:t>10.1 المرحلة الأولى: إثبات النموذج (السنة 1 - 2)</w:t>
      </w:r>
    </w:p>
    <w:p>
      <w:pPr>
        <w:pStyle w:val="ListBullet"/>
        <w:jc w:val="right"/>
      </w:pPr>
      <w:r>
        <w:rPr>
          <w:rFonts w:ascii="Arial" w:hAnsi="Arial" w:eastAsia="Arial"/>
          <w:sz w:val="22"/>
        </w:rPr>
        <w:t>إتمام التأسيس القانوني واستخراج التراخيص اللازمة.</w:t>
      </w:r>
    </w:p>
    <w:p>
      <w:pPr>
        <w:pStyle w:val="ListBullet"/>
        <w:jc w:val="right"/>
      </w:pPr>
      <w:r>
        <w:rPr>
          <w:rFonts w:ascii="Arial" w:hAnsi="Arial" w:eastAsia="Arial"/>
          <w:sz w:val="22"/>
        </w:rPr>
        <w:t>ضخ 25 مليون ريال كاستثمار أولي للمرحلة التجريبية.</w:t>
      </w:r>
    </w:p>
    <w:p>
      <w:pPr>
        <w:pStyle w:val="ListBullet"/>
        <w:jc w:val="right"/>
      </w:pPr>
      <w:r>
        <w:rPr>
          <w:rFonts w:ascii="Arial" w:hAnsi="Arial" w:eastAsia="Arial"/>
          <w:sz w:val="22"/>
        </w:rPr>
        <w:t>تنفيذ 3 - 5 مشاريع قياسية لإثبات جدوى النموذج.</w:t>
      </w:r>
    </w:p>
    <w:p>
      <w:pPr>
        <w:pStyle w:val="ListBullet"/>
        <w:jc w:val="right"/>
      </w:pPr>
      <w:r>
        <w:rPr>
          <w:rFonts w:ascii="Arial" w:hAnsi="Arial" w:eastAsia="Arial"/>
          <w:sz w:val="22"/>
        </w:rPr>
        <w:t>بناء فريق تشغيلي أساسي يتراوح بين 10 و 15 موظفاً.</w:t>
      </w:r>
    </w:p>
    <w:p>
      <w:pPr>
        <w:pStyle w:val="ListBullet"/>
        <w:jc w:val="right"/>
      </w:pPr>
      <w:r>
        <w:rPr>
          <w:rFonts w:ascii="Arial" w:hAnsi="Arial" w:eastAsia="Arial"/>
          <w:sz w:val="22"/>
        </w:rPr>
        <w:t>إنشاء قاعدة بيانات شاملة للأصول غير المكتملة.</w:t>
      </w:r>
    </w:p>
    <w:p>
      <w:pPr>
        <w:pStyle w:val="Heading2"/>
        <w:jc w:val="right"/>
      </w:pPr>
      <w:r>
        <w:rPr>
          <w:rFonts w:ascii="Arial" w:hAnsi="Arial" w:eastAsia="Arial"/>
          <w:color w:val="D4A853"/>
          <w:sz w:val="28"/>
        </w:rPr>
        <w:t>10.2 المرحلة الثانية: النمو والتكرار (السنة 3 - 5)</w:t>
      </w:r>
    </w:p>
    <w:p>
      <w:pPr>
        <w:pStyle w:val="ListBullet"/>
        <w:jc w:val="right"/>
      </w:pPr>
      <w:r>
        <w:rPr>
          <w:rFonts w:ascii="Arial" w:hAnsi="Arial" w:eastAsia="Arial"/>
          <w:sz w:val="22"/>
        </w:rPr>
        <w:t>زيادة رأس المال المستدعى تدريجياً حسب نمو المحفظة.</w:t>
      </w:r>
    </w:p>
    <w:p>
      <w:pPr>
        <w:pStyle w:val="ListBullet"/>
        <w:jc w:val="right"/>
      </w:pPr>
      <w:r>
        <w:rPr>
          <w:rFonts w:ascii="Arial" w:hAnsi="Arial" w:eastAsia="Arial"/>
          <w:sz w:val="22"/>
        </w:rPr>
        <w:t>الوصول إلى 6 - 10 مشاريع سنوياً.</w:t>
      </w:r>
    </w:p>
    <w:p>
      <w:pPr>
        <w:pStyle w:val="ListBullet"/>
        <w:jc w:val="right"/>
      </w:pPr>
      <w:r>
        <w:rPr>
          <w:rFonts w:ascii="Arial" w:hAnsi="Arial" w:eastAsia="Arial"/>
          <w:sz w:val="22"/>
        </w:rPr>
        <w:t>تحقيق الربحية التشغيلية المستدامة.</w:t>
      </w:r>
    </w:p>
    <w:p>
      <w:pPr>
        <w:pStyle w:val="ListBullet"/>
        <w:jc w:val="right"/>
      </w:pPr>
      <w:r>
        <w:rPr>
          <w:rFonts w:ascii="Arial" w:hAnsi="Arial" w:eastAsia="Arial"/>
          <w:sz w:val="22"/>
        </w:rPr>
        <w:t>تطوير نظام ERP وأتمتة العمليات التشغيلية.</w:t>
      </w:r>
    </w:p>
    <w:p>
      <w:pPr>
        <w:pStyle w:val="ListBullet"/>
        <w:jc w:val="right"/>
      </w:pPr>
      <w:r>
        <w:rPr>
          <w:rFonts w:ascii="Arial" w:hAnsi="Arial" w:eastAsia="Arial"/>
          <w:sz w:val="22"/>
        </w:rPr>
        <w:t>التركيز على مدينتي الرياض وجدة كأسواق رئيسية.</w:t>
      </w:r>
    </w:p>
    <w:p>
      <w:pPr>
        <w:pStyle w:val="Heading2"/>
        <w:jc w:val="right"/>
      </w:pPr>
      <w:r>
        <w:rPr>
          <w:rFonts w:ascii="Arial" w:hAnsi="Arial" w:eastAsia="Arial"/>
          <w:color w:val="D4A853"/>
          <w:sz w:val="28"/>
        </w:rPr>
        <w:t>10.3 المرحلة الثالثة: الخروج الاستراتيجي (السنة 5 - 7)</w:t>
      </w:r>
    </w:p>
    <w:p>
      <w:pPr>
        <w:pStyle w:val="ListBullet"/>
        <w:jc w:val="right"/>
      </w:pPr>
      <w:r>
        <w:rPr>
          <w:rFonts w:ascii="Arial" w:hAnsi="Arial" w:eastAsia="Arial"/>
          <w:sz w:val="22"/>
        </w:rPr>
        <w:t>بيع حصة مسيطرة لصندوق استثماري عقاري أو مطور كبير.</w:t>
      </w:r>
    </w:p>
    <w:p>
      <w:pPr>
        <w:pStyle w:val="ListBullet"/>
        <w:jc w:val="right"/>
      </w:pPr>
      <w:r>
        <w:rPr>
          <w:rFonts w:ascii="Arial" w:hAnsi="Arial" w:eastAsia="Arial"/>
          <w:sz w:val="22"/>
        </w:rPr>
        <w:t>أو إجراء طرح جزئي في السوق المالية السعودية (Tadawul).</w:t>
      </w:r>
    </w:p>
    <w:p>
      <w:pPr>
        <w:pStyle w:val="ListBullet"/>
        <w:jc w:val="right"/>
      </w:pPr>
      <w:r>
        <w:rPr>
          <w:rFonts w:ascii="Arial" w:hAnsi="Arial" w:eastAsia="Arial"/>
          <w:sz w:val="22"/>
        </w:rPr>
        <w:t>أو إعادة شراء الأسهم من المساهمين تدريجياً من الأرباح.</w:t>
      </w:r>
    </w:p>
    <w:p>
      <w:pPr>
        <w:pStyle w:val="Heading2"/>
        <w:jc w:val="right"/>
      </w:pPr>
      <w:r>
        <w:rPr>
          <w:rFonts w:ascii="Arial" w:hAnsi="Arial" w:eastAsia="Arial"/>
          <w:color w:val="D4A853"/>
          <w:sz w:val="28"/>
        </w:rPr>
        <w:t>10.4 المخطط الزمني الرئيسي</w:t>
      </w:r>
    </w:p>
    <w:tbl>
      <w:tblPr>
        <w:tblStyle w:val="LightGrid-Accent1"/>
        <w:tblW w:type="auto" w:w="0"/>
        <w:jc w:val="right"/>
        <w:tblLayout w:type="autofit"/>
        <w:tblLook w:firstColumn="1" w:firstRow="1" w:lastColumn="0" w:lastRow="0" w:noHBand="0" w:noVBand="1" w:val="04A0"/>
      </w:tblPr>
      <w:tblGrid>
        <w:gridCol w:w="3010"/>
        <w:gridCol w:w="3010"/>
        <w:gridCol w:w="3010"/>
      </w:tblGrid>
      <w:tr>
        <w:tc>
          <w:tcPr>
            <w:tcW w:type="dxa" w:w="3010"/>
            <w:shd w:fill="0A0F1A"/>
          </w:tcPr>
          <w:p>
            <w:pPr>
              <w:jc w:val="right"/>
            </w:pPr>
            <w:r>
              <w:rPr>
                <w:rFonts w:ascii="Arial" w:hAnsi="Arial" w:eastAsia="Arial"/>
                <w:b/>
                <w:color w:val="FFFFFF"/>
              </w:rPr>
              <w:t>المرحلة</w:t>
            </w:r>
          </w:p>
        </w:tc>
        <w:tc>
          <w:tcPr>
            <w:tcW w:type="dxa" w:w="3010"/>
            <w:shd w:fill="0A0F1A"/>
          </w:tcPr>
          <w:p>
            <w:pPr>
              <w:jc w:val="right"/>
            </w:pPr>
            <w:r>
              <w:rPr>
                <w:rFonts w:ascii="Arial" w:hAnsi="Arial" w:eastAsia="Arial"/>
                <w:b/>
                <w:color w:val="FFFFFF"/>
              </w:rPr>
              <w:t>المدة</w:t>
            </w:r>
          </w:p>
        </w:tc>
        <w:tc>
          <w:tcPr>
            <w:tcW w:type="dxa" w:w="3010"/>
            <w:shd w:fill="0A0F1A"/>
          </w:tcPr>
          <w:p>
            <w:pPr>
              <w:jc w:val="right"/>
            </w:pPr>
            <w:r>
              <w:rPr>
                <w:rFonts w:ascii="Arial" w:hAnsi="Arial" w:eastAsia="Arial"/>
                <w:b/>
                <w:color w:val="FFFFFF"/>
              </w:rPr>
              <w:t>المعالم الرئيسية</w:t>
            </w:r>
          </w:p>
        </w:tc>
      </w:tr>
      <w:tr>
        <w:tc>
          <w:tcPr>
            <w:tcW w:type="dxa" w:w="3010"/>
          </w:tcPr>
          <w:p>
            <w:pPr>
              <w:jc w:val="right"/>
            </w:pPr>
            <w:r>
              <w:rPr>
                <w:rFonts w:ascii="Arial" w:hAnsi="Arial" w:eastAsia="Arial"/>
              </w:rPr>
              <w:t>المرحلة</w:t>
            </w:r>
          </w:p>
        </w:tc>
        <w:tc>
          <w:tcPr>
            <w:tcW w:type="dxa" w:w="3010"/>
          </w:tcPr>
          <w:p>
            <w:pPr>
              <w:jc w:val="right"/>
            </w:pPr>
            <w:r>
              <w:rPr>
                <w:rFonts w:ascii="Arial" w:hAnsi="Arial" w:eastAsia="Arial"/>
              </w:rPr>
              <w:t>المدة</w:t>
            </w:r>
          </w:p>
        </w:tc>
        <w:tc>
          <w:tcPr>
            <w:tcW w:type="dxa" w:w="3010"/>
          </w:tcPr>
          <w:p>
            <w:pPr>
              <w:jc w:val="right"/>
            </w:pPr>
            <w:r>
              <w:rPr>
                <w:rFonts w:ascii="Arial" w:hAnsi="Arial" w:eastAsia="Arial"/>
              </w:rPr>
              <w:t>المعالم الرئيسية</w:t>
            </w:r>
          </w:p>
        </w:tc>
      </w:tr>
      <w:tr>
        <w:tc>
          <w:tcPr>
            <w:tcW w:type="dxa" w:w="3010"/>
          </w:tcPr>
          <w:p>
            <w:pPr>
              <w:jc w:val="right"/>
            </w:pPr>
            <w:r>
              <w:rPr>
                <w:rFonts w:ascii="Arial" w:hAnsi="Arial" w:eastAsia="Arial"/>
              </w:rPr>
              <w:t>التأسيس</w:t>
            </w:r>
          </w:p>
        </w:tc>
        <w:tc>
          <w:tcPr>
            <w:tcW w:type="dxa" w:w="3010"/>
          </w:tcPr>
          <w:p>
            <w:pPr>
              <w:jc w:val="right"/>
            </w:pPr>
            <w:r>
              <w:rPr>
                <w:rFonts w:ascii="Arial" w:hAnsi="Arial" w:eastAsia="Arial"/>
              </w:rPr>
              <w:t>0 - 6 أشهر</w:t>
            </w:r>
          </w:p>
        </w:tc>
        <w:tc>
          <w:tcPr>
            <w:tcW w:type="dxa" w:w="3010"/>
          </w:tcPr>
          <w:p>
            <w:pPr>
              <w:jc w:val="right"/>
            </w:pPr>
            <w:r>
              <w:rPr>
                <w:rFonts w:ascii="Arial" w:hAnsi="Arial" w:eastAsia="Arial"/>
              </w:rPr>
              <w:t>استخراج التراخيص، تجهيز المقر، تجميع الفريق الأساسي</w:t>
            </w:r>
          </w:p>
        </w:tc>
      </w:tr>
      <w:tr>
        <w:tc>
          <w:tcPr>
            <w:tcW w:type="dxa" w:w="3010"/>
          </w:tcPr>
          <w:p>
            <w:pPr>
              <w:jc w:val="right"/>
            </w:pPr>
            <w:r>
              <w:rPr>
                <w:rFonts w:ascii="Arial" w:hAnsi="Arial" w:eastAsia="Arial"/>
              </w:rPr>
              <w:t>الإطلاق</w:t>
            </w:r>
          </w:p>
        </w:tc>
        <w:tc>
          <w:tcPr>
            <w:tcW w:type="dxa" w:w="3010"/>
          </w:tcPr>
          <w:p>
            <w:pPr>
              <w:jc w:val="right"/>
            </w:pPr>
            <w:r>
              <w:rPr>
                <w:rFonts w:ascii="Arial" w:hAnsi="Arial" w:eastAsia="Arial"/>
              </w:rPr>
              <w:t>6 - 12 شهراً</w:t>
            </w:r>
          </w:p>
        </w:tc>
        <w:tc>
          <w:tcPr>
            <w:tcW w:type="dxa" w:w="3010"/>
          </w:tcPr>
          <w:p>
            <w:pPr>
              <w:jc w:val="right"/>
            </w:pPr>
            <w:r>
              <w:rPr>
                <w:rFonts w:ascii="Arial" w:hAnsi="Arial" w:eastAsia="Arial"/>
              </w:rPr>
              <w:t>تنفيذ أول 3 مشاريع، تحقيق أولى الإيرادات</w:t>
            </w:r>
          </w:p>
        </w:tc>
      </w:tr>
      <w:tr>
        <w:tc>
          <w:tcPr>
            <w:tcW w:type="dxa" w:w="3010"/>
          </w:tcPr>
          <w:p>
            <w:pPr>
              <w:jc w:val="right"/>
            </w:pPr>
            <w:r>
              <w:rPr>
                <w:rFonts w:ascii="Arial" w:hAnsi="Arial" w:eastAsia="Arial"/>
              </w:rPr>
              <w:t>النمو</w:t>
            </w:r>
          </w:p>
        </w:tc>
        <w:tc>
          <w:tcPr>
            <w:tcW w:type="dxa" w:w="3010"/>
          </w:tcPr>
          <w:p>
            <w:pPr>
              <w:jc w:val="right"/>
            </w:pPr>
            <w:r>
              <w:rPr>
                <w:rFonts w:ascii="Arial" w:hAnsi="Arial" w:eastAsia="Arial"/>
              </w:rPr>
              <w:t>السنة 2 - 3</w:t>
            </w:r>
          </w:p>
        </w:tc>
        <w:tc>
          <w:tcPr>
            <w:tcW w:type="dxa" w:w="3010"/>
          </w:tcPr>
          <w:p>
            <w:pPr>
              <w:jc w:val="right"/>
            </w:pPr>
            <w:r>
              <w:rPr>
                <w:rFonts w:ascii="Arial" w:hAnsi="Arial" w:eastAsia="Arial"/>
              </w:rPr>
              <w:t>6 مشاريع سنوياً، الوصول للتعادل التشغيلي</w:t>
            </w:r>
          </w:p>
        </w:tc>
      </w:tr>
      <w:tr>
        <w:tc>
          <w:tcPr>
            <w:tcW w:type="dxa" w:w="3010"/>
          </w:tcPr>
          <w:p>
            <w:pPr>
              <w:jc w:val="right"/>
            </w:pPr>
            <w:r>
              <w:rPr>
                <w:rFonts w:ascii="Arial" w:hAnsi="Arial" w:eastAsia="Arial"/>
              </w:rPr>
              <w:t>التوسع</w:t>
            </w:r>
          </w:p>
        </w:tc>
        <w:tc>
          <w:tcPr>
            <w:tcW w:type="dxa" w:w="3010"/>
          </w:tcPr>
          <w:p>
            <w:pPr>
              <w:jc w:val="right"/>
            </w:pPr>
            <w:r>
              <w:rPr>
                <w:rFonts w:ascii="Arial" w:hAnsi="Arial" w:eastAsia="Arial"/>
              </w:rPr>
              <w:t>السنة 4 - 5</w:t>
            </w:r>
          </w:p>
        </w:tc>
        <w:tc>
          <w:tcPr>
            <w:tcW w:type="dxa" w:w="3010"/>
          </w:tcPr>
          <w:p>
            <w:pPr>
              <w:jc w:val="right"/>
            </w:pPr>
            <w:r>
              <w:rPr>
                <w:rFonts w:ascii="Arial" w:hAnsi="Arial" w:eastAsia="Arial"/>
              </w:rPr>
              <w:t>10 مشاريع سنوياً، أرباح مستدامة</w:t>
            </w:r>
          </w:p>
        </w:tc>
      </w:tr>
      <w:tr>
        <w:tc>
          <w:tcPr>
            <w:tcW w:type="dxa" w:w="3010"/>
          </w:tcPr>
          <w:p>
            <w:pPr>
              <w:jc w:val="right"/>
            </w:pPr>
            <w:r>
              <w:rPr>
                <w:rFonts w:ascii="Arial" w:hAnsi="Arial" w:eastAsia="Arial"/>
              </w:rPr>
              <w:t>الخروج</w:t>
            </w:r>
          </w:p>
        </w:tc>
        <w:tc>
          <w:tcPr>
            <w:tcW w:type="dxa" w:w="3010"/>
          </w:tcPr>
          <w:p>
            <w:pPr>
              <w:jc w:val="right"/>
            </w:pPr>
            <w:r>
              <w:rPr>
                <w:rFonts w:ascii="Arial" w:hAnsi="Arial" w:eastAsia="Arial"/>
              </w:rPr>
              <w:t>السنة 5 - 7</w:t>
            </w:r>
          </w:p>
        </w:tc>
        <w:tc>
          <w:tcPr>
            <w:tcW w:type="dxa" w:w="3010"/>
          </w:tcPr>
          <w:p>
            <w:pPr>
              <w:jc w:val="right"/>
            </w:pPr>
            <w:r>
              <w:rPr>
                <w:rFonts w:ascii="Arial" w:hAnsi="Arial" w:eastAsia="Arial"/>
              </w:rPr>
              <w:t>بيع استراتيجي أو طرح جزئي</w:t>
            </w:r>
          </w:p>
        </w:tc>
      </w:tr>
    </w:tbl>
    <w:p>
      <w:r>
        <w:br w:type="page"/>
      </w:r>
    </w:p>
    <w:p>
      <w:pPr>
        <w:pStyle w:val="Heading1"/>
        <w:jc w:val="right"/>
      </w:pPr>
      <w:r>
        <w:rPr>
          <w:rFonts w:ascii="Arial" w:hAnsi="Arial" w:eastAsia="Arial"/>
          <w:color w:val="003366"/>
          <w:sz w:val="36"/>
        </w:rPr>
        <w:t>11. الخلاصة والتوصيات</w:t>
      </w:r>
    </w:p>
    <w:p>
      <w:pPr>
        <w:jc w:val="right"/>
      </w:pPr>
      <w:r>
        <w:rPr>
          <w:rFonts w:ascii="Arial" w:hAnsi="Arial" w:eastAsia="Arial"/>
          <w:b w:val="0"/>
          <w:i w:val="0"/>
          <w:color w:val="000000"/>
          <w:sz w:val="24"/>
        </w:rPr>
        <w:t>تقدم شركة إحياء الأصول غير المكتملة العقارية فرصة استثمارية فريدة في السوق العقاري السعودي. يعتمد النموذج التجاري على الشراكة المحاصة مع مالكي العقارات غير المكتملة، مما يلغي الحاجة إلى شراء الأراضي ويقلل رأس المال المطلوب للبدء.</w:t>
      </w:r>
    </w:p>
    <w:p>
      <w:pPr>
        <w:jc w:val="right"/>
      </w:pPr>
      <w:r>
        <w:rPr>
          <w:rFonts w:ascii="Arial" w:hAnsi="Arial" w:eastAsia="Arial"/>
          <w:b w:val="0"/>
          <w:i w:val="0"/>
          <w:color w:val="000000"/>
          <w:sz w:val="24"/>
        </w:rPr>
        <w:t>بفضل التمويل الذاتي من المساهمين المؤسسين، والالتزام بالكود السعودي، والتغطية التأمينية الشاملة، تتمتع الشركة بمخاطر محسوبة وعوائد جذابة تصل إلى 19 - 20% كعائد داخلي متوقع على أفق 10 سنوات.</w:t>
      </w:r>
    </w:p>
    <w:p>
      <w:pPr>
        <w:pStyle w:val="Heading2"/>
        <w:jc w:val="right"/>
      </w:pPr>
      <w:r>
        <w:rPr>
          <w:rFonts w:ascii="Arial" w:hAnsi="Arial" w:eastAsia="Arial"/>
          <w:color w:val="D4A853"/>
          <w:sz w:val="28"/>
        </w:rPr>
        <w:t>التوصيات الرئيسية</w:t>
      </w:r>
    </w:p>
    <w:p>
      <w:pPr>
        <w:pStyle w:val="ListBullet"/>
        <w:jc w:val="right"/>
      </w:pPr>
      <w:r>
        <w:rPr>
          <w:rFonts w:ascii="Arial" w:hAnsi="Arial" w:eastAsia="Arial"/>
          <w:sz w:val="22"/>
        </w:rPr>
        <w:t>البدء بمرحلة تجريبية بـ 25 مليون ريال وتنفيذ 3 - 5 مشاريع قياسية.</w:t>
      </w:r>
    </w:p>
    <w:p>
      <w:pPr>
        <w:pStyle w:val="ListBullet"/>
        <w:jc w:val="right"/>
      </w:pPr>
      <w:r>
        <w:rPr>
          <w:rFonts w:ascii="Arial" w:hAnsi="Arial" w:eastAsia="Arial"/>
          <w:sz w:val="22"/>
        </w:rPr>
        <w:t>التركيز على مدينة واحدة (الرياض أو جدة) في السنوات الأولى لتجنب تشتيت الجهد.</w:t>
      </w:r>
    </w:p>
    <w:p>
      <w:pPr>
        <w:pStyle w:val="ListBullet"/>
        <w:jc w:val="right"/>
      </w:pPr>
      <w:r>
        <w:rPr>
          <w:rFonts w:ascii="Arial" w:hAnsi="Arial" w:eastAsia="Arial"/>
          <w:sz w:val="22"/>
        </w:rPr>
        <w:t>بناء قاعدة بيانات للأصول غير المكتملة قبل الإطلاق الرسمي.</w:t>
      </w:r>
    </w:p>
    <w:p>
      <w:pPr>
        <w:pStyle w:val="ListBullet"/>
        <w:jc w:val="right"/>
      </w:pPr>
      <w:r>
        <w:rPr>
          <w:rFonts w:ascii="Arial" w:hAnsi="Arial" w:eastAsia="Arial"/>
          <w:sz w:val="22"/>
        </w:rPr>
        <w:t>إبرام شراكات مع مقاولين معتمدين يقدمون كفالات بنكية على أعمالهم.</w:t>
      </w:r>
    </w:p>
    <w:p>
      <w:pPr>
        <w:pStyle w:val="ListBullet"/>
        <w:jc w:val="right"/>
      </w:pPr>
      <w:r>
        <w:rPr>
          <w:rFonts w:ascii="Arial" w:hAnsi="Arial" w:eastAsia="Arial"/>
          <w:sz w:val="22"/>
        </w:rPr>
        <w:t>إدراج شرط تحكيم ملزم في جميع عقود المحاصة.</w:t>
      </w:r>
    </w:p>
    <w:p>
      <w:pPr>
        <w:pStyle w:val="ListBullet"/>
        <w:jc w:val="right"/>
      </w:pPr>
      <w:r>
        <w:rPr>
          <w:rFonts w:ascii="Arial" w:hAnsi="Arial" w:eastAsia="Arial"/>
          <w:sz w:val="22"/>
        </w:rPr>
        <w:t>تطوير نظام ERP لإدارة المحفظة والتدفقات النقدية.</w:t>
      </w:r>
    </w:p>
    <w:p>
      <w:pPr>
        <w:pStyle w:val="ListBullet"/>
        <w:jc w:val="right"/>
      </w:pPr>
      <w:r>
        <w:rPr>
          <w:rFonts w:ascii="Arial" w:hAnsi="Arial" w:eastAsia="Arial"/>
          <w:sz w:val="22"/>
        </w:rPr>
        <w:t>إعداد عقد محاصة موحد يحفظ حقوق الشركة والمالك على حد سواء.</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 xml:space="preserve">Bonds Financial Management &amp; Consulting  |  </w:t>
    </w:r>
    <w:r>
      <w:rPr>
        <w:rFonts w:ascii="Arial" w:hAnsi="Arial" w:eastAsia="Arial"/>
        <w:color w:val="D4A853"/>
        <w:sz w:val="18"/>
      </w:rPr>
      <w:t>www.bonds-global.com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