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olor w:val="003366"/>
        </w:rPr>
        <w:t>خطة عمل شركة إحياء الأصول غير المكتملة العقارية</w:t>
      </w:r>
    </w:p>
    <w:p>
      <w:pPr>
        <w:jc w:val="center"/>
      </w:pPr>
      <w:r>
        <w:rPr>
          <w:rFonts w:ascii="Arial" w:hAnsi="Arial" w:eastAsia="Arial"/>
          <w:b/>
          <w:color w:val="666666"/>
          <w:sz w:val="28"/>
        </w:rPr>
        <w:t>شركة مساهمة مقفلة - المملكة العربية السعودية</w:t>
      </w:r>
    </w:p>
    <w:p>
      <w:pPr>
        <w:jc w:val="center"/>
      </w:pPr>
      <w:r>
        <w:rPr>
          <w:rFonts w:ascii="Arial" w:hAnsi="Arial" w:eastAsia="Arial"/>
          <w:i/>
          <w:sz w:val="22"/>
        </w:rPr>
        <w:t>إعداد: Bonds Financial Management &amp; Consulting | يونيو 2026</w:t>
      </w:r>
    </w:p>
    <w:p>
      <w:r>
        <w:br w:type="page"/>
      </w:r>
    </w:p>
    <w:p>
      <w:pPr>
        <w:pStyle w:val="Heading1"/>
        <w:jc w:val="right"/>
      </w:pPr>
      <w:r>
        <w:rPr>
          <w:rFonts w:ascii="Arial" w:hAnsi="Arial" w:eastAsia="Arial"/>
          <w:color w:val="003366"/>
        </w:rPr>
        <w:t>ملخص تنفيذي</w:t>
      </w:r>
    </w:p>
    <w:p>
      <w:pPr>
        <w:jc w:val="right"/>
      </w:pPr>
      <w:r>
        <w:rPr>
          <w:rFonts w:ascii="Arial" w:hAnsi="Arial" w:eastAsia="Arial"/>
          <w:b w:val="0"/>
          <w:i w:val="0"/>
          <w:color w:val="000000"/>
          <w:sz w:val="24"/>
        </w:rPr>
        <w:t>تأسست شركة إحياء الأصول غير المكتملة العقارية كنموذج استثماري فريد يهدف إلى إحياء العقارات غير المكتملة في المملكة العربية السعودية من خلال شراكات محاصة مع مالكيها، دون الحاجة إلى شراء الأراضي أو الاعتماد على التمويل الخارجي.</w:t>
      </w:r>
    </w:p>
    <w:p>
      <w:pPr>
        <w:jc w:val="right"/>
      </w:pPr>
      <w:r>
        <w:rPr>
          <w:rFonts w:ascii="Arial" w:hAnsi="Arial" w:eastAsia="Arial"/>
          <w:b w:val="0"/>
          <w:i w:val="0"/>
          <w:color w:val="000000"/>
          <w:sz w:val="24"/>
        </w:rPr>
        <w:t>الشركة تعمل كنظام مساهمة مقفلة، ممولة بالكامل من المساهمين المؤسسين، وتلتزم بأعلى معايير الكود السعودي للبناء والتشطيب، مع تغطية تأمينية شاملة لجميع المشاريع.</w:t>
      </w:r>
    </w:p>
    <w:p>
      <w:pPr>
        <w:pStyle w:val="Heading2"/>
        <w:jc w:val="right"/>
      </w:pPr>
      <w:r>
        <w:rPr>
          <w:rFonts w:ascii="Arial" w:hAnsi="Arial" w:eastAsia="Arial"/>
        </w:rPr>
        <w:t>أبرز المؤشرات</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المؤشر</w:t>
            </w:r>
          </w:p>
        </w:tc>
        <w:tc>
          <w:tcPr>
            <w:tcW w:type="dxa" w:w="4320"/>
          </w:tcPr>
          <w:p>
            <w:pPr>
              <w:jc w:val="right"/>
            </w:pPr>
            <w:r>
              <w:rPr>
                <w:rFonts w:ascii="Arial" w:hAnsi="Arial" w:eastAsia="Arial"/>
                <w:b/>
              </w:rPr>
              <w:t>القيمة</w:t>
            </w:r>
          </w:p>
        </w:tc>
      </w:tr>
      <w:tr>
        <w:tc>
          <w:tcPr>
            <w:tcW w:type="dxa" w:w="4320"/>
          </w:tcPr>
          <w:p>
            <w:pPr>
              <w:jc w:val="right"/>
            </w:pPr>
            <w:r>
              <w:rPr>
                <w:rFonts w:ascii="Arial" w:hAnsi="Arial" w:eastAsia="Arial"/>
              </w:rPr>
              <w:t>رأس المال المصرح</w:t>
            </w:r>
          </w:p>
        </w:tc>
        <w:tc>
          <w:tcPr>
            <w:tcW w:type="dxa" w:w="4320"/>
          </w:tcPr>
          <w:p>
            <w:pPr>
              <w:jc w:val="right"/>
            </w:pPr>
            <w:r>
              <w:rPr>
                <w:rFonts w:ascii="Arial" w:hAnsi="Arial" w:eastAsia="Arial"/>
              </w:rPr>
              <w:t>200 مليون ريال</w:t>
            </w:r>
          </w:p>
        </w:tc>
      </w:tr>
      <w:tr>
        <w:tc>
          <w:tcPr>
            <w:tcW w:type="dxa" w:w="4320"/>
          </w:tcPr>
          <w:p>
            <w:pPr>
              <w:jc w:val="right"/>
            </w:pPr>
            <w:r>
              <w:rPr>
                <w:rFonts w:ascii="Arial" w:hAnsi="Arial" w:eastAsia="Arial"/>
              </w:rPr>
              <w:t>إجمالي الاستثمار المستهدف</w:t>
            </w:r>
          </w:p>
        </w:tc>
        <w:tc>
          <w:tcPr>
            <w:tcW w:type="dxa" w:w="4320"/>
          </w:tcPr>
          <w:p>
            <w:pPr>
              <w:jc w:val="right"/>
            </w:pPr>
            <w:r>
              <w:rPr>
                <w:rFonts w:ascii="Arial" w:hAnsi="Arial" w:eastAsia="Arial"/>
              </w:rPr>
              <w:t>226 مليون ريال</w:t>
            </w:r>
          </w:p>
        </w:tc>
      </w:tr>
      <w:tr>
        <w:tc>
          <w:tcPr>
            <w:tcW w:type="dxa" w:w="4320"/>
          </w:tcPr>
          <w:p>
            <w:pPr>
              <w:jc w:val="right"/>
            </w:pPr>
            <w:r>
              <w:rPr>
                <w:rFonts w:ascii="Arial" w:hAnsi="Arial" w:eastAsia="Arial"/>
              </w:rPr>
              <w:t>الاستثمار الفعلي المبدئي</w:t>
            </w:r>
          </w:p>
        </w:tc>
        <w:tc>
          <w:tcPr>
            <w:tcW w:type="dxa" w:w="4320"/>
          </w:tcPr>
          <w:p>
            <w:pPr>
              <w:jc w:val="right"/>
            </w:pPr>
            <w:r>
              <w:rPr>
                <w:rFonts w:ascii="Arial" w:hAnsi="Arial" w:eastAsia="Arial"/>
              </w:rPr>
              <w:t>25 مليون ريال</w:t>
            </w:r>
          </w:p>
        </w:tc>
      </w:tr>
      <w:tr>
        <w:tc>
          <w:tcPr>
            <w:tcW w:type="dxa" w:w="4320"/>
          </w:tcPr>
          <w:p>
            <w:pPr>
              <w:jc w:val="right"/>
            </w:pPr>
            <w:r>
              <w:rPr>
                <w:rFonts w:ascii="Arial" w:hAnsi="Arial" w:eastAsia="Arial"/>
              </w:rPr>
              <w:t>IRR المتوقع على أفق 10 سنوات</w:t>
            </w:r>
          </w:p>
        </w:tc>
        <w:tc>
          <w:tcPr>
            <w:tcW w:type="dxa" w:w="4320"/>
          </w:tcPr>
          <w:p>
            <w:pPr>
              <w:jc w:val="right"/>
            </w:pPr>
            <w:r>
              <w:rPr>
                <w:rFonts w:ascii="Arial" w:hAnsi="Arial" w:eastAsia="Arial"/>
              </w:rPr>
              <w:t>19% - 20%</w:t>
            </w:r>
          </w:p>
        </w:tc>
      </w:tr>
      <w:tr>
        <w:tc>
          <w:tcPr>
            <w:tcW w:type="dxa" w:w="4320"/>
          </w:tcPr>
          <w:p>
            <w:pPr>
              <w:jc w:val="right"/>
            </w:pPr>
            <w:r>
              <w:rPr>
                <w:rFonts w:ascii="Arial" w:hAnsi="Arial" w:eastAsia="Arial"/>
              </w:rPr>
              <w:t>العائد عند الخروج</w:t>
            </w:r>
          </w:p>
        </w:tc>
        <w:tc>
          <w:tcPr>
            <w:tcW w:type="dxa" w:w="4320"/>
          </w:tcPr>
          <w:p>
            <w:pPr>
              <w:jc w:val="right"/>
            </w:pPr>
            <w:r>
              <w:rPr>
                <w:rFonts w:ascii="Arial" w:hAnsi="Arial" w:eastAsia="Arial"/>
              </w:rPr>
              <w:t>2.5x - 4x</w:t>
            </w:r>
          </w:p>
        </w:tc>
      </w:tr>
      <w:tr>
        <w:tc>
          <w:tcPr>
            <w:tcW w:type="dxa" w:w="4320"/>
          </w:tcPr>
          <w:p>
            <w:pPr>
              <w:jc w:val="right"/>
            </w:pPr>
            <w:r>
              <w:rPr>
                <w:rFonts w:ascii="Arial" w:hAnsi="Arial" w:eastAsia="Arial"/>
              </w:rPr>
              <w:t>فترة استرداد رأس المال</w:t>
            </w:r>
          </w:p>
        </w:tc>
        <w:tc>
          <w:tcPr>
            <w:tcW w:type="dxa" w:w="4320"/>
          </w:tcPr>
          <w:p>
            <w:pPr>
              <w:jc w:val="right"/>
            </w:pPr>
            <w:r>
              <w:rPr>
                <w:rFonts w:ascii="Arial" w:hAnsi="Arial" w:eastAsia="Arial"/>
              </w:rPr>
              <w:t>5.5 سنة</w:t>
            </w:r>
          </w:p>
        </w:tc>
      </w:tr>
    </w:tbl>
    <w:p>
      <w:pPr>
        <w:pStyle w:val="Heading2"/>
        <w:jc w:val="right"/>
      </w:pPr>
      <w:r>
        <w:rPr>
          <w:rFonts w:ascii="Arial" w:hAnsi="Arial" w:eastAsia="Arial"/>
        </w:rPr>
        <w:t>الفرصة السوقية</w:t>
      </w:r>
    </w:p>
    <w:p>
      <w:pPr>
        <w:pStyle w:val="ListBullet"/>
        <w:jc w:val="right"/>
      </w:pPr>
      <w:r>
        <w:rPr>
          <w:rFonts w:ascii="Arial" w:hAnsi="Arial" w:eastAsia="Arial"/>
          <w:sz w:val="22"/>
        </w:rPr>
        <w:t>السعودية تشهد نمواً عقارياً غير مسبوق بفضل رؤية 2030.</w:t>
      </w:r>
    </w:p>
    <w:p>
      <w:pPr>
        <w:pStyle w:val="ListBullet"/>
        <w:jc w:val="right"/>
      </w:pPr>
      <w:r>
        <w:rPr>
          <w:rFonts w:ascii="Arial" w:hAnsi="Arial" w:eastAsia="Arial"/>
          <w:sz w:val="22"/>
        </w:rPr>
        <w:t>آلاف العقارات غير المكتملة متاحة بسبب نقص السيولة أو الخبرة التنفيذية.</w:t>
      </w:r>
    </w:p>
    <w:p>
      <w:pPr>
        <w:pStyle w:val="ListBullet"/>
        <w:jc w:val="right"/>
      </w:pPr>
      <w:r>
        <w:rPr>
          <w:rFonts w:ascii="Arial" w:hAnsi="Arial" w:eastAsia="Arial"/>
          <w:sz w:val="22"/>
        </w:rPr>
        <w:t>الطلب على الوحدات الجاهزة يفوق العرض في المدن الرئيسية.</w:t>
      </w:r>
    </w:p>
    <w:p>
      <w:pPr>
        <w:pStyle w:val="ListBullet"/>
        <w:jc w:val="right"/>
      </w:pPr>
      <w:r>
        <w:rPr>
          <w:rFonts w:ascii="Arial" w:hAnsi="Arial" w:eastAsia="Arial"/>
          <w:sz w:val="22"/>
        </w:rPr>
        <w:t>عوائد إيجارية مرتفعة في الرياض (8.89%) وجدة (7.89%).</w:t>
      </w:r>
    </w:p>
    <w:p>
      <w:pPr>
        <w:pStyle w:val="Heading2"/>
        <w:jc w:val="right"/>
      </w:pPr>
      <w:r>
        <w:rPr>
          <w:rFonts w:ascii="Arial" w:hAnsi="Arial" w:eastAsia="Arial"/>
        </w:rPr>
        <w:t>نموذج العمل</w:t>
      </w:r>
    </w:p>
    <w:p>
      <w:pPr>
        <w:pStyle w:val="ListBullet"/>
        <w:jc w:val="right"/>
      </w:pPr>
      <w:r>
        <w:rPr>
          <w:rFonts w:ascii="Arial" w:hAnsi="Arial" w:eastAsia="Arial"/>
          <w:sz w:val="22"/>
        </w:rPr>
        <w:t>الشراكة بالمحاصة مع مالك العقار غير المكتمل.</w:t>
      </w:r>
    </w:p>
    <w:p>
      <w:pPr>
        <w:pStyle w:val="ListBullet"/>
        <w:jc w:val="right"/>
      </w:pPr>
      <w:r>
        <w:rPr>
          <w:rFonts w:ascii="Arial" w:hAnsi="Arial" w:eastAsia="Arial"/>
          <w:sz w:val="22"/>
        </w:rPr>
        <w:t>الشركة تتحمل تكاليف التشطيب والتسويق والبيع.</w:t>
      </w:r>
    </w:p>
    <w:p>
      <w:pPr>
        <w:pStyle w:val="ListBullet"/>
        <w:jc w:val="right"/>
      </w:pPr>
      <w:r>
        <w:rPr>
          <w:rFonts w:ascii="Arial" w:hAnsi="Arial" w:eastAsia="Arial"/>
          <w:sz w:val="22"/>
        </w:rPr>
        <w:t>المالك يحتفظ بملكية العقار.</w:t>
      </w:r>
    </w:p>
    <w:p>
      <w:pPr>
        <w:pStyle w:val="ListBullet"/>
        <w:jc w:val="right"/>
      </w:pPr>
      <w:r>
        <w:rPr>
          <w:rFonts w:ascii="Arial" w:hAnsi="Arial" w:eastAsia="Arial"/>
          <w:sz w:val="22"/>
        </w:rPr>
        <w:t>توزيع الأرباح بين الشركة والمالك وفقاً للعقد.</w:t>
      </w:r>
    </w:p>
    <w:p>
      <w:r>
        <w:br w:type="page"/>
      </w:r>
    </w:p>
    <w:p>
      <w:pPr>
        <w:pStyle w:val="Heading1"/>
        <w:jc w:val="right"/>
      </w:pPr>
      <w:r>
        <w:rPr>
          <w:rFonts w:ascii="Arial" w:hAnsi="Arial" w:eastAsia="Arial"/>
          <w:color w:val="003366"/>
        </w:rPr>
        <w:t>1. نظرة عامة على الشركة</w:t>
      </w:r>
    </w:p>
    <w:p>
      <w:pPr>
        <w:pStyle w:val="Heading2"/>
        <w:jc w:val="right"/>
      </w:pPr>
      <w:r>
        <w:rPr>
          <w:rFonts w:ascii="Arial" w:hAnsi="Arial" w:eastAsia="Arial"/>
        </w:rPr>
        <w:t>1.1 الرؤية</w:t>
      </w:r>
    </w:p>
    <w:p>
      <w:pPr>
        <w:jc w:val="right"/>
      </w:pPr>
      <w:r>
        <w:rPr>
          <w:rFonts w:ascii="Arial" w:hAnsi="Arial" w:eastAsia="Arial"/>
          <w:b w:val="0"/>
          <w:i w:val="0"/>
          <w:color w:val="000000"/>
          <w:sz w:val="24"/>
        </w:rPr>
        <w:t>أن نكون الشريك الاستراتيجي المفضل لمالكي العقارات غير المكتملة في المملكة العربية السعودية، من خلال تقديم حلول احترافية لإحياء أصولهم وتحقيق أقصى قيمة ممكنة لهم وللمساهمين.</w:t>
      </w:r>
    </w:p>
    <w:p>
      <w:pPr>
        <w:pStyle w:val="Heading2"/>
        <w:jc w:val="right"/>
      </w:pPr>
      <w:r>
        <w:rPr>
          <w:rFonts w:ascii="Arial" w:hAnsi="Arial" w:eastAsia="Arial"/>
        </w:rPr>
        <w:t>1.2 الرسالة</w:t>
      </w:r>
    </w:p>
    <w:p>
      <w:pPr>
        <w:jc w:val="right"/>
      </w:pPr>
      <w:r>
        <w:rPr>
          <w:rFonts w:ascii="Arial" w:hAnsi="Arial" w:eastAsia="Arial"/>
          <w:b w:val="0"/>
          <w:i w:val="0"/>
          <w:color w:val="000000"/>
          <w:sz w:val="24"/>
        </w:rPr>
        <w:t>إحياء العقارات غير المكتملة بمعايير عالية من الجودة والالتزام، وبنموذج مالي مستدام يحقق العوائد للشركاء ويحفظ حقوق ملاك الأصول.</w:t>
      </w:r>
    </w:p>
    <w:p>
      <w:pPr>
        <w:pStyle w:val="Heading2"/>
        <w:jc w:val="right"/>
      </w:pPr>
      <w:r>
        <w:rPr>
          <w:rFonts w:ascii="Arial" w:hAnsi="Arial" w:eastAsia="Arial"/>
        </w:rPr>
        <w:t>1.3 القيم</w:t>
      </w:r>
    </w:p>
    <w:p>
      <w:pPr>
        <w:pStyle w:val="ListBullet"/>
        <w:jc w:val="right"/>
      </w:pPr>
      <w:r>
        <w:rPr>
          <w:rFonts w:ascii="Arial" w:hAnsi="Arial" w:eastAsia="Arial"/>
          <w:sz w:val="22"/>
        </w:rPr>
        <w:t>الاحترام: احترام مالك الأصل وحقوقه الملكية.</w:t>
      </w:r>
    </w:p>
    <w:p>
      <w:pPr>
        <w:pStyle w:val="ListBullet"/>
        <w:jc w:val="right"/>
      </w:pPr>
      <w:r>
        <w:rPr>
          <w:rFonts w:ascii="Arial" w:hAnsi="Arial" w:eastAsia="Arial"/>
          <w:sz w:val="22"/>
        </w:rPr>
        <w:t>الجودة: الالتزام بالكود السعودي وأعلى معايير التشطيب.</w:t>
      </w:r>
    </w:p>
    <w:p>
      <w:pPr>
        <w:pStyle w:val="ListBullet"/>
        <w:jc w:val="right"/>
      </w:pPr>
      <w:r>
        <w:rPr>
          <w:rFonts w:ascii="Arial" w:hAnsi="Arial" w:eastAsia="Arial"/>
          <w:sz w:val="22"/>
        </w:rPr>
        <w:t>الشفافية: وضوح كامل في العقود والتقارير المالية.</w:t>
      </w:r>
    </w:p>
    <w:p>
      <w:pPr>
        <w:pStyle w:val="ListBullet"/>
        <w:jc w:val="right"/>
      </w:pPr>
      <w:r>
        <w:rPr>
          <w:rFonts w:ascii="Arial" w:hAnsi="Arial" w:eastAsia="Arial"/>
          <w:sz w:val="22"/>
        </w:rPr>
        <w:t>الاستدامة: بناء نموذج اقتصادي طويل الأجل.</w:t>
      </w:r>
    </w:p>
    <w:p>
      <w:pPr>
        <w:pStyle w:val="ListBullet"/>
        <w:jc w:val="right"/>
      </w:pPr>
      <w:r>
        <w:rPr>
          <w:rFonts w:ascii="Arial" w:hAnsi="Arial" w:eastAsia="Arial"/>
          <w:sz w:val="22"/>
        </w:rPr>
        <w:t>الابتكار: استخدام التقنية لتحسين الكفاءة وتقليل المخاطر.</w:t>
      </w:r>
    </w:p>
    <w:p>
      <w:pPr>
        <w:pStyle w:val="Heading2"/>
        <w:jc w:val="right"/>
      </w:pPr>
      <w:r>
        <w:rPr>
          <w:rFonts w:ascii="Arial" w:hAnsi="Arial" w:eastAsia="Arial"/>
        </w:rPr>
        <w:t>1.4 الشكل القانوني</w:t>
      </w:r>
    </w:p>
    <w:p>
      <w:pPr>
        <w:jc w:val="right"/>
      </w:pPr>
      <w:r>
        <w:rPr>
          <w:rFonts w:ascii="Arial" w:hAnsi="Arial" w:eastAsia="Arial"/>
          <w:b w:val="0"/>
          <w:i w:val="0"/>
          <w:color w:val="000000"/>
          <w:sz w:val="24"/>
        </w:rPr>
        <w:t>شركة مساهمة مقفلة مرخصة من وزارة التجارة وهيئة العقار (REGA)، وفق نظام الشركات السعودي. هذا الشكل يتيح جمع رأس المال من المساهمين المؤسسين مع الحفاظ على مرونة الإدارة وسرعة اتخاذ القرار.</w:t>
      </w:r>
    </w:p>
    <w:p>
      <w:pPr>
        <w:pStyle w:val="Heading2"/>
        <w:jc w:val="right"/>
      </w:pPr>
      <w:r>
        <w:rPr>
          <w:rFonts w:ascii="Arial" w:hAnsi="Arial" w:eastAsia="Arial"/>
        </w:rPr>
        <w:t>1.5 رأس المال وهيكل الملكية</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البند</w:t>
            </w:r>
          </w:p>
        </w:tc>
        <w:tc>
          <w:tcPr>
            <w:tcW w:type="dxa" w:w="4320"/>
          </w:tcPr>
          <w:p>
            <w:pPr>
              <w:jc w:val="right"/>
            </w:pPr>
            <w:r>
              <w:rPr>
                <w:rFonts w:ascii="Arial" w:hAnsi="Arial" w:eastAsia="Arial"/>
                <w:b/>
              </w:rPr>
              <w:t>القيمة</w:t>
            </w:r>
          </w:p>
        </w:tc>
      </w:tr>
      <w:tr>
        <w:tc>
          <w:tcPr>
            <w:tcW w:type="dxa" w:w="4320"/>
          </w:tcPr>
          <w:p>
            <w:pPr>
              <w:jc w:val="right"/>
            </w:pPr>
            <w:r>
              <w:rPr>
                <w:rFonts w:ascii="Arial" w:hAnsi="Arial" w:eastAsia="Arial"/>
              </w:rPr>
              <w:t>رأس المال المصرح</w:t>
            </w:r>
          </w:p>
        </w:tc>
        <w:tc>
          <w:tcPr>
            <w:tcW w:type="dxa" w:w="4320"/>
          </w:tcPr>
          <w:p>
            <w:pPr>
              <w:jc w:val="right"/>
            </w:pPr>
            <w:r>
              <w:rPr>
                <w:rFonts w:ascii="Arial" w:hAnsi="Arial" w:eastAsia="Arial"/>
              </w:rPr>
              <w:t>200,000,000 ريال</w:t>
            </w:r>
          </w:p>
        </w:tc>
      </w:tr>
      <w:tr>
        <w:tc>
          <w:tcPr>
            <w:tcW w:type="dxa" w:w="4320"/>
          </w:tcPr>
          <w:p>
            <w:pPr>
              <w:jc w:val="right"/>
            </w:pPr>
            <w:r>
              <w:rPr>
                <w:rFonts w:ascii="Arial" w:hAnsi="Arial" w:eastAsia="Arial"/>
              </w:rPr>
              <w:t>عدد الأسهم</w:t>
            </w:r>
          </w:p>
        </w:tc>
        <w:tc>
          <w:tcPr>
            <w:tcW w:type="dxa" w:w="4320"/>
          </w:tcPr>
          <w:p>
            <w:pPr>
              <w:jc w:val="right"/>
            </w:pPr>
            <w:r>
              <w:rPr>
                <w:rFonts w:ascii="Arial" w:hAnsi="Arial" w:eastAsia="Arial"/>
              </w:rPr>
              <w:t>40,000 سهم</w:t>
            </w:r>
          </w:p>
        </w:tc>
      </w:tr>
      <w:tr>
        <w:tc>
          <w:tcPr>
            <w:tcW w:type="dxa" w:w="4320"/>
          </w:tcPr>
          <w:p>
            <w:pPr>
              <w:jc w:val="right"/>
            </w:pPr>
            <w:r>
              <w:rPr>
                <w:rFonts w:ascii="Arial" w:hAnsi="Arial" w:eastAsia="Arial"/>
              </w:rPr>
              <w:t>القيمة الاسمية للسهم</w:t>
            </w:r>
          </w:p>
        </w:tc>
        <w:tc>
          <w:tcPr>
            <w:tcW w:type="dxa" w:w="4320"/>
          </w:tcPr>
          <w:p>
            <w:pPr>
              <w:jc w:val="right"/>
            </w:pPr>
            <w:r>
              <w:rPr>
                <w:rFonts w:ascii="Arial" w:hAnsi="Arial" w:eastAsia="Arial"/>
              </w:rPr>
              <w:t>5,000 ريال</w:t>
            </w:r>
          </w:p>
        </w:tc>
      </w:tr>
      <w:tr>
        <w:tc>
          <w:tcPr>
            <w:tcW w:type="dxa" w:w="4320"/>
          </w:tcPr>
          <w:p>
            <w:pPr>
              <w:jc w:val="right"/>
            </w:pPr>
            <w:r>
              <w:rPr>
                <w:rFonts w:ascii="Arial" w:hAnsi="Arial" w:eastAsia="Arial"/>
              </w:rPr>
              <w:t>القيمة الفعلية للسهم</w:t>
            </w:r>
          </w:p>
        </w:tc>
        <w:tc>
          <w:tcPr>
            <w:tcW w:type="dxa" w:w="4320"/>
          </w:tcPr>
          <w:p>
            <w:pPr>
              <w:jc w:val="right"/>
            </w:pPr>
            <w:r>
              <w:rPr>
                <w:rFonts w:ascii="Arial" w:hAnsi="Arial" w:eastAsia="Arial"/>
              </w:rPr>
              <w:t>5,650 ريال</w:t>
            </w:r>
          </w:p>
        </w:tc>
      </w:tr>
      <w:tr>
        <w:tc>
          <w:tcPr>
            <w:tcW w:type="dxa" w:w="4320"/>
          </w:tcPr>
          <w:p>
            <w:pPr>
              <w:jc w:val="right"/>
            </w:pPr>
            <w:r>
              <w:rPr>
                <w:rFonts w:ascii="Arial" w:hAnsi="Arial" w:eastAsia="Arial"/>
              </w:rPr>
              <w:t>علاوة الإصدار والتأسيس</w:t>
            </w:r>
          </w:p>
        </w:tc>
        <w:tc>
          <w:tcPr>
            <w:tcW w:type="dxa" w:w="4320"/>
          </w:tcPr>
          <w:p>
            <w:pPr>
              <w:jc w:val="right"/>
            </w:pPr>
            <w:r>
              <w:rPr>
                <w:rFonts w:ascii="Arial" w:hAnsi="Arial" w:eastAsia="Arial"/>
              </w:rPr>
              <w:t>26,000,000 ريال</w:t>
            </w:r>
          </w:p>
        </w:tc>
      </w:tr>
      <w:tr>
        <w:tc>
          <w:tcPr>
            <w:tcW w:type="dxa" w:w="4320"/>
          </w:tcPr>
          <w:p>
            <w:pPr>
              <w:jc w:val="right"/>
            </w:pPr>
            <w:r>
              <w:rPr>
                <w:rFonts w:ascii="Arial" w:hAnsi="Arial" w:eastAsia="Arial"/>
              </w:rPr>
              <w:t>إجمالي الاستثمار المستهدف</w:t>
            </w:r>
          </w:p>
        </w:tc>
        <w:tc>
          <w:tcPr>
            <w:tcW w:type="dxa" w:w="4320"/>
          </w:tcPr>
          <w:p>
            <w:pPr>
              <w:jc w:val="right"/>
            </w:pPr>
            <w:r>
              <w:rPr>
                <w:rFonts w:ascii="Arial" w:hAnsi="Arial" w:eastAsia="Arial"/>
              </w:rPr>
              <w:t>226,000,000 ريال</w:t>
            </w:r>
          </w:p>
        </w:tc>
      </w:tr>
    </w:tbl>
    <w:p>
      <w:r>
        <w:br w:type="page"/>
      </w:r>
    </w:p>
    <w:p>
      <w:pPr>
        <w:pStyle w:val="Heading1"/>
        <w:jc w:val="right"/>
      </w:pPr>
      <w:r>
        <w:rPr>
          <w:rFonts w:ascii="Arial" w:hAnsi="Arial" w:eastAsia="Arial"/>
          <w:color w:val="003366"/>
        </w:rPr>
        <w:t>2. تحليل السوق</w:t>
      </w:r>
    </w:p>
    <w:p>
      <w:pPr>
        <w:pStyle w:val="Heading2"/>
        <w:jc w:val="right"/>
      </w:pPr>
      <w:r>
        <w:rPr>
          <w:rFonts w:ascii="Arial" w:hAnsi="Arial" w:eastAsia="Arial"/>
        </w:rPr>
        <w:t>2.1 نظرة عامة على السوق العقاري السعودي</w:t>
      </w:r>
    </w:p>
    <w:p>
      <w:pPr>
        <w:jc w:val="right"/>
      </w:pPr>
      <w:r>
        <w:rPr>
          <w:rFonts w:ascii="Arial" w:hAnsi="Arial" w:eastAsia="Arial"/>
          <w:b w:val="0"/>
          <w:i w:val="0"/>
          <w:color w:val="000000"/>
          <w:sz w:val="24"/>
        </w:rPr>
        <w:t>يشهد قطاع الاستثمار والتطوير العقاري في المملكة العربية السعودية تحولاً جذرياً، مدفوعاً برؤية 2030 والمشاريع التنموية الضخمة. القطاع يتجه نحو النضج، مع بدء ديناميكيات طلب حقيقية وملموسة في سلوك المستهلكين.</w:t>
      </w:r>
    </w:p>
    <w:p>
      <w:pPr>
        <w:pStyle w:val="Heading2"/>
        <w:jc w:val="right"/>
      </w:pPr>
      <w:r>
        <w:rPr>
          <w:rFonts w:ascii="Arial" w:hAnsi="Arial" w:eastAsia="Arial"/>
        </w:rPr>
        <w:t>2.2 المؤشرات الرئيسية</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المؤشر</w:t>
            </w:r>
          </w:p>
        </w:tc>
        <w:tc>
          <w:tcPr>
            <w:tcW w:type="dxa" w:w="4320"/>
          </w:tcPr>
          <w:p>
            <w:pPr>
              <w:jc w:val="right"/>
            </w:pPr>
            <w:r>
              <w:rPr>
                <w:rFonts w:ascii="Arial" w:hAnsi="Arial" w:eastAsia="Arial"/>
                <w:b/>
              </w:rPr>
              <w:t>القيمة</w:t>
            </w:r>
          </w:p>
        </w:tc>
      </w:tr>
      <w:tr>
        <w:tc>
          <w:tcPr>
            <w:tcW w:type="dxa" w:w="4320"/>
          </w:tcPr>
          <w:p>
            <w:pPr>
              <w:jc w:val="right"/>
            </w:pPr>
            <w:r>
              <w:rPr>
                <w:rFonts w:ascii="Arial" w:hAnsi="Arial" w:eastAsia="Arial"/>
              </w:rPr>
              <w:t>عائد إيجاري في الرياض</w:t>
            </w:r>
          </w:p>
        </w:tc>
        <w:tc>
          <w:tcPr>
            <w:tcW w:type="dxa" w:w="4320"/>
          </w:tcPr>
          <w:p>
            <w:pPr>
              <w:jc w:val="right"/>
            </w:pPr>
            <w:r>
              <w:rPr>
                <w:rFonts w:ascii="Arial" w:hAnsi="Arial" w:eastAsia="Arial"/>
              </w:rPr>
              <w:t>8.89%</w:t>
            </w:r>
          </w:p>
        </w:tc>
      </w:tr>
      <w:tr>
        <w:tc>
          <w:tcPr>
            <w:tcW w:type="dxa" w:w="4320"/>
          </w:tcPr>
          <w:p>
            <w:pPr>
              <w:jc w:val="right"/>
            </w:pPr>
            <w:r>
              <w:rPr>
                <w:rFonts w:ascii="Arial" w:hAnsi="Arial" w:eastAsia="Arial"/>
              </w:rPr>
              <w:t>عائد إيجاري في جدة</w:t>
            </w:r>
          </w:p>
        </w:tc>
        <w:tc>
          <w:tcPr>
            <w:tcW w:type="dxa" w:w="4320"/>
          </w:tcPr>
          <w:p>
            <w:pPr>
              <w:jc w:val="right"/>
            </w:pPr>
            <w:r>
              <w:rPr>
                <w:rFonts w:ascii="Arial" w:hAnsi="Arial" w:eastAsia="Arial"/>
              </w:rPr>
              <w:t>7.89%</w:t>
            </w:r>
          </w:p>
        </w:tc>
      </w:tr>
      <w:tr>
        <w:tc>
          <w:tcPr>
            <w:tcW w:type="dxa" w:w="4320"/>
          </w:tcPr>
          <w:p>
            <w:pPr>
              <w:jc w:val="right"/>
            </w:pPr>
            <w:r>
              <w:rPr>
                <w:rFonts w:ascii="Arial" w:hAnsi="Arial" w:eastAsia="Arial"/>
              </w:rPr>
              <w:t>نمو الصفقات العقارية (2025)</w:t>
            </w:r>
          </w:p>
        </w:tc>
        <w:tc>
          <w:tcPr>
            <w:tcW w:type="dxa" w:w="4320"/>
          </w:tcPr>
          <w:p>
            <w:pPr>
              <w:jc w:val="right"/>
            </w:pPr>
            <w:r>
              <w:rPr>
                <w:rFonts w:ascii="Arial" w:hAnsi="Arial" w:eastAsia="Arial"/>
              </w:rPr>
              <w:t>+14.2%</w:t>
            </w:r>
          </w:p>
        </w:tc>
      </w:tr>
      <w:tr>
        <w:tc>
          <w:tcPr>
            <w:tcW w:type="dxa" w:w="4320"/>
          </w:tcPr>
          <w:p>
            <w:pPr>
              <w:jc w:val="right"/>
            </w:pPr>
            <w:r>
              <w:rPr>
                <w:rFonts w:ascii="Arial" w:hAnsi="Arial" w:eastAsia="Arial"/>
              </w:rPr>
              <w:t>حجم التمويل العقاري</w:t>
            </w:r>
          </w:p>
        </w:tc>
        <w:tc>
          <w:tcPr>
            <w:tcW w:type="dxa" w:w="4320"/>
          </w:tcPr>
          <w:p>
            <w:pPr>
              <w:jc w:val="right"/>
            </w:pPr>
            <w:r>
              <w:rPr>
                <w:rFonts w:ascii="Arial" w:hAnsi="Arial" w:eastAsia="Arial"/>
              </w:rPr>
              <w:t>730 مليار ريال</w:t>
            </w:r>
          </w:p>
        </w:tc>
      </w:tr>
      <w:tr>
        <w:tc>
          <w:tcPr>
            <w:tcW w:type="dxa" w:w="4320"/>
          </w:tcPr>
          <w:p>
            <w:pPr>
              <w:jc w:val="right"/>
            </w:pPr>
            <w:r>
              <w:rPr>
                <w:rFonts w:ascii="Arial" w:hAnsi="Arial" w:eastAsia="Arial"/>
              </w:rPr>
              <w:t>فجوة السعر الفعلي/الطلب</w:t>
            </w:r>
          </w:p>
        </w:tc>
        <w:tc>
          <w:tcPr>
            <w:tcW w:type="dxa" w:w="4320"/>
          </w:tcPr>
          <w:p>
            <w:pPr>
              <w:jc w:val="right"/>
            </w:pPr>
            <w:r>
              <w:rPr>
                <w:rFonts w:ascii="Arial" w:hAnsi="Arial" w:eastAsia="Arial"/>
              </w:rPr>
              <w:t>6%</w:t>
            </w:r>
          </w:p>
        </w:tc>
      </w:tr>
      <w:tr>
        <w:tc>
          <w:tcPr>
            <w:tcW w:type="dxa" w:w="4320"/>
          </w:tcPr>
          <w:p>
            <w:pPr>
              <w:jc w:val="right"/>
            </w:pPr>
            <w:r>
              <w:rPr>
                <w:rFonts w:ascii="Arial" w:hAnsi="Arial" w:eastAsia="Arial"/>
              </w:rPr>
              <w:t>علاوة البناء الجديد</w:t>
            </w:r>
          </w:p>
        </w:tc>
        <w:tc>
          <w:tcPr>
            <w:tcW w:type="dxa" w:w="4320"/>
          </w:tcPr>
          <w:p>
            <w:pPr>
              <w:jc w:val="right"/>
            </w:pPr>
            <w:r>
              <w:rPr>
                <w:rFonts w:ascii="Arial" w:hAnsi="Arial" w:eastAsia="Arial"/>
              </w:rPr>
              <w:t>+25%</w:t>
            </w:r>
          </w:p>
        </w:tc>
      </w:tr>
    </w:tbl>
    <w:p>
      <w:pPr>
        <w:pStyle w:val="Heading2"/>
        <w:jc w:val="right"/>
      </w:pPr>
      <w:r>
        <w:rPr>
          <w:rFonts w:ascii="Arial" w:hAnsi="Arial" w:eastAsia="Arial"/>
        </w:rPr>
        <w:t>2.3 محركات النمو</w:t>
      </w:r>
    </w:p>
    <w:p>
      <w:pPr>
        <w:pStyle w:val="ListBullet"/>
        <w:jc w:val="right"/>
      </w:pPr>
      <w:r>
        <w:rPr>
          <w:rFonts w:ascii="Arial" w:hAnsi="Arial" w:eastAsia="Arial"/>
          <w:sz w:val="22"/>
        </w:rPr>
        <w:t>رؤية 2030 والمشاريع العملاقة (نيوم، الدرعية، البحر الأحمر، روشن).</w:t>
      </w:r>
    </w:p>
    <w:p>
      <w:pPr>
        <w:pStyle w:val="ListBullet"/>
        <w:jc w:val="right"/>
      </w:pPr>
      <w:r>
        <w:rPr>
          <w:rFonts w:ascii="Arial" w:hAnsi="Arial" w:eastAsia="Arial"/>
          <w:sz w:val="22"/>
        </w:rPr>
        <w:t>برامج تمويل "سكني" للوحدات المتوسطة (70-120 م²).</w:t>
      </w:r>
    </w:p>
    <w:p>
      <w:pPr>
        <w:pStyle w:val="ListBullet"/>
        <w:jc w:val="right"/>
      </w:pPr>
      <w:r>
        <w:rPr>
          <w:rFonts w:ascii="Arial" w:hAnsi="Arial" w:eastAsia="Arial"/>
          <w:sz w:val="22"/>
        </w:rPr>
        <w:t>نمو الرواتب وتوجه للمساحات الأصغر والأكثر كفاءة.</w:t>
      </w:r>
    </w:p>
    <w:p>
      <w:pPr>
        <w:pStyle w:val="ListBullet"/>
        <w:jc w:val="right"/>
      </w:pPr>
      <w:r>
        <w:rPr>
          <w:rFonts w:ascii="Arial" w:hAnsi="Arial" w:eastAsia="Arial"/>
          <w:sz w:val="22"/>
        </w:rPr>
        <w:t>الهجرة الداخلية نحو المدن الكبرى.</w:t>
      </w:r>
    </w:p>
    <w:p>
      <w:pPr>
        <w:pStyle w:val="ListBullet"/>
        <w:jc w:val="right"/>
      </w:pPr>
      <w:r>
        <w:rPr>
          <w:rFonts w:ascii="Arial" w:hAnsi="Arial" w:eastAsia="Arial"/>
          <w:sz w:val="22"/>
        </w:rPr>
        <w:t>انتعاش سوق الإيجارات وعوائدها الجاذبة.</w:t>
      </w:r>
    </w:p>
    <w:p>
      <w:pPr>
        <w:pStyle w:val="Heading2"/>
        <w:jc w:val="right"/>
      </w:pPr>
      <w:r>
        <w:rPr>
          <w:rFonts w:ascii="Arial" w:hAnsi="Arial" w:eastAsia="Arial"/>
        </w:rPr>
        <w:t>2.4 المناطق المستهدفة</w:t>
      </w:r>
    </w:p>
    <w:p>
      <w:pPr>
        <w:jc w:val="right"/>
      </w:pPr>
      <w:r>
        <w:rPr>
          <w:rFonts w:ascii="Arial" w:hAnsi="Arial" w:eastAsia="Arial"/>
          <w:b/>
          <w:i w:val="0"/>
          <w:color w:val="000000"/>
          <w:sz w:val="24"/>
        </w:rPr>
        <w:t>الرياض:</w:t>
      </w:r>
    </w:p>
    <w:p>
      <w:pPr>
        <w:pStyle w:val="ListBullet"/>
        <w:jc w:val="right"/>
      </w:pPr>
      <w:r>
        <w:rPr>
          <w:rFonts w:ascii="Arial" w:hAnsi="Arial" w:eastAsia="Arial"/>
          <w:sz w:val="22"/>
        </w:rPr>
        <w:t>الشمال الفاخر: العقيق، حطين، الملقا - طلب تنفيذيين وعوائد إيجارية مرتفعة.</w:t>
      </w:r>
    </w:p>
    <w:p>
      <w:pPr>
        <w:pStyle w:val="ListBullet"/>
        <w:jc w:val="right"/>
      </w:pPr>
      <w:r>
        <w:rPr>
          <w:rFonts w:ascii="Arial" w:hAnsi="Arial" w:eastAsia="Arial"/>
          <w:sz w:val="22"/>
        </w:rPr>
        <w:t>الشمال الشرقي: المونسية، الرمال، الياسمين، النرجس - كثافة سكانية عالية وبنية تحتية حديثة.</w:t>
      </w:r>
    </w:p>
    <w:p>
      <w:pPr>
        <w:jc w:val="right"/>
      </w:pPr>
      <w:r>
        <w:rPr>
          <w:rFonts w:ascii="Arial" w:hAnsi="Arial" w:eastAsia="Arial"/>
          <w:b/>
          <w:i w:val="0"/>
          <w:color w:val="000000"/>
          <w:sz w:val="24"/>
        </w:rPr>
        <w:t>جدة:</w:t>
      </w:r>
    </w:p>
    <w:p>
      <w:pPr>
        <w:pStyle w:val="ListBullet"/>
        <w:jc w:val="right"/>
      </w:pPr>
      <w:r>
        <w:rPr>
          <w:rFonts w:ascii="Arial" w:hAnsi="Arial" w:eastAsia="Arial"/>
          <w:sz w:val="22"/>
        </w:rPr>
        <w:t>الساحل الشمالي: أبحر الشمالية، الصواري - مستقبل سكني وسياحي.</w:t>
      </w:r>
    </w:p>
    <w:p>
      <w:pPr>
        <w:pStyle w:val="ListBullet"/>
        <w:jc w:val="right"/>
      </w:pPr>
      <w:r>
        <w:rPr>
          <w:rFonts w:ascii="Arial" w:hAnsi="Arial" w:eastAsia="Arial"/>
          <w:sz w:val="22"/>
        </w:rPr>
        <w:t>الوسط الحيوي: الحمراء، النعيم، الزهراء، السلامة - عوائد إيجارية ثابتة.</w:t>
      </w:r>
    </w:p>
    <w:p>
      <w:pPr>
        <w:pStyle w:val="Heading2"/>
        <w:jc w:val="right"/>
      </w:pPr>
      <w:r>
        <w:rPr>
          <w:rFonts w:ascii="Arial" w:hAnsi="Arial" w:eastAsia="Arial"/>
        </w:rPr>
        <w:t>2.5 المنافسة</w:t>
      </w:r>
    </w:p>
    <w:p>
      <w:pPr>
        <w:jc w:val="right"/>
      </w:pPr>
      <w:r>
        <w:rPr>
          <w:rFonts w:ascii="Arial" w:hAnsi="Arial" w:eastAsia="Arial"/>
          <w:b w:val="0"/>
          <w:i w:val="0"/>
          <w:color w:val="000000"/>
          <w:sz w:val="24"/>
        </w:rPr>
        <w:t>المنافسة الرئيسية ليست من الشركات الكبرى، بل من المطورين التقليديين الذين يتطلب نموذجهم شراء أراضٍ ورأس مال ضخم. ميزتنا التنافسية تكمن في عدم الحاجة لشراء أرض، والتركيز على الأصول غير المكتملة التي لا تجذب المطورين الكبار.</w:t>
      </w:r>
    </w:p>
    <w:p>
      <w:r>
        <w:br w:type="page"/>
      </w:r>
    </w:p>
    <w:p>
      <w:pPr>
        <w:pStyle w:val="Heading1"/>
        <w:jc w:val="right"/>
      </w:pPr>
      <w:r>
        <w:rPr>
          <w:rFonts w:ascii="Arial" w:hAnsi="Arial" w:eastAsia="Arial"/>
          <w:color w:val="003366"/>
        </w:rPr>
        <w:t>3. الخدمات</w:t>
      </w:r>
    </w:p>
    <w:p>
      <w:pPr>
        <w:pStyle w:val="Heading2"/>
        <w:jc w:val="right"/>
      </w:pPr>
      <w:r>
        <w:rPr>
          <w:rFonts w:ascii="Arial" w:hAnsi="Arial" w:eastAsia="Arial"/>
        </w:rPr>
        <w:t>3.1 الخدمات الأساسية</w:t>
      </w:r>
    </w:p>
    <w:p>
      <w:pPr>
        <w:pStyle w:val="ListBullet"/>
        <w:jc w:val="right"/>
      </w:pPr>
      <w:r>
        <w:rPr>
          <w:rFonts w:ascii="Arial" w:hAnsi="Arial" w:eastAsia="Arial"/>
          <w:sz w:val="22"/>
        </w:rPr>
        <w:t>التقييم الهندسي والقانوني الشامل للعقار غير المكتمل.</w:t>
      </w:r>
    </w:p>
    <w:p>
      <w:pPr>
        <w:pStyle w:val="ListBullet"/>
        <w:jc w:val="right"/>
      </w:pPr>
      <w:r>
        <w:rPr>
          <w:rFonts w:ascii="Arial" w:hAnsi="Arial" w:eastAsia="Arial"/>
          <w:sz w:val="22"/>
        </w:rPr>
        <w:t>إعداد التصاميم المعمارية والإنشائية والميكانيكية.</w:t>
      </w:r>
    </w:p>
    <w:p>
      <w:pPr>
        <w:pStyle w:val="ListBullet"/>
        <w:jc w:val="right"/>
      </w:pPr>
      <w:r>
        <w:rPr>
          <w:rFonts w:ascii="Arial" w:hAnsi="Arial" w:eastAsia="Arial"/>
          <w:sz w:val="22"/>
        </w:rPr>
        <w:t>إدارة عمليات التشطيب والإشراف اليومي.</w:t>
      </w:r>
    </w:p>
    <w:p>
      <w:pPr>
        <w:pStyle w:val="ListBullet"/>
        <w:jc w:val="right"/>
      </w:pPr>
      <w:r>
        <w:rPr>
          <w:rFonts w:ascii="Arial" w:hAnsi="Arial" w:eastAsia="Arial"/>
          <w:sz w:val="22"/>
        </w:rPr>
        <w:t>التسويق والبيع الاحترافي للوحدات.</w:t>
      </w:r>
    </w:p>
    <w:p>
      <w:pPr>
        <w:pStyle w:val="ListBullet"/>
        <w:jc w:val="right"/>
      </w:pPr>
      <w:r>
        <w:rPr>
          <w:rFonts w:ascii="Arial" w:hAnsi="Arial" w:eastAsia="Arial"/>
          <w:sz w:val="22"/>
        </w:rPr>
        <w:t>إدارة عملية التسليم ونقل الملكية.</w:t>
      </w:r>
    </w:p>
    <w:p>
      <w:pPr>
        <w:pStyle w:val="Heading2"/>
        <w:jc w:val="right"/>
      </w:pPr>
      <w:r>
        <w:rPr>
          <w:rFonts w:ascii="Arial" w:hAnsi="Arial" w:eastAsia="Arial"/>
        </w:rPr>
        <w:t>3.2 نماذج الشراكة</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pPr>
            <w:r>
              <w:rPr>
                <w:rFonts w:ascii="Arial" w:hAnsi="Arial" w:eastAsia="Arial"/>
                <w:b/>
              </w:rPr>
              <w:t>النموذج</w:t>
            </w:r>
          </w:p>
        </w:tc>
        <w:tc>
          <w:tcPr>
            <w:tcW w:type="dxa" w:w="2880"/>
          </w:tcPr>
          <w:p>
            <w:pPr>
              <w:jc w:val="right"/>
            </w:pPr>
            <w:r>
              <w:rPr>
                <w:rFonts w:ascii="Arial" w:hAnsi="Arial" w:eastAsia="Arial"/>
                <w:b/>
              </w:rPr>
              <w:t>الوصف</w:t>
            </w:r>
          </w:p>
        </w:tc>
        <w:tc>
          <w:tcPr>
            <w:tcW w:type="dxa" w:w="2880"/>
          </w:tcPr>
          <w:p>
            <w:pPr>
              <w:jc w:val="right"/>
            </w:pPr>
            <w:r>
              <w:rPr>
                <w:rFonts w:ascii="Arial" w:hAnsi="Arial" w:eastAsia="Arial"/>
                <w:b/>
              </w:rPr>
              <w:t>مناسب لـ</w:t>
            </w:r>
          </w:p>
        </w:tc>
      </w:tr>
      <w:tr>
        <w:tc>
          <w:tcPr>
            <w:tcW w:type="dxa" w:w="2880"/>
          </w:tcPr>
          <w:p>
            <w:pPr>
              <w:jc w:val="right"/>
            </w:pPr>
            <w:r>
              <w:rPr>
                <w:rFonts w:ascii="Arial" w:hAnsi="Arial" w:eastAsia="Arial"/>
              </w:rPr>
              <w:t>النموذج</w:t>
            </w:r>
          </w:p>
        </w:tc>
        <w:tc>
          <w:tcPr>
            <w:tcW w:type="dxa" w:w="2880"/>
          </w:tcPr>
          <w:p>
            <w:pPr>
              <w:jc w:val="right"/>
            </w:pPr>
            <w:r>
              <w:rPr>
                <w:rFonts w:ascii="Arial" w:hAnsi="Arial" w:eastAsia="Arial"/>
              </w:rPr>
              <w:t>الوصف</w:t>
            </w:r>
          </w:p>
        </w:tc>
        <w:tc>
          <w:tcPr>
            <w:tcW w:type="dxa" w:w="2880"/>
          </w:tcPr>
          <w:p>
            <w:pPr>
              <w:jc w:val="right"/>
            </w:pPr>
            <w:r>
              <w:rPr>
                <w:rFonts w:ascii="Arial" w:hAnsi="Arial" w:eastAsia="Arial"/>
              </w:rPr>
              <w:t>مناسب لـ</w:t>
            </w:r>
          </w:p>
        </w:tc>
      </w:tr>
      <w:tr>
        <w:tc>
          <w:tcPr>
            <w:tcW w:type="dxa" w:w="2880"/>
          </w:tcPr>
          <w:p>
            <w:pPr>
              <w:jc w:val="right"/>
            </w:pPr>
            <w:r>
              <w:rPr>
                <w:rFonts w:ascii="Arial" w:hAnsi="Arial" w:eastAsia="Arial"/>
              </w:rPr>
              <w:t>المحاصة الكاملة</w:t>
            </w:r>
          </w:p>
        </w:tc>
        <w:tc>
          <w:tcPr>
            <w:tcW w:type="dxa" w:w="2880"/>
          </w:tcPr>
          <w:p>
            <w:pPr>
              <w:jc w:val="right"/>
            </w:pPr>
            <w:r>
              <w:rPr>
                <w:rFonts w:ascii="Arial" w:hAnsi="Arial" w:eastAsia="Arial"/>
              </w:rPr>
              <w:t>الشركة تتولى التشطيب والتسويق مقابل نسبة من الأرباح</w:t>
            </w:r>
          </w:p>
        </w:tc>
        <w:tc>
          <w:tcPr>
            <w:tcW w:type="dxa" w:w="2880"/>
          </w:tcPr>
          <w:p>
            <w:pPr>
              <w:jc w:val="right"/>
            </w:pPr>
            <w:r>
              <w:rPr>
                <w:rFonts w:ascii="Arial" w:hAnsi="Arial" w:eastAsia="Arial"/>
              </w:rPr>
              <w:t>المالك يملك سيولة محدودة</w:t>
            </w:r>
          </w:p>
        </w:tc>
      </w:tr>
      <w:tr>
        <w:tc>
          <w:tcPr>
            <w:tcW w:type="dxa" w:w="2880"/>
          </w:tcPr>
          <w:p>
            <w:pPr>
              <w:jc w:val="right"/>
            </w:pPr>
            <w:r>
              <w:rPr>
                <w:rFonts w:ascii="Arial" w:hAnsi="Arial" w:eastAsia="Arial"/>
              </w:rPr>
              <w:t>الشراء الجزئي</w:t>
            </w:r>
          </w:p>
        </w:tc>
        <w:tc>
          <w:tcPr>
            <w:tcW w:type="dxa" w:w="2880"/>
          </w:tcPr>
          <w:p>
            <w:pPr>
              <w:jc w:val="right"/>
            </w:pPr>
            <w:r>
              <w:rPr>
                <w:rFonts w:ascii="Arial" w:hAnsi="Arial" w:eastAsia="Arial"/>
              </w:rPr>
              <w:t>الشركة تشتري جزءاً من الوحدات بعد التشطيب</w:t>
            </w:r>
          </w:p>
        </w:tc>
        <w:tc>
          <w:tcPr>
            <w:tcW w:type="dxa" w:w="2880"/>
          </w:tcPr>
          <w:p>
            <w:pPr>
              <w:jc w:val="right"/>
            </w:pPr>
            <w:r>
              <w:rPr>
                <w:rFonts w:ascii="Arial" w:hAnsi="Arial" w:eastAsia="Arial"/>
              </w:rPr>
              <w:t>المالك يرغب بالتسييل الفوري</w:t>
            </w:r>
          </w:p>
        </w:tc>
      </w:tr>
      <w:tr>
        <w:tc>
          <w:tcPr>
            <w:tcW w:type="dxa" w:w="2880"/>
          </w:tcPr>
          <w:p>
            <w:pPr>
              <w:jc w:val="right"/>
            </w:pPr>
            <w:r>
              <w:rPr>
                <w:rFonts w:ascii="Arial" w:hAnsi="Arial" w:eastAsia="Arial"/>
              </w:rPr>
              <w:t>رسوم الإدارة</w:t>
            </w:r>
          </w:p>
        </w:tc>
        <w:tc>
          <w:tcPr>
            <w:tcW w:type="dxa" w:w="2880"/>
          </w:tcPr>
          <w:p>
            <w:pPr>
              <w:jc w:val="right"/>
            </w:pPr>
            <w:r>
              <w:rPr>
                <w:rFonts w:ascii="Arial" w:hAnsi="Arial" w:eastAsia="Arial"/>
              </w:rPr>
              <w:t>الشركة تتقاضى رسوم إدارة ثابتة مقابل التشطيب والتسويق</w:t>
            </w:r>
          </w:p>
        </w:tc>
        <w:tc>
          <w:tcPr>
            <w:tcW w:type="dxa" w:w="2880"/>
          </w:tcPr>
          <w:p>
            <w:pPr>
              <w:jc w:val="right"/>
            </w:pPr>
            <w:r>
              <w:rPr>
                <w:rFonts w:ascii="Arial" w:hAnsi="Arial" w:eastAsia="Arial"/>
              </w:rPr>
              <w:t>المالك يرغب بالتحكم الكامل</w:t>
            </w:r>
          </w:p>
        </w:tc>
      </w:tr>
      <w:tr>
        <w:tc>
          <w:tcPr>
            <w:tcW w:type="dxa" w:w="2880"/>
          </w:tcPr>
          <w:p>
            <w:pPr>
              <w:jc w:val="right"/>
            </w:pPr>
            <w:r>
              <w:rPr>
                <w:rFonts w:ascii="Arial" w:hAnsi="Arial" w:eastAsia="Arial"/>
              </w:rPr>
              <w:t>النموذج المختلط</w:t>
            </w:r>
          </w:p>
        </w:tc>
        <w:tc>
          <w:tcPr>
            <w:tcW w:type="dxa" w:w="2880"/>
          </w:tcPr>
          <w:p>
            <w:pPr>
              <w:jc w:val="right"/>
            </w:pPr>
            <w:r>
              <w:rPr>
                <w:rFonts w:ascii="Arial" w:hAnsi="Arial" w:eastAsia="Arial"/>
              </w:rPr>
              <w:t>مزيج من المحاصة والشراء ورسوم الإدارة</w:t>
            </w:r>
          </w:p>
        </w:tc>
        <w:tc>
          <w:tcPr>
            <w:tcW w:type="dxa" w:w="2880"/>
          </w:tcPr>
          <w:p>
            <w:pPr>
              <w:jc w:val="right"/>
            </w:pPr>
            <w:r>
              <w:rPr>
                <w:rFonts w:ascii="Arial" w:hAnsi="Arial" w:eastAsia="Arial"/>
              </w:rPr>
              <w:t>معظم الحالات</w:t>
            </w:r>
          </w:p>
        </w:tc>
      </w:tr>
    </w:tbl>
    <w:p>
      <w:r>
        <w:br w:type="page"/>
      </w:r>
    </w:p>
    <w:p>
      <w:pPr>
        <w:pStyle w:val="Heading1"/>
        <w:jc w:val="right"/>
      </w:pPr>
      <w:r>
        <w:rPr>
          <w:rFonts w:ascii="Arial" w:hAnsi="Arial" w:eastAsia="Arial"/>
          <w:color w:val="003366"/>
        </w:rPr>
        <w:t>4. النموذج التجاري</w:t>
      </w:r>
    </w:p>
    <w:p>
      <w:pPr>
        <w:pStyle w:val="Heading2"/>
        <w:jc w:val="right"/>
      </w:pPr>
      <w:r>
        <w:rPr>
          <w:rFonts w:ascii="Arial" w:hAnsi="Arial" w:eastAsia="Arial"/>
        </w:rPr>
        <w:t>4.1 كيف تعمل الشركة</w:t>
      </w:r>
    </w:p>
    <w:p>
      <w:pPr>
        <w:pStyle w:val="ListBullet"/>
        <w:jc w:val="right"/>
      </w:pPr>
      <w:r>
        <w:rPr>
          <w:rFonts w:ascii="Arial" w:hAnsi="Arial" w:eastAsia="Arial"/>
          <w:sz w:val="22"/>
        </w:rPr>
        <w:t>البحث عن عقارات غير مكتملة في المواقع المستهدفة.</w:t>
      </w:r>
    </w:p>
    <w:p>
      <w:pPr>
        <w:pStyle w:val="ListBullet"/>
        <w:jc w:val="right"/>
      </w:pPr>
      <w:r>
        <w:rPr>
          <w:rFonts w:ascii="Arial" w:hAnsi="Arial" w:eastAsia="Arial"/>
          <w:sz w:val="22"/>
        </w:rPr>
        <w:t>التقييم الهندسي والقانوني والمالي.</w:t>
      </w:r>
    </w:p>
    <w:p>
      <w:pPr>
        <w:pStyle w:val="ListBullet"/>
        <w:jc w:val="right"/>
      </w:pPr>
      <w:r>
        <w:rPr>
          <w:rFonts w:ascii="Arial" w:hAnsi="Arial" w:eastAsia="Arial"/>
          <w:sz w:val="22"/>
        </w:rPr>
        <w:t>التفاوض مع المالك وإبرام عقد محاصة أو شراكة.</w:t>
      </w:r>
    </w:p>
    <w:p>
      <w:pPr>
        <w:pStyle w:val="ListBullet"/>
        <w:jc w:val="right"/>
      </w:pPr>
      <w:r>
        <w:rPr>
          <w:rFonts w:ascii="Arial" w:hAnsi="Arial" w:eastAsia="Arial"/>
          <w:sz w:val="22"/>
        </w:rPr>
        <w:t>التشطيب وفق أعلى المعايير والكود السعودي.</w:t>
      </w:r>
    </w:p>
    <w:p>
      <w:pPr>
        <w:pStyle w:val="ListBullet"/>
        <w:jc w:val="right"/>
      </w:pPr>
      <w:r>
        <w:rPr>
          <w:rFonts w:ascii="Arial" w:hAnsi="Arial" w:eastAsia="Arial"/>
          <w:sz w:val="22"/>
        </w:rPr>
        <w:t>التسويق والبيع بأسعار السوق.</w:t>
      </w:r>
    </w:p>
    <w:p>
      <w:pPr>
        <w:pStyle w:val="ListBullet"/>
        <w:jc w:val="right"/>
      </w:pPr>
      <w:r>
        <w:rPr>
          <w:rFonts w:ascii="Arial" w:hAnsi="Arial" w:eastAsia="Arial"/>
          <w:sz w:val="22"/>
        </w:rPr>
        <w:t>توزيع الأرباح بين الشركة والمالك.</w:t>
      </w:r>
    </w:p>
    <w:p>
      <w:pPr>
        <w:pStyle w:val="Heading2"/>
        <w:jc w:val="right"/>
      </w:pPr>
      <w:r>
        <w:rPr>
          <w:rFonts w:ascii="Arial" w:hAnsi="Arial" w:eastAsia="Arial"/>
        </w:rPr>
        <w:t>4.2 مصادر الإيرادات</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مصدر الإيراد</w:t>
            </w:r>
          </w:p>
        </w:tc>
        <w:tc>
          <w:tcPr>
            <w:tcW w:type="dxa" w:w="4320"/>
          </w:tcPr>
          <w:p>
            <w:pPr>
              <w:jc w:val="right"/>
            </w:pPr>
            <w:r>
              <w:rPr>
                <w:rFonts w:ascii="Arial" w:hAnsi="Arial" w:eastAsia="Arial"/>
                <w:b/>
              </w:rPr>
              <w:t>النسبة المتوقعة</w:t>
            </w:r>
          </w:p>
        </w:tc>
      </w:tr>
      <w:tr>
        <w:tc>
          <w:tcPr>
            <w:tcW w:type="dxa" w:w="4320"/>
          </w:tcPr>
          <w:p>
            <w:pPr>
              <w:jc w:val="right"/>
            </w:pPr>
            <w:r>
              <w:rPr>
                <w:rFonts w:ascii="Arial" w:hAnsi="Arial" w:eastAsia="Arial"/>
              </w:rPr>
              <w:t>مصدر الإيراد</w:t>
            </w:r>
          </w:p>
        </w:tc>
        <w:tc>
          <w:tcPr>
            <w:tcW w:type="dxa" w:w="4320"/>
          </w:tcPr>
          <w:p>
            <w:pPr>
              <w:jc w:val="right"/>
            </w:pPr>
            <w:r>
              <w:rPr>
                <w:rFonts w:ascii="Arial" w:hAnsi="Arial" w:eastAsia="Arial"/>
              </w:rPr>
              <w:t>النسبة المتوقعة</w:t>
            </w:r>
          </w:p>
        </w:tc>
      </w:tr>
      <w:tr>
        <w:tc>
          <w:tcPr>
            <w:tcW w:type="dxa" w:w="4320"/>
          </w:tcPr>
          <w:p>
            <w:pPr>
              <w:jc w:val="right"/>
            </w:pPr>
            <w:r>
              <w:rPr>
                <w:rFonts w:ascii="Arial" w:hAnsi="Arial" w:eastAsia="Arial"/>
              </w:rPr>
              <w:t>إيرادات المحاصة (نصيب الشركة)</w:t>
            </w:r>
          </w:p>
        </w:tc>
        <w:tc>
          <w:tcPr>
            <w:tcW w:type="dxa" w:w="4320"/>
          </w:tcPr>
          <w:p>
            <w:pPr>
              <w:jc w:val="right"/>
            </w:pPr>
            <w:r>
              <w:rPr>
                <w:rFonts w:ascii="Arial" w:hAnsi="Arial" w:eastAsia="Arial"/>
              </w:rPr>
              <w:t>60%</w:t>
            </w:r>
          </w:p>
        </w:tc>
      </w:tr>
      <w:tr>
        <w:tc>
          <w:tcPr>
            <w:tcW w:type="dxa" w:w="4320"/>
          </w:tcPr>
          <w:p>
            <w:pPr>
              <w:jc w:val="right"/>
            </w:pPr>
            <w:r>
              <w:rPr>
                <w:rFonts w:ascii="Arial" w:hAnsi="Arial" w:eastAsia="Arial"/>
              </w:rPr>
              <w:t>أرباح إعادة البيع/الشراء</w:t>
            </w:r>
          </w:p>
        </w:tc>
        <w:tc>
          <w:tcPr>
            <w:tcW w:type="dxa" w:w="4320"/>
          </w:tcPr>
          <w:p>
            <w:pPr>
              <w:jc w:val="right"/>
            </w:pPr>
            <w:r>
              <w:rPr>
                <w:rFonts w:ascii="Arial" w:hAnsi="Arial" w:eastAsia="Arial"/>
              </w:rPr>
              <w:t>25%</w:t>
            </w:r>
          </w:p>
        </w:tc>
      </w:tr>
      <w:tr>
        <w:tc>
          <w:tcPr>
            <w:tcW w:type="dxa" w:w="4320"/>
          </w:tcPr>
          <w:p>
            <w:pPr>
              <w:jc w:val="right"/>
            </w:pPr>
            <w:r>
              <w:rPr>
                <w:rFonts w:ascii="Arial" w:hAnsi="Arial" w:eastAsia="Arial"/>
              </w:rPr>
              <w:t>رسوم الإدارة والتسويق</w:t>
            </w:r>
          </w:p>
        </w:tc>
        <w:tc>
          <w:tcPr>
            <w:tcW w:type="dxa" w:w="4320"/>
          </w:tcPr>
          <w:p>
            <w:pPr>
              <w:jc w:val="right"/>
            </w:pPr>
            <w:r>
              <w:rPr>
                <w:rFonts w:ascii="Arial" w:hAnsi="Arial" w:eastAsia="Arial"/>
              </w:rPr>
              <w:t>10%</w:t>
            </w:r>
          </w:p>
        </w:tc>
      </w:tr>
      <w:tr>
        <w:tc>
          <w:tcPr>
            <w:tcW w:type="dxa" w:w="4320"/>
          </w:tcPr>
          <w:p>
            <w:pPr>
              <w:jc w:val="right"/>
            </w:pPr>
            <w:r>
              <w:rPr>
                <w:rFonts w:ascii="Arial" w:hAnsi="Arial" w:eastAsia="Arial"/>
              </w:rPr>
              <w:t>خدمات استشارية وإدارية</w:t>
            </w:r>
          </w:p>
        </w:tc>
        <w:tc>
          <w:tcPr>
            <w:tcW w:type="dxa" w:w="4320"/>
          </w:tcPr>
          <w:p>
            <w:pPr>
              <w:jc w:val="right"/>
            </w:pPr>
            <w:r>
              <w:rPr>
                <w:rFonts w:ascii="Arial" w:hAnsi="Arial" w:eastAsia="Arial"/>
              </w:rPr>
              <w:t>5%</w:t>
            </w:r>
          </w:p>
        </w:tc>
      </w:tr>
    </w:tbl>
    <w:p>
      <w:pPr>
        <w:pStyle w:val="Heading2"/>
        <w:jc w:val="right"/>
      </w:pPr>
      <w:r>
        <w:rPr>
          <w:rFonts w:ascii="Arial" w:hAnsi="Arial" w:eastAsia="Arial"/>
        </w:rPr>
        <w:t>4.3 هيكل التكاليف</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البند</w:t>
            </w:r>
          </w:p>
        </w:tc>
        <w:tc>
          <w:tcPr>
            <w:tcW w:type="dxa" w:w="4320"/>
          </w:tcPr>
          <w:p>
            <w:pPr>
              <w:jc w:val="right"/>
            </w:pPr>
            <w:r>
              <w:rPr>
                <w:rFonts w:ascii="Arial" w:hAnsi="Arial" w:eastAsia="Arial"/>
                <w:b/>
              </w:rPr>
              <w:t>النسبة</w:t>
            </w:r>
          </w:p>
        </w:tc>
      </w:tr>
      <w:tr>
        <w:tc>
          <w:tcPr>
            <w:tcW w:type="dxa" w:w="4320"/>
          </w:tcPr>
          <w:p>
            <w:pPr>
              <w:jc w:val="right"/>
            </w:pPr>
            <w:r>
              <w:rPr>
                <w:rFonts w:ascii="Arial" w:hAnsi="Arial" w:eastAsia="Arial"/>
              </w:rPr>
              <w:t>البند</w:t>
            </w:r>
          </w:p>
        </w:tc>
        <w:tc>
          <w:tcPr>
            <w:tcW w:type="dxa" w:w="4320"/>
          </w:tcPr>
          <w:p>
            <w:pPr>
              <w:jc w:val="right"/>
            </w:pPr>
            <w:r>
              <w:rPr>
                <w:rFonts w:ascii="Arial" w:hAnsi="Arial" w:eastAsia="Arial"/>
              </w:rPr>
              <w:t>النسبة من تكلفة المشروع</w:t>
            </w:r>
          </w:p>
        </w:tc>
      </w:tr>
      <w:tr>
        <w:tc>
          <w:tcPr>
            <w:tcW w:type="dxa" w:w="4320"/>
          </w:tcPr>
          <w:p>
            <w:pPr>
              <w:jc w:val="right"/>
            </w:pPr>
            <w:r>
              <w:rPr>
                <w:rFonts w:ascii="Arial" w:hAnsi="Arial" w:eastAsia="Arial"/>
              </w:rPr>
              <w:t>تكاليف التشطيب المباشرة</w:t>
            </w:r>
          </w:p>
        </w:tc>
        <w:tc>
          <w:tcPr>
            <w:tcW w:type="dxa" w:w="4320"/>
          </w:tcPr>
          <w:p>
            <w:pPr>
              <w:jc w:val="right"/>
            </w:pPr>
            <w:r>
              <w:rPr>
                <w:rFonts w:ascii="Arial" w:hAnsi="Arial" w:eastAsia="Arial"/>
              </w:rPr>
              <w:t>55%</w:t>
            </w:r>
          </w:p>
        </w:tc>
      </w:tr>
      <w:tr>
        <w:tc>
          <w:tcPr>
            <w:tcW w:type="dxa" w:w="4320"/>
          </w:tcPr>
          <w:p>
            <w:pPr>
              <w:jc w:val="right"/>
            </w:pPr>
            <w:r>
              <w:rPr>
                <w:rFonts w:ascii="Arial" w:hAnsi="Arial" w:eastAsia="Arial"/>
              </w:rPr>
              <w:t>التراخيص والرسوم البلدية</w:t>
            </w:r>
          </w:p>
        </w:tc>
        <w:tc>
          <w:tcPr>
            <w:tcW w:type="dxa" w:w="4320"/>
          </w:tcPr>
          <w:p>
            <w:pPr>
              <w:jc w:val="right"/>
            </w:pPr>
            <w:r>
              <w:rPr>
                <w:rFonts w:ascii="Arial" w:hAnsi="Arial" w:eastAsia="Arial"/>
              </w:rPr>
              <w:t>4%</w:t>
            </w:r>
          </w:p>
        </w:tc>
      </w:tr>
      <w:tr>
        <w:tc>
          <w:tcPr>
            <w:tcW w:type="dxa" w:w="4320"/>
          </w:tcPr>
          <w:p>
            <w:pPr>
              <w:jc w:val="right"/>
            </w:pPr>
            <w:r>
              <w:rPr>
                <w:rFonts w:ascii="Arial" w:hAnsi="Arial" w:eastAsia="Arial"/>
              </w:rPr>
              <w:t>الاستشارات الهندسية</w:t>
            </w:r>
          </w:p>
        </w:tc>
        <w:tc>
          <w:tcPr>
            <w:tcW w:type="dxa" w:w="4320"/>
          </w:tcPr>
          <w:p>
            <w:pPr>
              <w:jc w:val="right"/>
            </w:pPr>
            <w:r>
              <w:rPr>
                <w:rFonts w:ascii="Arial" w:hAnsi="Arial" w:eastAsia="Arial"/>
              </w:rPr>
              <w:t>5%</w:t>
            </w:r>
          </w:p>
        </w:tc>
      </w:tr>
      <w:tr>
        <w:tc>
          <w:tcPr>
            <w:tcW w:type="dxa" w:w="4320"/>
          </w:tcPr>
          <w:p>
            <w:pPr>
              <w:jc w:val="right"/>
            </w:pPr>
            <w:r>
              <w:rPr>
                <w:rFonts w:ascii="Arial" w:hAnsi="Arial" w:eastAsia="Arial"/>
              </w:rPr>
              <w:t>التسويق والمبيعات</w:t>
            </w:r>
          </w:p>
        </w:tc>
        <w:tc>
          <w:tcPr>
            <w:tcW w:type="dxa" w:w="4320"/>
          </w:tcPr>
          <w:p>
            <w:pPr>
              <w:jc w:val="right"/>
            </w:pPr>
            <w:r>
              <w:rPr>
                <w:rFonts w:ascii="Arial" w:hAnsi="Arial" w:eastAsia="Arial"/>
              </w:rPr>
              <w:t>7%</w:t>
            </w:r>
          </w:p>
        </w:tc>
      </w:tr>
      <w:tr>
        <w:tc>
          <w:tcPr>
            <w:tcW w:type="dxa" w:w="4320"/>
          </w:tcPr>
          <w:p>
            <w:pPr>
              <w:jc w:val="right"/>
            </w:pPr>
            <w:r>
              <w:rPr>
                <w:rFonts w:ascii="Arial" w:hAnsi="Arial" w:eastAsia="Arial"/>
              </w:rPr>
              <w:t>احتياطي المخاطر</w:t>
            </w:r>
          </w:p>
        </w:tc>
        <w:tc>
          <w:tcPr>
            <w:tcW w:type="dxa" w:w="4320"/>
          </w:tcPr>
          <w:p>
            <w:pPr>
              <w:jc w:val="right"/>
            </w:pPr>
            <w:r>
              <w:rPr>
                <w:rFonts w:ascii="Arial" w:hAnsi="Arial" w:eastAsia="Arial"/>
              </w:rPr>
              <w:t>10%</w:t>
            </w:r>
          </w:p>
        </w:tc>
      </w:tr>
      <w:tr>
        <w:tc>
          <w:tcPr>
            <w:tcW w:type="dxa" w:w="4320"/>
          </w:tcPr>
          <w:p>
            <w:pPr>
              <w:jc w:val="right"/>
            </w:pPr>
            <w:r>
              <w:rPr>
                <w:rFonts w:ascii="Arial" w:hAnsi="Arial" w:eastAsia="Arial"/>
              </w:rPr>
              <w:t>التكاليف الإدارية التشغيلية</w:t>
            </w:r>
          </w:p>
        </w:tc>
        <w:tc>
          <w:tcPr>
            <w:tcW w:type="dxa" w:w="4320"/>
          </w:tcPr>
          <w:p>
            <w:pPr>
              <w:jc w:val="right"/>
            </w:pPr>
            <w:r>
              <w:rPr>
                <w:rFonts w:ascii="Arial" w:hAnsi="Arial" w:eastAsia="Arial"/>
              </w:rPr>
              <w:t>6%</w:t>
            </w:r>
          </w:p>
        </w:tc>
      </w:tr>
      <w:tr>
        <w:tc>
          <w:tcPr>
            <w:tcW w:type="dxa" w:w="4320"/>
          </w:tcPr>
          <w:p>
            <w:pPr>
              <w:jc w:val="right"/>
            </w:pPr>
            <w:r>
              <w:rPr>
                <w:rFonts w:ascii="Arial" w:hAnsi="Arial" w:eastAsia="Arial"/>
              </w:rPr>
              <w:t>رسوم البيع والنقل</w:t>
            </w:r>
          </w:p>
        </w:tc>
        <w:tc>
          <w:tcPr>
            <w:tcW w:type="dxa" w:w="4320"/>
          </w:tcPr>
          <w:p>
            <w:pPr>
              <w:jc w:val="right"/>
            </w:pPr>
            <w:r>
              <w:rPr>
                <w:rFonts w:ascii="Arial" w:hAnsi="Arial" w:eastAsia="Arial"/>
              </w:rPr>
              <w:t>9%</w:t>
            </w:r>
          </w:p>
        </w:tc>
      </w:tr>
    </w:tbl>
    <w:p>
      <w:pPr>
        <w:pStyle w:val="Heading2"/>
        <w:jc w:val="right"/>
      </w:pPr>
      <w:r>
        <w:rPr>
          <w:rFonts w:ascii="Arial" w:hAnsi="Arial" w:eastAsia="Arial"/>
        </w:rPr>
        <w:t>4.4 نقاط القوة التنافسية</w:t>
      </w:r>
    </w:p>
    <w:p>
      <w:pPr>
        <w:pStyle w:val="ListBullet"/>
        <w:jc w:val="right"/>
      </w:pPr>
      <w:r>
        <w:rPr>
          <w:rFonts w:ascii="Arial" w:hAnsi="Arial" w:eastAsia="Arial"/>
          <w:sz w:val="22"/>
        </w:rPr>
        <w:t>لا يتطلب شراء أراضٍ - تقليل رأس المال المطلوب.</w:t>
      </w:r>
    </w:p>
    <w:p>
      <w:pPr>
        <w:pStyle w:val="ListBullet"/>
        <w:jc w:val="right"/>
      </w:pPr>
      <w:r>
        <w:rPr>
          <w:rFonts w:ascii="Arial" w:hAnsi="Arial" w:eastAsia="Arial"/>
          <w:sz w:val="22"/>
        </w:rPr>
        <w:t>سرعة الدخول للسوق مقارنة بالتطوير التقليدي.</w:t>
      </w:r>
    </w:p>
    <w:p>
      <w:pPr>
        <w:pStyle w:val="ListBullet"/>
        <w:jc w:val="right"/>
      </w:pPr>
      <w:r>
        <w:rPr>
          <w:rFonts w:ascii="Arial" w:hAnsi="Arial" w:eastAsia="Arial"/>
          <w:sz w:val="22"/>
        </w:rPr>
        <w:t>شبكة علاقات مع مالكين، مصفين، محامين، وسطاء عقاريين.</w:t>
      </w:r>
    </w:p>
    <w:p>
      <w:pPr>
        <w:pStyle w:val="ListBullet"/>
        <w:jc w:val="right"/>
      </w:pPr>
      <w:r>
        <w:rPr>
          <w:rFonts w:ascii="Arial" w:hAnsi="Arial" w:eastAsia="Arial"/>
          <w:sz w:val="22"/>
        </w:rPr>
        <w:t>التزام بالكود السعودي والتأمين - يقلل المخاطر.</w:t>
      </w:r>
    </w:p>
    <w:p>
      <w:pPr>
        <w:pStyle w:val="ListBullet"/>
        <w:jc w:val="right"/>
      </w:pPr>
      <w:r>
        <w:rPr>
          <w:rFonts w:ascii="Arial" w:hAnsi="Arial" w:eastAsia="Arial"/>
          <w:sz w:val="22"/>
        </w:rPr>
        <w:t>نموذج مالي مرن ممول ذاتياً من المساهمين.</w:t>
      </w:r>
    </w:p>
    <w:p>
      <w:r>
        <w:br w:type="page"/>
      </w:r>
    </w:p>
    <w:p>
      <w:pPr>
        <w:pStyle w:val="Heading1"/>
        <w:jc w:val="right"/>
      </w:pPr>
      <w:r>
        <w:rPr>
          <w:rFonts w:ascii="Arial" w:hAnsi="Arial" w:eastAsia="Arial"/>
          <w:color w:val="003366"/>
        </w:rPr>
        <w:t>5. استراتيجية التسويق والمبيعات</w:t>
      </w:r>
    </w:p>
    <w:p>
      <w:pPr>
        <w:pStyle w:val="Heading2"/>
        <w:jc w:val="right"/>
      </w:pPr>
      <w:r>
        <w:rPr>
          <w:rFonts w:ascii="Arial" w:hAnsi="Arial" w:eastAsia="Arial"/>
        </w:rPr>
        <w:t>5.1 استراتيجية التسويق الرقمي</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pPr>
            <w:r>
              <w:rPr>
                <w:rFonts w:ascii="Arial" w:hAnsi="Arial" w:eastAsia="Arial"/>
                <w:b/>
              </w:rPr>
              <w:t>القناة</w:t>
            </w:r>
          </w:p>
        </w:tc>
        <w:tc>
          <w:tcPr>
            <w:tcW w:type="dxa" w:w="2880"/>
          </w:tcPr>
          <w:p>
            <w:pPr>
              <w:jc w:val="right"/>
            </w:pPr>
            <w:r>
              <w:rPr>
                <w:rFonts w:ascii="Arial" w:hAnsi="Arial" w:eastAsia="Arial"/>
                <w:b/>
              </w:rPr>
              <w:t>الهدف</w:t>
            </w:r>
          </w:p>
        </w:tc>
        <w:tc>
          <w:tcPr>
            <w:tcW w:type="dxa" w:w="2880"/>
          </w:tcPr>
          <w:p>
            <w:pPr>
              <w:jc w:val="right"/>
            </w:pPr>
            <w:r>
              <w:rPr>
                <w:rFonts w:ascii="Arial" w:hAnsi="Arial" w:eastAsia="Arial"/>
                <w:b/>
              </w:rPr>
              <w:t>الميزانية الشهرية</w:t>
            </w:r>
          </w:p>
        </w:tc>
      </w:tr>
      <w:tr>
        <w:tc>
          <w:tcPr>
            <w:tcW w:type="dxa" w:w="2880"/>
          </w:tcPr>
          <w:p>
            <w:pPr>
              <w:jc w:val="right"/>
            </w:pPr>
            <w:r>
              <w:rPr>
                <w:rFonts w:ascii="Arial" w:hAnsi="Arial" w:eastAsia="Arial"/>
              </w:rPr>
              <w:t>القناة</w:t>
            </w:r>
          </w:p>
        </w:tc>
        <w:tc>
          <w:tcPr>
            <w:tcW w:type="dxa" w:w="2880"/>
          </w:tcPr>
          <w:p>
            <w:pPr>
              <w:jc w:val="right"/>
            </w:pPr>
            <w:r>
              <w:rPr>
                <w:rFonts w:ascii="Arial" w:hAnsi="Arial" w:eastAsia="Arial"/>
              </w:rPr>
              <w:t>الهدف</w:t>
            </w:r>
          </w:p>
        </w:tc>
        <w:tc>
          <w:tcPr>
            <w:tcW w:type="dxa" w:w="2880"/>
          </w:tcPr>
          <w:p>
            <w:pPr>
              <w:jc w:val="right"/>
            </w:pPr>
            <w:r>
              <w:rPr>
                <w:rFonts w:ascii="Arial" w:hAnsi="Arial" w:eastAsia="Arial"/>
              </w:rPr>
              <w:t>الميزانية الشهرية</w:t>
            </w:r>
          </w:p>
        </w:tc>
      </w:tr>
      <w:tr>
        <w:tc>
          <w:tcPr>
            <w:tcW w:type="dxa" w:w="2880"/>
          </w:tcPr>
          <w:p>
            <w:pPr>
              <w:jc w:val="right"/>
            </w:pPr>
            <w:r>
              <w:rPr>
                <w:rFonts w:ascii="Arial" w:hAnsi="Arial" w:eastAsia="Arial"/>
              </w:rPr>
              <w:t>Google Ads</w:t>
            </w:r>
          </w:p>
        </w:tc>
        <w:tc>
          <w:tcPr>
            <w:tcW w:type="dxa" w:w="2880"/>
          </w:tcPr>
          <w:p>
            <w:pPr>
              <w:jc w:val="right"/>
            </w:pPr>
            <w:r>
              <w:rPr>
                <w:rFonts w:ascii="Arial" w:hAnsi="Arial" w:eastAsia="Arial"/>
              </w:rPr>
              <w:t>الوصول لمالكي العقارات غير المكتملة</w:t>
            </w:r>
          </w:p>
        </w:tc>
        <w:tc>
          <w:tcPr>
            <w:tcW w:type="dxa" w:w="2880"/>
          </w:tcPr>
          <w:p>
            <w:pPr>
              <w:jc w:val="right"/>
            </w:pPr>
            <w:r>
              <w:rPr>
                <w:rFonts w:ascii="Arial" w:hAnsi="Arial" w:eastAsia="Arial"/>
              </w:rPr>
              <w:t>10,000 ريال</w:t>
            </w:r>
          </w:p>
        </w:tc>
      </w:tr>
      <w:tr>
        <w:tc>
          <w:tcPr>
            <w:tcW w:type="dxa" w:w="2880"/>
          </w:tcPr>
          <w:p>
            <w:pPr>
              <w:jc w:val="right"/>
            </w:pPr>
            <w:r>
              <w:rPr>
                <w:rFonts w:ascii="Arial" w:hAnsi="Arial" w:eastAsia="Arial"/>
              </w:rPr>
              <w:t>Snapchat Ads</w:t>
            </w:r>
          </w:p>
        </w:tc>
        <w:tc>
          <w:tcPr>
            <w:tcW w:type="dxa" w:w="2880"/>
          </w:tcPr>
          <w:p>
            <w:pPr>
              <w:jc w:val="right"/>
            </w:pPr>
            <w:r>
              <w:rPr>
                <w:rFonts w:ascii="Arial" w:hAnsi="Arial" w:eastAsia="Arial"/>
              </w:rPr>
              <w:t>الفئة العمرية 25-45</w:t>
            </w:r>
          </w:p>
        </w:tc>
        <w:tc>
          <w:tcPr>
            <w:tcW w:type="dxa" w:w="2880"/>
          </w:tcPr>
          <w:p>
            <w:pPr>
              <w:jc w:val="right"/>
            </w:pPr>
            <w:r>
              <w:rPr>
                <w:rFonts w:ascii="Arial" w:hAnsi="Arial" w:eastAsia="Arial"/>
              </w:rPr>
              <w:t>8,000 ريال</w:t>
            </w:r>
          </w:p>
        </w:tc>
      </w:tr>
      <w:tr>
        <w:tc>
          <w:tcPr>
            <w:tcW w:type="dxa" w:w="2880"/>
          </w:tcPr>
          <w:p>
            <w:pPr>
              <w:jc w:val="right"/>
            </w:pPr>
            <w:r>
              <w:rPr>
                <w:rFonts w:ascii="Arial" w:hAnsi="Arial" w:eastAsia="Arial"/>
              </w:rPr>
              <w:t>Instagram / TikTok</w:t>
            </w:r>
          </w:p>
        </w:tc>
        <w:tc>
          <w:tcPr>
            <w:tcW w:type="dxa" w:w="2880"/>
          </w:tcPr>
          <w:p>
            <w:pPr>
              <w:jc w:val="right"/>
            </w:pPr>
            <w:r>
              <w:rPr>
                <w:rFonts w:ascii="Arial" w:hAnsi="Arial" w:eastAsia="Arial"/>
              </w:rPr>
              <w:t>عرض مشاريع "قبل وبعد"</w:t>
            </w:r>
          </w:p>
        </w:tc>
        <w:tc>
          <w:tcPr>
            <w:tcW w:type="dxa" w:w="2880"/>
          </w:tcPr>
          <w:p>
            <w:pPr>
              <w:jc w:val="right"/>
            </w:pPr>
            <w:r>
              <w:rPr>
                <w:rFonts w:ascii="Arial" w:hAnsi="Arial" w:eastAsia="Arial"/>
              </w:rPr>
              <w:t>5,000 ريال</w:t>
            </w:r>
          </w:p>
        </w:tc>
      </w:tr>
      <w:tr>
        <w:tc>
          <w:tcPr>
            <w:tcW w:type="dxa" w:w="2880"/>
          </w:tcPr>
          <w:p>
            <w:pPr>
              <w:jc w:val="right"/>
            </w:pPr>
            <w:r>
              <w:rPr>
                <w:rFonts w:ascii="Arial" w:hAnsi="Arial" w:eastAsia="Arial"/>
              </w:rPr>
              <w:t>SEO</w:t>
            </w:r>
          </w:p>
        </w:tc>
        <w:tc>
          <w:tcPr>
            <w:tcW w:type="dxa" w:w="2880"/>
          </w:tcPr>
          <w:p>
            <w:pPr>
              <w:jc w:val="right"/>
            </w:pPr>
            <w:r>
              <w:rPr>
                <w:rFonts w:ascii="Arial" w:hAnsi="Arial" w:eastAsia="Arial"/>
              </w:rPr>
              <w:t>الظهور في "إحياء المباني"</w:t>
            </w:r>
          </w:p>
        </w:tc>
        <w:tc>
          <w:tcPr>
            <w:tcW w:type="dxa" w:w="2880"/>
          </w:tcPr>
          <w:p>
            <w:pPr>
              <w:jc w:val="right"/>
            </w:pPr>
            <w:r>
              <w:rPr>
                <w:rFonts w:ascii="Arial" w:hAnsi="Arial" w:eastAsia="Arial"/>
              </w:rPr>
              <w:t>3,000 ريال</w:t>
            </w:r>
          </w:p>
        </w:tc>
      </w:tr>
      <w:tr>
        <w:tc>
          <w:tcPr>
            <w:tcW w:type="dxa" w:w="2880"/>
          </w:tcPr>
          <w:p>
            <w:pPr>
              <w:jc w:val="right"/>
            </w:pPr>
            <w:r>
              <w:rPr>
                <w:rFonts w:ascii="Arial" w:hAnsi="Arial" w:eastAsia="Arial"/>
              </w:rPr>
              <w:t>LinkedIn</w:t>
            </w:r>
          </w:p>
        </w:tc>
        <w:tc>
          <w:tcPr>
            <w:tcW w:type="dxa" w:w="2880"/>
          </w:tcPr>
          <w:p>
            <w:pPr>
              <w:jc w:val="right"/>
            </w:pPr>
            <w:r>
              <w:rPr>
                <w:rFonts w:ascii="Arial" w:hAnsi="Arial" w:eastAsia="Arial"/>
              </w:rPr>
              <w:t>الوصول للمستثمرين والمالكين</w:t>
            </w:r>
          </w:p>
        </w:tc>
        <w:tc>
          <w:tcPr>
            <w:tcW w:type="dxa" w:w="2880"/>
          </w:tcPr>
          <w:p>
            <w:pPr>
              <w:jc w:val="right"/>
            </w:pPr>
            <w:r>
              <w:rPr>
                <w:rFonts w:ascii="Arial" w:hAnsi="Arial" w:eastAsia="Arial"/>
              </w:rPr>
              <w:t>2,000 ريال</w:t>
            </w:r>
          </w:p>
        </w:tc>
      </w:tr>
    </w:tbl>
    <w:p>
      <w:pPr>
        <w:pStyle w:val="Heading2"/>
        <w:jc w:val="right"/>
      </w:pPr>
      <w:r>
        <w:rPr>
          <w:rFonts w:ascii="Arial" w:hAnsi="Arial" w:eastAsia="Arial"/>
        </w:rPr>
        <w:t>5.2 قمع المبيعات</w:t>
      </w:r>
    </w:p>
    <w:p>
      <w:pPr>
        <w:pStyle w:val="ListBullet"/>
        <w:jc w:val="right"/>
      </w:pPr>
      <w:r>
        <w:rPr>
          <w:rFonts w:ascii="Arial" w:hAnsi="Arial" w:eastAsia="Arial"/>
          <w:sz w:val="22"/>
        </w:rPr>
        <w:t>الوعي: 100,000 شخص/شهر</w:t>
      </w:r>
    </w:p>
    <w:p>
      <w:pPr>
        <w:pStyle w:val="ListBullet"/>
        <w:jc w:val="right"/>
      </w:pPr>
      <w:r>
        <w:rPr>
          <w:rFonts w:ascii="Arial" w:hAnsi="Arial" w:eastAsia="Arial"/>
          <w:sz w:val="22"/>
        </w:rPr>
        <w:t>الاهتمام: 5,000 شخص/شهر</w:t>
      </w:r>
    </w:p>
    <w:p>
      <w:pPr>
        <w:pStyle w:val="ListBullet"/>
        <w:jc w:val="right"/>
      </w:pPr>
      <w:r>
        <w:rPr>
          <w:rFonts w:ascii="Arial" w:hAnsi="Arial" w:eastAsia="Arial"/>
          <w:sz w:val="22"/>
        </w:rPr>
        <w:t>التقييم: 500 مالك/شهر</w:t>
      </w:r>
    </w:p>
    <w:p>
      <w:pPr>
        <w:pStyle w:val="ListBullet"/>
        <w:jc w:val="right"/>
      </w:pPr>
      <w:r>
        <w:rPr>
          <w:rFonts w:ascii="Arial" w:hAnsi="Arial" w:eastAsia="Arial"/>
          <w:sz w:val="22"/>
        </w:rPr>
        <w:t>النية: 50 اجتماع/شهر</w:t>
      </w:r>
    </w:p>
    <w:p>
      <w:pPr>
        <w:pStyle w:val="ListBullet"/>
        <w:jc w:val="right"/>
      </w:pPr>
      <w:r>
        <w:rPr>
          <w:rFonts w:ascii="Arial" w:hAnsi="Arial" w:eastAsia="Arial"/>
          <w:sz w:val="22"/>
        </w:rPr>
        <w:t>الشراء: 2-4 عقد/شهر</w:t>
      </w:r>
    </w:p>
    <w:p>
      <w:pPr>
        <w:pStyle w:val="Heading2"/>
        <w:jc w:val="right"/>
      </w:pPr>
      <w:r>
        <w:rPr>
          <w:rFonts w:ascii="Arial" w:hAnsi="Arial" w:eastAsia="Arial"/>
        </w:rPr>
        <w:t>5.3 استراتيجية الوصول للمالكين</w:t>
      </w:r>
    </w:p>
    <w:p>
      <w:pPr>
        <w:pStyle w:val="ListBullet"/>
        <w:jc w:val="right"/>
      </w:pPr>
      <w:r>
        <w:rPr>
          <w:rFonts w:ascii="Arial" w:hAnsi="Arial" w:eastAsia="Arial"/>
          <w:sz w:val="22"/>
        </w:rPr>
        <w:t>بناء قاعدة بيانات للعقارات غير المكتملة في المناطق المستهدفة.</w:t>
      </w:r>
    </w:p>
    <w:p>
      <w:pPr>
        <w:pStyle w:val="ListBullet"/>
        <w:jc w:val="right"/>
      </w:pPr>
      <w:r>
        <w:rPr>
          <w:rFonts w:ascii="Arial" w:hAnsi="Arial" w:eastAsia="Arial"/>
          <w:sz w:val="22"/>
        </w:rPr>
        <w:t>شراكات مع المصفين والوسطاء العقاريين.</w:t>
      </w:r>
    </w:p>
    <w:p>
      <w:pPr>
        <w:pStyle w:val="ListBullet"/>
        <w:jc w:val="right"/>
      </w:pPr>
      <w:r>
        <w:rPr>
          <w:rFonts w:ascii="Arial" w:hAnsi="Arial" w:eastAsia="Arial"/>
          <w:sz w:val="22"/>
        </w:rPr>
        <w:t>حضور المعارض العقارية السنوية.</w:t>
      </w:r>
    </w:p>
    <w:p>
      <w:pPr>
        <w:pStyle w:val="ListBullet"/>
        <w:jc w:val="right"/>
      </w:pPr>
      <w:r>
        <w:rPr>
          <w:rFonts w:ascii="Arial" w:hAnsi="Arial" w:eastAsia="Arial"/>
          <w:sz w:val="22"/>
        </w:rPr>
        <w:t>حملات توعوية حول فوائد إحياء الأصول غير المكتملة.</w:t>
      </w:r>
    </w:p>
    <w:p>
      <w:r>
        <w:br w:type="page"/>
      </w:r>
    </w:p>
    <w:p>
      <w:pPr>
        <w:pStyle w:val="Heading1"/>
        <w:jc w:val="right"/>
      </w:pPr>
      <w:r>
        <w:rPr>
          <w:rFonts w:ascii="Arial" w:hAnsi="Arial" w:eastAsia="Arial"/>
          <w:color w:val="003366"/>
        </w:rPr>
        <w:t>6. الخطة التشغيلية</w:t>
      </w:r>
    </w:p>
    <w:p>
      <w:pPr>
        <w:pStyle w:val="Heading2"/>
        <w:jc w:val="right"/>
      </w:pPr>
      <w:r>
        <w:rPr>
          <w:rFonts w:ascii="Arial" w:hAnsi="Arial" w:eastAsia="Arial"/>
        </w:rPr>
        <w:t>6.1 مراحل المشروع الواحد</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pPr>
            <w:r>
              <w:rPr>
                <w:rFonts w:ascii="Arial" w:hAnsi="Arial" w:eastAsia="Arial"/>
                <w:b/>
              </w:rPr>
              <w:t>المرحلة</w:t>
            </w:r>
          </w:p>
        </w:tc>
        <w:tc>
          <w:tcPr>
            <w:tcW w:type="dxa" w:w="2880"/>
          </w:tcPr>
          <w:p>
            <w:pPr>
              <w:jc w:val="right"/>
            </w:pPr>
            <w:r>
              <w:rPr>
                <w:rFonts w:ascii="Arial" w:hAnsi="Arial" w:eastAsia="Arial"/>
                <w:b/>
              </w:rPr>
              <w:t>المدة</w:t>
            </w:r>
          </w:p>
        </w:tc>
        <w:tc>
          <w:tcPr>
            <w:tcW w:type="dxa" w:w="2880"/>
          </w:tcPr>
          <w:p>
            <w:pPr>
              <w:jc w:val="right"/>
            </w:pPr>
            <w:r>
              <w:rPr>
                <w:rFonts w:ascii="Arial" w:hAnsi="Arial" w:eastAsia="Arial"/>
                <w:b/>
              </w:rPr>
              <w:t>الأنشطة الرئيسية</w:t>
            </w:r>
          </w:p>
        </w:tc>
      </w:tr>
      <w:tr>
        <w:tc>
          <w:tcPr>
            <w:tcW w:type="dxa" w:w="2880"/>
          </w:tcPr>
          <w:p>
            <w:pPr>
              <w:jc w:val="right"/>
            </w:pPr>
            <w:r>
              <w:rPr>
                <w:rFonts w:ascii="Arial" w:hAnsi="Arial" w:eastAsia="Arial"/>
              </w:rPr>
              <w:t>المرحلة</w:t>
            </w:r>
          </w:p>
        </w:tc>
        <w:tc>
          <w:tcPr>
            <w:tcW w:type="dxa" w:w="2880"/>
          </w:tcPr>
          <w:p>
            <w:pPr>
              <w:jc w:val="right"/>
            </w:pPr>
            <w:r>
              <w:rPr>
                <w:rFonts w:ascii="Arial" w:hAnsi="Arial" w:eastAsia="Arial"/>
              </w:rPr>
              <w:t>المدة</w:t>
            </w:r>
          </w:p>
        </w:tc>
        <w:tc>
          <w:tcPr>
            <w:tcW w:type="dxa" w:w="2880"/>
          </w:tcPr>
          <w:p>
            <w:pPr>
              <w:jc w:val="right"/>
            </w:pPr>
            <w:r>
              <w:rPr>
                <w:rFonts w:ascii="Arial" w:hAnsi="Arial" w:eastAsia="Arial"/>
              </w:rPr>
              <w:t>الأنشطة الرئيسية</w:t>
            </w:r>
          </w:p>
        </w:tc>
      </w:tr>
      <w:tr>
        <w:tc>
          <w:tcPr>
            <w:tcW w:type="dxa" w:w="2880"/>
          </w:tcPr>
          <w:p>
            <w:pPr>
              <w:jc w:val="right"/>
            </w:pPr>
            <w:r>
              <w:rPr>
                <w:rFonts w:ascii="Arial" w:hAnsi="Arial" w:eastAsia="Arial"/>
              </w:rPr>
              <w:t>التقييم</w:t>
            </w:r>
          </w:p>
        </w:tc>
        <w:tc>
          <w:tcPr>
            <w:tcW w:type="dxa" w:w="2880"/>
          </w:tcPr>
          <w:p>
            <w:pPr>
              <w:jc w:val="right"/>
            </w:pPr>
            <w:r>
              <w:rPr>
                <w:rFonts w:ascii="Arial" w:hAnsi="Arial" w:eastAsia="Arial"/>
              </w:rPr>
              <w:t>4 أسابيع</w:t>
            </w:r>
          </w:p>
        </w:tc>
        <w:tc>
          <w:tcPr>
            <w:tcW w:type="dxa" w:w="2880"/>
          </w:tcPr>
          <w:p>
            <w:pPr>
              <w:jc w:val="right"/>
            </w:pPr>
            <w:r>
              <w:rPr>
                <w:rFonts w:ascii="Arial" w:hAnsi="Arial" w:eastAsia="Arial"/>
              </w:rPr>
              <w:t>فحص هيكلي، مراجعة قانونية، تقدير تكلفة</w:t>
            </w:r>
          </w:p>
        </w:tc>
      </w:tr>
      <w:tr>
        <w:tc>
          <w:tcPr>
            <w:tcW w:type="dxa" w:w="2880"/>
          </w:tcPr>
          <w:p>
            <w:pPr>
              <w:jc w:val="right"/>
            </w:pPr>
            <w:r>
              <w:rPr>
                <w:rFonts w:ascii="Arial" w:hAnsi="Arial" w:eastAsia="Arial"/>
              </w:rPr>
              <w:t>التعاقد</w:t>
            </w:r>
          </w:p>
        </w:tc>
        <w:tc>
          <w:tcPr>
            <w:tcW w:type="dxa" w:w="2880"/>
          </w:tcPr>
          <w:p>
            <w:pPr>
              <w:jc w:val="right"/>
            </w:pPr>
            <w:r>
              <w:rPr>
                <w:rFonts w:ascii="Arial" w:hAnsi="Arial" w:eastAsia="Arial"/>
              </w:rPr>
              <w:t>2-4 أسابيع</w:t>
            </w:r>
          </w:p>
        </w:tc>
        <w:tc>
          <w:tcPr>
            <w:tcW w:type="dxa" w:w="2880"/>
          </w:tcPr>
          <w:p>
            <w:pPr>
              <w:jc w:val="right"/>
            </w:pPr>
            <w:r>
              <w:rPr>
                <w:rFonts w:ascii="Arial" w:hAnsi="Arial" w:eastAsia="Arial"/>
              </w:rPr>
              <w:t>صياغة عقد المحاصة، استصدار الموافقات</w:t>
            </w:r>
          </w:p>
        </w:tc>
      </w:tr>
      <w:tr>
        <w:tc>
          <w:tcPr>
            <w:tcW w:type="dxa" w:w="2880"/>
          </w:tcPr>
          <w:p>
            <w:pPr>
              <w:jc w:val="right"/>
            </w:pPr>
            <w:r>
              <w:rPr>
                <w:rFonts w:ascii="Arial" w:hAnsi="Arial" w:eastAsia="Arial"/>
              </w:rPr>
              <w:t>التصميم</w:t>
            </w:r>
          </w:p>
        </w:tc>
        <w:tc>
          <w:tcPr>
            <w:tcW w:type="dxa" w:w="2880"/>
          </w:tcPr>
          <w:p>
            <w:pPr>
              <w:jc w:val="right"/>
            </w:pPr>
            <w:r>
              <w:rPr>
                <w:rFonts w:ascii="Arial" w:hAnsi="Arial" w:eastAsia="Arial"/>
              </w:rPr>
              <w:t>4-8 أسابيع</w:t>
            </w:r>
          </w:p>
        </w:tc>
        <w:tc>
          <w:tcPr>
            <w:tcW w:type="dxa" w:w="2880"/>
          </w:tcPr>
          <w:p>
            <w:pPr>
              <w:jc w:val="right"/>
            </w:pPr>
            <w:r>
              <w:rPr>
                <w:rFonts w:ascii="Arial" w:hAnsi="Arial" w:eastAsia="Arial"/>
              </w:rPr>
              <w:t>التصاميم والتراخيص البلدية</w:t>
            </w:r>
          </w:p>
        </w:tc>
      </w:tr>
      <w:tr>
        <w:tc>
          <w:tcPr>
            <w:tcW w:type="dxa" w:w="2880"/>
          </w:tcPr>
          <w:p>
            <w:pPr>
              <w:jc w:val="right"/>
            </w:pPr>
            <w:r>
              <w:rPr>
                <w:rFonts w:ascii="Arial" w:hAnsi="Arial" w:eastAsia="Arial"/>
              </w:rPr>
              <w:t>التشطيب</w:t>
            </w:r>
          </w:p>
        </w:tc>
        <w:tc>
          <w:tcPr>
            <w:tcW w:type="dxa" w:w="2880"/>
          </w:tcPr>
          <w:p>
            <w:pPr>
              <w:jc w:val="right"/>
            </w:pPr>
            <w:r>
              <w:rPr>
                <w:rFonts w:ascii="Arial" w:hAnsi="Arial" w:eastAsia="Arial"/>
              </w:rPr>
              <w:t>16-24 أسبوع</w:t>
            </w:r>
          </w:p>
        </w:tc>
        <w:tc>
          <w:tcPr>
            <w:tcW w:type="dxa" w:w="2880"/>
          </w:tcPr>
          <w:p>
            <w:pPr>
              <w:jc w:val="right"/>
            </w:pPr>
            <w:r>
              <w:rPr>
                <w:rFonts w:ascii="Arial" w:hAnsi="Arial" w:eastAsia="Arial"/>
              </w:rPr>
              <w:t>اختيار مقاول، إشراف يومي، تفتيش دوري</w:t>
            </w:r>
          </w:p>
        </w:tc>
      </w:tr>
      <w:tr>
        <w:tc>
          <w:tcPr>
            <w:tcW w:type="dxa" w:w="2880"/>
          </w:tcPr>
          <w:p>
            <w:pPr>
              <w:jc w:val="right"/>
            </w:pPr>
            <w:r>
              <w:rPr>
                <w:rFonts w:ascii="Arial" w:hAnsi="Arial" w:eastAsia="Arial"/>
              </w:rPr>
              <w:t>التسويق والبيع</w:t>
            </w:r>
          </w:p>
        </w:tc>
        <w:tc>
          <w:tcPr>
            <w:tcW w:type="dxa" w:w="2880"/>
          </w:tcPr>
          <w:p>
            <w:pPr>
              <w:jc w:val="right"/>
            </w:pPr>
            <w:r>
              <w:rPr>
                <w:rFonts w:ascii="Arial" w:hAnsi="Arial" w:eastAsia="Arial"/>
              </w:rPr>
              <w:t>12-24 أسبوع</w:t>
            </w:r>
          </w:p>
        </w:tc>
        <w:tc>
          <w:tcPr>
            <w:tcW w:type="dxa" w:w="2880"/>
          </w:tcPr>
          <w:p>
            <w:pPr>
              <w:jc w:val="right"/>
            </w:pPr>
            <w:r>
              <w:rPr>
                <w:rFonts w:ascii="Arial" w:hAnsi="Arial" w:eastAsia="Arial"/>
              </w:rPr>
              <w:t>عرض الوحدات، استقبال العملاء، عقود البيع</w:t>
            </w:r>
          </w:p>
        </w:tc>
      </w:tr>
      <w:tr>
        <w:tc>
          <w:tcPr>
            <w:tcW w:type="dxa" w:w="2880"/>
          </w:tcPr>
          <w:p>
            <w:pPr>
              <w:jc w:val="right"/>
            </w:pPr>
            <w:r>
              <w:rPr>
                <w:rFonts w:ascii="Arial" w:hAnsi="Arial" w:eastAsia="Arial"/>
              </w:rPr>
              <w:t>التسليم والتسوية</w:t>
            </w:r>
          </w:p>
        </w:tc>
        <w:tc>
          <w:tcPr>
            <w:tcW w:type="dxa" w:w="2880"/>
          </w:tcPr>
          <w:p>
            <w:pPr>
              <w:jc w:val="right"/>
            </w:pPr>
            <w:r>
              <w:rPr>
                <w:rFonts w:ascii="Arial" w:hAnsi="Arial" w:eastAsia="Arial"/>
              </w:rPr>
              <w:t>4-8 أسابيع</w:t>
            </w:r>
          </w:p>
        </w:tc>
        <w:tc>
          <w:tcPr>
            <w:tcW w:type="dxa" w:w="2880"/>
          </w:tcPr>
          <w:p>
            <w:pPr>
              <w:jc w:val="right"/>
            </w:pPr>
            <w:r>
              <w:rPr>
                <w:rFonts w:ascii="Arial" w:hAnsi="Arial" w:eastAsia="Arial"/>
              </w:rPr>
              <w:t>تسليم الوحدات، نقل الملكية، توزيع الأرباح</w:t>
            </w:r>
          </w:p>
        </w:tc>
      </w:tr>
    </w:tbl>
    <w:p>
      <w:pPr>
        <w:pStyle w:val="Heading2"/>
        <w:jc w:val="right"/>
      </w:pPr>
      <w:r>
        <w:rPr>
          <w:rFonts w:ascii="Arial" w:hAnsi="Arial" w:eastAsia="Arial"/>
        </w:rPr>
        <w:t>6.2 مؤشرات الأداء الرئيسية (KPIs)</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jc w:val="right"/>
            </w:pPr>
            <w:r>
              <w:rPr>
                <w:rFonts w:ascii="Arial" w:hAnsi="Arial" w:eastAsia="Arial"/>
                <w:b/>
              </w:rPr>
              <w:t>المؤشر</w:t>
            </w:r>
          </w:p>
        </w:tc>
        <w:tc>
          <w:tcPr>
            <w:tcW w:type="dxa" w:w="2160"/>
          </w:tcPr>
          <w:p>
            <w:pPr>
              <w:jc w:val="right"/>
            </w:pPr>
            <w:r>
              <w:rPr>
                <w:rFonts w:ascii="Arial" w:hAnsi="Arial" w:eastAsia="Arial"/>
                <w:b/>
              </w:rPr>
              <w:t>الهدف</w:t>
            </w:r>
          </w:p>
        </w:tc>
        <w:tc>
          <w:tcPr>
            <w:tcW w:type="dxa" w:w="2160"/>
          </w:tcPr>
          <w:p>
            <w:pPr>
              <w:jc w:val="right"/>
            </w:pPr>
            <w:r>
              <w:rPr>
                <w:rFonts w:ascii="Arial" w:hAnsi="Arial" w:eastAsia="Arial"/>
                <w:b/>
              </w:rPr>
              <w:t>التحذير</w:t>
            </w:r>
          </w:p>
        </w:tc>
        <w:tc>
          <w:tcPr>
            <w:tcW w:type="dxa" w:w="2160"/>
          </w:tcPr>
          <w:p>
            <w:pPr>
              <w:jc w:val="right"/>
            </w:pPr>
            <w:r>
              <w:rPr>
                <w:rFonts w:ascii="Arial" w:hAnsi="Arial" w:eastAsia="Arial"/>
                <w:b/>
              </w:rPr>
              <w:t>الخطر</w:t>
            </w:r>
          </w:p>
        </w:tc>
      </w:tr>
      <w:tr>
        <w:tc>
          <w:tcPr>
            <w:tcW w:type="dxa" w:w="2160"/>
          </w:tcPr>
          <w:p>
            <w:pPr>
              <w:jc w:val="right"/>
            </w:pPr>
            <w:r>
              <w:rPr>
                <w:rFonts w:ascii="Arial" w:hAnsi="Arial" w:eastAsia="Arial"/>
              </w:rPr>
              <w:t>المؤشر</w:t>
            </w:r>
          </w:p>
        </w:tc>
        <w:tc>
          <w:tcPr>
            <w:tcW w:type="dxa" w:w="2160"/>
          </w:tcPr>
          <w:p>
            <w:pPr>
              <w:jc w:val="right"/>
            </w:pPr>
            <w:r>
              <w:rPr>
                <w:rFonts w:ascii="Arial" w:hAnsi="Arial" w:eastAsia="Arial"/>
              </w:rPr>
              <w:t>الهدف</w:t>
            </w:r>
          </w:p>
        </w:tc>
        <w:tc>
          <w:tcPr>
            <w:tcW w:type="dxa" w:w="2160"/>
          </w:tcPr>
          <w:p>
            <w:pPr>
              <w:jc w:val="right"/>
            </w:pPr>
            <w:r>
              <w:rPr>
                <w:rFonts w:ascii="Arial" w:hAnsi="Arial" w:eastAsia="Arial"/>
              </w:rPr>
              <w:t>التحذير</w:t>
            </w:r>
          </w:p>
        </w:tc>
        <w:tc>
          <w:tcPr>
            <w:tcW w:type="dxa" w:w="2160"/>
          </w:tcPr>
          <w:p>
            <w:pPr>
              <w:jc w:val="right"/>
            </w:pPr>
            <w:r>
              <w:rPr>
                <w:rFonts w:ascii="Arial" w:hAnsi="Arial" w:eastAsia="Arial"/>
              </w:rPr>
              <w:t>الخطر</w:t>
            </w:r>
          </w:p>
        </w:tc>
      </w:tr>
      <w:tr>
        <w:tc>
          <w:tcPr>
            <w:tcW w:type="dxa" w:w="2160"/>
          </w:tcPr>
          <w:p>
            <w:pPr>
              <w:jc w:val="right"/>
            </w:pPr>
            <w:r>
              <w:rPr>
                <w:rFonts w:ascii="Arial" w:hAnsi="Arial" w:eastAsia="Arial"/>
              </w:rPr>
              <w:t>نسبة إنجاز التشطيب</w:t>
            </w:r>
          </w:p>
        </w:tc>
        <w:tc>
          <w:tcPr>
            <w:tcW w:type="dxa" w:w="2160"/>
          </w:tcPr>
          <w:p>
            <w:pPr>
              <w:jc w:val="right"/>
            </w:pPr>
            <w:r>
              <w:rPr>
                <w:rFonts w:ascii="Arial" w:hAnsi="Arial" w:eastAsia="Arial"/>
              </w:rPr>
              <w:t>&gt;80% في الشهر الرابع</w:t>
            </w:r>
          </w:p>
        </w:tc>
        <w:tc>
          <w:tcPr>
            <w:tcW w:type="dxa" w:w="2160"/>
          </w:tcPr>
          <w:p>
            <w:pPr>
              <w:jc w:val="right"/>
            </w:pPr>
            <w:r>
              <w:rPr>
                <w:rFonts w:ascii="Arial" w:hAnsi="Arial" w:eastAsia="Arial"/>
              </w:rPr>
              <w:t>&lt;60%</w:t>
            </w:r>
          </w:p>
        </w:tc>
        <w:tc>
          <w:tcPr>
            <w:tcW w:type="dxa" w:w="2160"/>
          </w:tcPr>
          <w:p>
            <w:pPr>
              <w:jc w:val="right"/>
            </w:pPr>
            <w:r>
              <w:rPr>
                <w:rFonts w:ascii="Arial" w:hAnsi="Arial" w:eastAsia="Arial"/>
              </w:rPr>
              <w:t>تأخر المقاول</w:t>
            </w:r>
          </w:p>
        </w:tc>
      </w:tr>
      <w:tr>
        <w:tc>
          <w:tcPr>
            <w:tcW w:type="dxa" w:w="2160"/>
          </w:tcPr>
          <w:p>
            <w:pPr>
              <w:jc w:val="right"/>
            </w:pPr>
            <w:r>
              <w:rPr>
                <w:rFonts w:ascii="Arial" w:hAnsi="Arial" w:eastAsia="Arial"/>
              </w:rPr>
              <w:t>معدل بيع الوحدات</w:t>
            </w:r>
          </w:p>
        </w:tc>
        <w:tc>
          <w:tcPr>
            <w:tcW w:type="dxa" w:w="2160"/>
          </w:tcPr>
          <w:p>
            <w:pPr>
              <w:jc w:val="right"/>
            </w:pPr>
            <w:r>
              <w:rPr>
                <w:rFonts w:ascii="Arial" w:hAnsi="Arial" w:eastAsia="Arial"/>
              </w:rPr>
              <w:t>&gt;30% في الشهر الثاني</w:t>
            </w:r>
          </w:p>
        </w:tc>
        <w:tc>
          <w:tcPr>
            <w:tcW w:type="dxa" w:w="2160"/>
          </w:tcPr>
          <w:p>
            <w:pPr>
              <w:jc w:val="right"/>
            </w:pPr>
            <w:r>
              <w:rPr>
                <w:rFonts w:ascii="Arial" w:hAnsi="Arial" w:eastAsia="Arial"/>
              </w:rPr>
              <w:t>&lt;10%</w:t>
            </w:r>
          </w:p>
        </w:tc>
        <w:tc>
          <w:tcPr>
            <w:tcW w:type="dxa" w:w="2160"/>
          </w:tcPr>
          <w:p>
            <w:pPr>
              <w:jc w:val="right"/>
            </w:pPr>
            <w:r>
              <w:rPr>
                <w:rFonts w:ascii="Arial" w:hAnsi="Arial" w:eastAsia="Arial"/>
              </w:rPr>
              <w:t>ضعف الطلب</w:t>
            </w:r>
          </w:p>
        </w:tc>
      </w:tr>
      <w:tr>
        <w:tc>
          <w:tcPr>
            <w:tcW w:type="dxa" w:w="2160"/>
          </w:tcPr>
          <w:p>
            <w:pPr>
              <w:jc w:val="right"/>
            </w:pPr>
            <w:r>
              <w:rPr>
                <w:rFonts w:ascii="Arial" w:hAnsi="Arial" w:eastAsia="Arial"/>
              </w:rPr>
              <w:t>تكلفة التشطيب/المتوقع</w:t>
            </w:r>
          </w:p>
        </w:tc>
        <w:tc>
          <w:tcPr>
            <w:tcW w:type="dxa" w:w="2160"/>
          </w:tcPr>
          <w:p>
            <w:pPr>
              <w:jc w:val="right"/>
            </w:pPr>
            <w:r>
              <w:rPr>
                <w:rFonts w:ascii="Arial" w:hAnsi="Arial" w:eastAsia="Arial"/>
              </w:rPr>
              <w:t>&lt;105%</w:t>
            </w:r>
          </w:p>
        </w:tc>
        <w:tc>
          <w:tcPr>
            <w:tcW w:type="dxa" w:w="2160"/>
          </w:tcPr>
          <w:p>
            <w:pPr>
              <w:jc w:val="right"/>
            </w:pPr>
            <w:r>
              <w:rPr>
                <w:rFonts w:ascii="Arial" w:hAnsi="Arial" w:eastAsia="Arial"/>
              </w:rPr>
              <w:t>&gt;115%</w:t>
            </w:r>
          </w:p>
        </w:tc>
        <w:tc>
          <w:tcPr>
            <w:tcW w:type="dxa" w:w="2160"/>
          </w:tcPr>
          <w:p>
            <w:pPr>
              <w:jc w:val="right"/>
            </w:pPr>
            <w:r>
              <w:rPr>
                <w:rFonts w:ascii="Arial" w:hAnsi="Arial" w:eastAsia="Arial"/>
              </w:rPr>
              <w:t>عيوب مخفية</w:t>
            </w:r>
          </w:p>
        </w:tc>
      </w:tr>
      <w:tr>
        <w:tc>
          <w:tcPr>
            <w:tcW w:type="dxa" w:w="2160"/>
          </w:tcPr>
          <w:p>
            <w:pPr>
              <w:jc w:val="right"/>
            </w:pPr>
            <w:r>
              <w:rPr>
                <w:rFonts w:ascii="Arial" w:hAnsi="Arial" w:eastAsia="Arial"/>
              </w:rPr>
              <w:t>رضا العملاء (NPS)</w:t>
            </w:r>
          </w:p>
        </w:tc>
        <w:tc>
          <w:tcPr>
            <w:tcW w:type="dxa" w:w="2160"/>
          </w:tcPr>
          <w:p>
            <w:pPr>
              <w:jc w:val="right"/>
            </w:pPr>
            <w:r>
              <w:rPr>
                <w:rFonts w:ascii="Arial" w:hAnsi="Arial" w:eastAsia="Arial"/>
              </w:rPr>
              <w:t>&gt;50</w:t>
            </w:r>
          </w:p>
        </w:tc>
        <w:tc>
          <w:tcPr>
            <w:tcW w:type="dxa" w:w="2160"/>
          </w:tcPr>
          <w:p>
            <w:pPr>
              <w:jc w:val="right"/>
            </w:pPr>
            <w:r>
              <w:rPr>
                <w:rFonts w:ascii="Arial" w:hAnsi="Arial" w:eastAsia="Arial"/>
              </w:rPr>
              <w:t>&lt;30</w:t>
            </w:r>
          </w:p>
        </w:tc>
        <w:tc>
          <w:tcPr>
            <w:tcW w:type="dxa" w:w="2160"/>
          </w:tcPr>
          <w:p>
            <w:pPr>
              <w:jc w:val="right"/>
            </w:pPr>
            <w:r>
              <w:rPr>
                <w:rFonts w:ascii="Arial" w:hAnsi="Arial" w:eastAsia="Arial"/>
              </w:rPr>
              <w:t>مشاكل جودة</w:t>
            </w:r>
          </w:p>
        </w:tc>
      </w:tr>
      <w:tr>
        <w:tc>
          <w:tcPr>
            <w:tcW w:type="dxa" w:w="2160"/>
          </w:tcPr>
          <w:p>
            <w:pPr>
              <w:jc w:val="right"/>
            </w:pPr>
            <w:r>
              <w:rPr>
                <w:rFonts w:ascii="Arial" w:hAnsi="Arial" w:eastAsia="Arial"/>
              </w:rPr>
              <w:t>مدة البيع</w:t>
            </w:r>
          </w:p>
        </w:tc>
        <w:tc>
          <w:tcPr>
            <w:tcW w:type="dxa" w:w="2160"/>
          </w:tcPr>
          <w:p>
            <w:pPr>
              <w:jc w:val="right"/>
            </w:pPr>
            <w:r>
              <w:rPr>
                <w:rFonts w:ascii="Arial" w:hAnsi="Arial" w:eastAsia="Arial"/>
              </w:rPr>
              <w:t>&lt;6 أشهر</w:t>
            </w:r>
          </w:p>
        </w:tc>
        <w:tc>
          <w:tcPr>
            <w:tcW w:type="dxa" w:w="2160"/>
          </w:tcPr>
          <w:p>
            <w:pPr>
              <w:jc w:val="right"/>
            </w:pPr>
            <w:r>
              <w:rPr>
                <w:rFonts w:ascii="Arial" w:hAnsi="Arial" w:eastAsia="Arial"/>
              </w:rPr>
              <w:t>&gt;9 أشهر</w:t>
            </w:r>
          </w:p>
        </w:tc>
        <w:tc>
          <w:tcPr>
            <w:tcW w:type="dxa" w:w="2160"/>
          </w:tcPr>
          <w:p>
            <w:pPr>
              <w:jc w:val="right"/>
            </w:pPr>
            <w:r>
              <w:rPr>
                <w:rFonts w:ascii="Arial" w:hAnsi="Arial" w:eastAsia="Arial"/>
              </w:rPr>
              <w:t>ركود السوق</w:t>
            </w:r>
          </w:p>
        </w:tc>
      </w:tr>
    </w:tbl>
    <w:p>
      <w:pPr>
        <w:pStyle w:val="Heading2"/>
        <w:jc w:val="right"/>
      </w:pPr>
      <w:r>
        <w:rPr>
          <w:rFonts w:ascii="Arial" w:hAnsi="Arial" w:eastAsia="Arial"/>
        </w:rPr>
        <w:t>6.3 نظام الجودة</w:t>
      </w:r>
    </w:p>
    <w:p>
      <w:pPr>
        <w:pStyle w:val="ListBullet"/>
        <w:jc w:val="right"/>
      </w:pPr>
      <w:r>
        <w:rPr>
          <w:rFonts w:ascii="Arial" w:hAnsi="Arial" w:eastAsia="Arial"/>
          <w:sz w:val="22"/>
        </w:rPr>
        <w:t>الالتزام الكامل بالكود السعودي للبناء.</w:t>
      </w:r>
    </w:p>
    <w:p>
      <w:pPr>
        <w:pStyle w:val="ListBullet"/>
        <w:jc w:val="right"/>
      </w:pPr>
      <w:r>
        <w:rPr>
          <w:rFonts w:ascii="Arial" w:hAnsi="Arial" w:eastAsia="Arial"/>
          <w:sz w:val="22"/>
        </w:rPr>
        <w:t>فحص جودة في كل مرحلة من مراحل التشطيب.</w:t>
      </w:r>
    </w:p>
    <w:p>
      <w:pPr>
        <w:pStyle w:val="ListBullet"/>
        <w:jc w:val="right"/>
      </w:pPr>
      <w:r>
        <w:rPr>
          <w:rFonts w:ascii="Arial" w:hAnsi="Arial" w:eastAsia="Arial"/>
          <w:sz w:val="22"/>
        </w:rPr>
        <w:t>توثيق جميع المواد المستخدمة وشهاداتها.</w:t>
      </w:r>
    </w:p>
    <w:p>
      <w:pPr>
        <w:pStyle w:val="ListBullet"/>
        <w:jc w:val="right"/>
      </w:pPr>
      <w:r>
        <w:rPr>
          <w:rFonts w:ascii="Arial" w:hAnsi="Arial" w:eastAsia="Arial"/>
          <w:sz w:val="22"/>
        </w:rPr>
        <w:t>تسليم المشروع بملف كامل للمالك والمشتري.</w:t>
      </w:r>
    </w:p>
    <w:p>
      <w:r>
        <w:br w:type="page"/>
      </w:r>
    </w:p>
    <w:p>
      <w:pPr>
        <w:pStyle w:val="Heading1"/>
        <w:jc w:val="right"/>
      </w:pPr>
      <w:r>
        <w:rPr>
          <w:rFonts w:ascii="Arial" w:hAnsi="Arial" w:eastAsia="Arial"/>
          <w:color w:val="003366"/>
        </w:rPr>
        <w:t>7. الفريق الإداري والتنظيمي</w:t>
      </w:r>
    </w:p>
    <w:p>
      <w:pPr>
        <w:pStyle w:val="Heading2"/>
        <w:jc w:val="right"/>
      </w:pPr>
      <w:r>
        <w:rPr>
          <w:rFonts w:ascii="Arial" w:hAnsi="Arial" w:eastAsia="Arial"/>
        </w:rPr>
        <w:t>7.1 الهيكل التنظيمي</w:t>
      </w:r>
    </w:p>
    <w:p>
      <w:pPr>
        <w:jc w:val="right"/>
      </w:pPr>
      <w:r>
        <w:rPr>
          <w:rFonts w:ascii="Arial" w:hAnsi="Arial" w:eastAsia="Arial"/>
          <w:b w:val="0"/>
          <w:i w:val="0"/>
          <w:color w:val="000000"/>
          <w:sz w:val="24"/>
        </w:rPr>
        <w:t>الهيكل الإداري مصمم ليكون مرناً وفعالاً، مع بدء تشغيلي يعتمد على 15 موظفاً في السنوات الأولى.</w:t>
      </w:r>
    </w:p>
    <w:p>
      <w:pPr>
        <w:pStyle w:val="Heading2"/>
        <w:jc w:val="right"/>
      </w:pPr>
      <w:r>
        <w:rPr>
          <w:rFonts w:ascii="Arial" w:hAnsi="Arial" w:eastAsia="Arial"/>
        </w:rPr>
        <w:t>7.2 الأدوار الرئيسية</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الدور</w:t>
            </w:r>
          </w:p>
        </w:tc>
        <w:tc>
          <w:tcPr>
            <w:tcW w:type="dxa" w:w="4320"/>
          </w:tcPr>
          <w:p>
            <w:pPr>
              <w:jc w:val="right"/>
            </w:pPr>
            <w:r>
              <w:rPr>
                <w:rFonts w:ascii="Arial" w:hAnsi="Arial" w:eastAsia="Arial"/>
                <w:b/>
              </w:rPr>
              <w:t>المسؤوليات</w:t>
            </w:r>
          </w:p>
        </w:tc>
      </w:tr>
      <w:tr>
        <w:tc>
          <w:tcPr>
            <w:tcW w:type="dxa" w:w="4320"/>
          </w:tcPr>
          <w:p>
            <w:pPr>
              <w:jc w:val="right"/>
            </w:pPr>
            <w:r>
              <w:rPr>
                <w:rFonts w:ascii="Arial" w:hAnsi="Arial" w:eastAsia="Arial"/>
              </w:rPr>
              <w:t>الدور</w:t>
            </w:r>
          </w:p>
        </w:tc>
        <w:tc>
          <w:tcPr>
            <w:tcW w:type="dxa" w:w="4320"/>
          </w:tcPr>
          <w:p>
            <w:pPr>
              <w:jc w:val="right"/>
            </w:pPr>
            <w:r>
              <w:rPr>
                <w:rFonts w:ascii="Arial" w:hAnsi="Arial" w:eastAsia="Arial"/>
              </w:rPr>
              <w:t>المسؤوليات</w:t>
            </w:r>
          </w:p>
        </w:tc>
      </w:tr>
      <w:tr>
        <w:tc>
          <w:tcPr>
            <w:tcW w:type="dxa" w:w="4320"/>
          </w:tcPr>
          <w:p>
            <w:pPr>
              <w:jc w:val="right"/>
            </w:pPr>
            <w:r>
              <w:rPr>
                <w:rFonts w:ascii="Arial" w:hAnsi="Arial" w:eastAsia="Arial"/>
              </w:rPr>
              <w:t>الرئيس التنفيذي</w:t>
            </w:r>
          </w:p>
        </w:tc>
        <w:tc>
          <w:tcPr>
            <w:tcW w:type="dxa" w:w="4320"/>
          </w:tcPr>
          <w:p>
            <w:pPr>
              <w:jc w:val="right"/>
            </w:pPr>
            <w:r>
              <w:rPr>
                <w:rFonts w:ascii="Arial" w:hAnsi="Arial" w:eastAsia="Arial"/>
              </w:rPr>
              <w:t>الاستراتيجية العامة، علاقات المستثمرين، اتخاذ القرارات الكبرى</w:t>
            </w:r>
          </w:p>
        </w:tc>
      </w:tr>
      <w:tr>
        <w:tc>
          <w:tcPr>
            <w:tcW w:type="dxa" w:w="4320"/>
          </w:tcPr>
          <w:p>
            <w:pPr>
              <w:jc w:val="right"/>
            </w:pPr>
            <w:r>
              <w:rPr>
                <w:rFonts w:ascii="Arial" w:hAnsi="Arial" w:eastAsia="Arial"/>
              </w:rPr>
              <w:t>المدير التشغيلي</w:t>
            </w:r>
          </w:p>
        </w:tc>
        <w:tc>
          <w:tcPr>
            <w:tcW w:type="dxa" w:w="4320"/>
          </w:tcPr>
          <w:p>
            <w:pPr>
              <w:jc w:val="right"/>
            </w:pPr>
            <w:r>
              <w:rPr>
                <w:rFonts w:ascii="Arial" w:hAnsi="Arial" w:eastAsia="Arial"/>
              </w:rPr>
              <w:t>إدارة المشاريع، التنسيق مع المقاولين، ضمان الجودة</w:t>
            </w:r>
          </w:p>
        </w:tc>
      </w:tr>
      <w:tr>
        <w:tc>
          <w:tcPr>
            <w:tcW w:type="dxa" w:w="4320"/>
          </w:tcPr>
          <w:p>
            <w:pPr>
              <w:jc w:val="right"/>
            </w:pPr>
            <w:r>
              <w:rPr>
                <w:rFonts w:ascii="Arial" w:hAnsi="Arial" w:eastAsia="Arial"/>
              </w:rPr>
              <w:t>المدير المالي</w:t>
            </w:r>
          </w:p>
        </w:tc>
        <w:tc>
          <w:tcPr>
            <w:tcW w:type="dxa" w:w="4320"/>
          </w:tcPr>
          <w:p>
            <w:pPr>
              <w:jc w:val="right"/>
            </w:pPr>
            <w:r>
              <w:rPr>
                <w:rFonts w:ascii="Arial" w:hAnsi="Arial" w:eastAsia="Arial"/>
              </w:rPr>
              <w:t>إدارة التدفقات النقدية، التقارير المالية، التخطيط المالي</w:t>
            </w:r>
          </w:p>
        </w:tc>
      </w:tr>
      <w:tr>
        <w:tc>
          <w:tcPr>
            <w:tcW w:type="dxa" w:w="4320"/>
          </w:tcPr>
          <w:p>
            <w:pPr>
              <w:jc w:val="right"/>
            </w:pPr>
            <w:r>
              <w:rPr>
                <w:rFonts w:ascii="Arial" w:hAnsi="Arial" w:eastAsia="Arial"/>
              </w:rPr>
              <w:t>المدير التجاري</w:t>
            </w:r>
          </w:p>
        </w:tc>
        <w:tc>
          <w:tcPr>
            <w:tcW w:type="dxa" w:w="4320"/>
          </w:tcPr>
          <w:p>
            <w:pPr>
              <w:jc w:val="right"/>
            </w:pPr>
            <w:r>
              <w:rPr>
                <w:rFonts w:ascii="Arial" w:hAnsi="Arial" w:eastAsia="Arial"/>
              </w:rPr>
              <w:t>التسويق والمبيعات، علاقات المالكين، تطوير الأعمال</w:t>
            </w:r>
          </w:p>
        </w:tc>
      </w:tr>
      <w:tr>
        <w:tc>
          <w:tcPr>
            <w:tcW w:type="dxa" w:w="4320"/>
          </w:tcPr>
          <w:p>
            <w:pPr>
              <w:jc w:val="right"/>
            </w:pPr>
            <w:r>
              <w:rPr>
                <w:rFonts w:ascii="Arial" w:hAnsi="Arial" w:eastAsia="Arial"/>
              </w:rPr>
              <w:t>المدير القانوني</w:t>
            </w:r>
          </w:p>
        </w:tc>
        <w:tc>
          <w:tcPr>
            <w:tcW w:type="dxa" w:w="4320"/>
          </w:tcPr>
          <w:p>
            <w:pPr>
              <w:jc w:val="right"/>
            </w:pPr>
            <w:r>
              <w:rPr>
                <w:rFonts w:ascii="Arial" w:hAnsi="Arial" w:eastAsia="Arial"/>
              </w:rPr>
              <w:t>العقود، الامتثال، حل النزاعات</w:t>
            </w:r>
          </w:p>
        </w:tc>
      </w:tr>
      <w:tr>
        <w:tc>
          <w:tcPr>
            <w:tcW w:type="dxa" w:w="4320"/>
          </w:tcPr>
          <w:p>
            <w:pPr>
              <w:jc w:val="right"/>
            </w:pPr>
            <w:r>
              <w:rPr>
                <w:rFonts w:ascii="Arial" w:hAnsi="Arial" w:eastAsia="Arial"/>
              </w:rPr>
              <w:t>مدير الموارد البشرية والإدارة</w:t>
            </w:r>
          </w:p>
        </w:tc>
        <w:tc>
          <w:tcPr>
            <w:tcW w:type="dxa" w:w="4320"/>
          </w:tcPr>
          <w:p>
            <w:pPr>
              <w:jc w:val="right"/>
            </w:pPr>
            <w:r>
              <w:rPr>
                <w:rFonts w:ascii="Arial" w:hAnsi="Arial" w:eastAsia="Arial"/>
              </w:rPr>
              <w:t>الموظفين، الإجراءات الإدارية</w:t>
            </w:r>
          </w:p>
        </w:tc>
      </w:tr>
    </w:tbl>
    <w:p>
      <w:pPr>
        <w:pStyle w:val="Heading2"/>
        <w:jc w:val="right"/>
      </w:pPr>
      <w:r>
        <w:rPr>
          <w:rFonts w:ascii="Arial" w:hAnsi="Arial" w:eastAsia="Arial"/>
        </w:rPr>
        <w:t>7.3 خطة التوظيف</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pPr>
            <w:r>
              <w:rPr>
                <w:rFonts w:ascii="Arial" w:hAnsi="Arial" w:eastAsia="Arial"/>
                <w:b/>
              </w:rPr>
              <w:t>السنة</w:t>
            </w:r>
          </w:p>
        </w:tc>
        <w:tc>
          <w:tcPr>
            <w:tcW w:type="dxa" w:w="2880"/>
          </w:tcPr>
          <w:p>
            <w:pPr>
              <w:jc w:val="right"/>
            </w:pPr>
            <w:r>
              <w:rPr>
                <w:rFonts w:ascii="Arial" w:hAnsi="Arial" w:eastAsia="Arial"/>
                <w:b/>
              </w:rPr>
              <w:t>عدد الموظفين</w:t>
            </w:r>
          </w:p>
        </w:tc>
        <w:tc>
          <w:tcPr>
            <w:tcW w:type="dxa" w:w="2880"/>
          </w:tcPr>
          <w:p>
            <w:pPr>
              <w:jc w:val="right"/>
            </w:pPr>
            <w:r>
              <w:rPr>
                <w:rFonts w:ascii="Arial" w:hAnsi="Arial" w:eastAsia="Arial"/>
                <w:b/>
              </w:rPr>
              <w:t>الملاحظات</w:t>
            </w:r>
          </w:p>
        </w:tc>
      </w:tr>
      <w:tr>
        <w:tc>
          <w:tcPr>
            <w:tcW w:type="dxa" w:w="2880"/>
          </w:tcPr>
          <w:p>
            <w:pPr>
              <w:jc w:val="right"/>
            </w:pPr>
            <w:r>
              <w:rPr>
                <w:rFonts w:ascii="Arial" w:hAnsi="Arial" w:eastAsia="Arial"/>
              </w:rPr>
              <w:t>السنة</w:t>
            </w:r>
          </w:p>
        </w:tc>
        <w:tc>
          <w:tcPr>
            <w:tcW w:type="dxa" w:w="2880"/>
          </w:tcPr>
          <w:p>
            <w:pPr>
              <w:jc w:val="right"/>
            </w:pPr>
            <w:r>
              <w:rPr>
                <w:rFonts w:ascii="Arial" w:hAnsi="Arial" w:eastAsia="Arial"/>
              </w:rPr>
              <w:t>عدد الموظفين</w:t>
            </w:r>
          </w:p>
        </w:tc>
        <w:tc>
          <w:tcPr>
            <w:tcW w:type="dxa" w:w="2880"/>
          </w:tcPr>
          <w:p>
            <w:pPr>
              <w:jc w:val="right"/>
            </w:pPr>
            <w:r>
              <w:rPr>
                <w:rFonts w:ascii="Arial" w:hAnsi="Arial" w:eastAsia="Arial"/>
              </w:rPr>
              <w:t>الملاحظات</w:t>
            </w:r>
          </w:p>
        </w:tc>
      </w:tr>
      <w:tr>
        <w:tc>
          <w:tcPr>
            <w:tcW w:type="dxa" w:w="2880"/>
          </w:tcPr>
          <w:p>
            <w:pPr>
              <w:jc w:val="right"/>
            </w:pPr>
            <w:r>
              <w:rPr>
                <w:rFonts w:ascii="Arial" w:hAnsi="Arial" w:eastAsia="Arial"/>
              </w:rPr>
              <w:t>1</w:t>
            </w:r>
          </w:p>
        </w:tc>
        <w:tc>
          <w:tcPr>
            <w:tcW w:type="dxa" w:w="2880"/>
          </w:tcPr>
          <w:p>
            <w:pPr>
              <w:jc w:val="right"/>
            </w:pPr>
            <w:r>
              <w:rPr>
                <w:rFonts w:ascii="Arial" w:hAnsi="Arial" w:eastAsia="Arial"/>
              </w:rPr>
              <w:t>10-15</w:t>
            </w:r>
          </w:p>
        </w:tc>
        <w:tc>
          <w:tcPr>
            <w:tcW w:type="dxa" w:w="2880"/>
          </w:tcPr>
          <w:p>
            <w:pPr>
              <w:jc w:val="right"/>
            </w:pPr>
            <w:r>
              <w:rPr>
                <w:rFonts w:ascii="Arial" w:hAnsi="Arial" w:eastAsia="Arial"/>
              </w:rPr>
              <w:t>فريق أساسي لتشغيل المرحلة الأولى</w:t>
            </w:r>
          </w:p>
        </w:tc>
      </w:tr>
      <w:tr>
        <w:tc>
          <w:tcPr>
            <w:tcW w:type="dxa" w:w="2880"/>
          </w:tcPr>
          <w:p>
            <w:pPr>
              <w:jc w:val="right"/>
            </w:pPr>
            <w:r>
              <w:rPr>
                <w:rFonts w:ascii="Arial" w:hAnsi="Arial" w:eastAsia="Arial"/>
              </w:rPr>
              <w:t>2</w:t>
            </w:r>
          </w:p>
        </w:tc>
        <w:tc>
          <w:tcPr>
            <w:tcW w:type="dxa" w:w="2880"/>
          </w:tcPr>
          <w:p>
            <w:pPr>
              <w:jc w:val="right"/>
            </w:pPr>
            <w:r>
              <w:rPr>
                <w:rFonts w:ascii="Arial" w:hAnsi="Arial" w:eastAsia="Arial"/>
              </w:rPr>
              <w:t>15</w:t>
            </w:r>
          </w:p>
        </w:tc>
        <w:tc>
          <w:tcPr>
            <w:tcW w:type="dxa" w:w="2880"/>
          </w:tcPr>
          <w:p>
            <w:pPr>
              <w:jc w:val="right"/>
            </w:pPr>
            <w:r>
              <w:rPr>
                <w:rFonts w:ascii="Arial" w:hAnsi="Arial" w:eastAsia="Arial"/>
              </w:rPr>
              <w:t>تثبيت الهيكل التشغيلي</w:t>
            </w:r>
          </w:p>
        </w:tc>
      </w:tr>
      <w:tr>
        <w:tc>
          <w:tcPr>
            <w:tcW w:type="dxa" w:w="2880"/>
          </w:tcPr>
          <w:p>
            <w:pPr>
              <w:jc w:val="right"/>
            </w:pPr>
            <w:r>
              <w:rPr>
                <w:rFonts w:ascii="Arial" w:hAnsi="Arial" w:eastAsia="Arial"/>
              </w:rPr>
              <w:t>3</w:t>
            </w:r>
          </w:p>
        </w:tc>
        <w:tc>
          <w:tcPr>
            <w:tcW w:type="dxa" w:w="2880"/>
          </w:tcPr>
          <w:p>
            <w:pPr>
              <w:jc w:val="right"/>
            </w:pPr>
            <w:r>
              <w:rPr>
                <w:rFonts w:ascii="Arial" w:hAnsi="Arial" w:eastAsia="Arial"/>
              </w:rPr>
              <w:t>18-20</w:t>
            </w:r>
          </w:p>
        </w:tc>
        <w:tc>
          <w:tcPr>
            <w:tcW w:type="dxa" w:w="2880"/>
          </w:tcPr>
          <w:p>
            <w:pPr>
              <w:jc w:val="right"/>
            </w:pPr>
            <w:r>
              <w:rPr>
                <w:rFonts w:ascii="Arial" w:hAnsi="Arial" w:eastAsia="Arial"/>
              </w:rPr>
              <w:t>التوسع في عدد المشاريع</w:t>
            </w:r>
          </w:p>
        </w:tc>
      </w:tr>
      <w:tr>
        <w:tc>
          <w:tcPr>
            <w:tcW w:type="dxa" w:w="2880"/>
          </w:tcPr>
          <w:p>
            <w:pPr>
              <w:jc w:val="right"/>
            </w:pPr>
            <w:r>
              <w:rPr>
                <w:rFonts w:ascii="Arial" w:hAnsi="Arial" w:eastAsia="Arial"/>
              </w:rPr>
              <w:t>5</w:t>
            </w:r>
          </w:p>
        </w:tc>
        <w:tc>
          <w:tcPr>
            <w:tcW w:type="dxa" w:w="2880"/>
          </w:tcPr>
          <w:p>
            <w:pPr>
              <w:jc w:val="right"/>
            </w:pPr>
            <w:r>
              <w:rPr>
                <w:rFonts w:ascii="Arial" w:hAnsi="Arial" w:eastAsia="Arial"/>
              </w:rPr>
              <w:t>25-30</w:t>
            </w:r>
          </w:p>
        </w:tc>
        <w:tc>
          <w:tcPr>
            <w:tcW w:type="dxa" w:w="2880"/>
          </w:tcPr>
          <w:p>
            <w:pPr>
              <w:jc w:val="right"/>
            </w:pPr>
            <w:r>
              <w:rPr>
                <w:rFonts w:ascii="Arial" w:hAnsi="Arial" w:eastAsia="Arial"/>
              </w:rPr>
              <w:t>دعم محفظة 10 مشاريع سنوياً</w:t>
            </w:r>
          </w:p>
        </w:tc>
      </w:tr>
    </w:tbl>
    <w:p>
      <w:r>
        <w:br w:type="page"/>
      </w:r>
    </w:p>
    <w:p>
      <w:pPr>
        <w:pStyle w:val="Heading1"/>
        <w:jc w:val="right"/>
      </w:pPr>
      <w:r>
        <w:rPr>
          <w:rFonts w:ascii="Arial" w:hAnsi="Arial" w:eastAsia="Arial"/>
          <w:color w:val="003366"/>
        </w:rPr>
        <w:t>8. الخطة المالية</w:t>
      </w:r>
    </w:p>
    <w:p>
      <w:pPr>
        <w:pStyle w:val="Heading2"/>
        <w:jc w:val="right"/>
      </w:pPr>
      <w:r>
        <w:rPr>
          <w:rFonts w:ascii="Arial" w:hAnsi="Arial" w:eastAsia="Arial"/>
        </w:rPr>
        <w:t>8.1 افتراضات النموذج المالي</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الافتراض</w:t>
            </w:r>
          </w:p>
        </w:tc>
        <w:tc>
          <w:tcPr>
            <w:tcW w:type="dxa" w:w="4320"/>
          </w:tcPr>
          <w:p>
            <w:pPr>
              <w:jc w:val="right"/>
            </w:pPr>
            <w:r>
              <w:rPr>
                <w:rFonts w:ascii="Arial" w:hAnsi="Arial" w:eastAsia="Arial"/>
                <w:b/>
              </w:rPr>
              <w:t>القيمة</w:t>
            </w:r>
          </w:p>
        </w:tc>
      </w:tr>
      <w:tr>
        <w:tc>
          <w:tcPr>
            <w:tcW w:type="dxa" w:w="4320"/>
          </w:tcPr>
          <w:p>
            <w:pPr>
              <w:jc w:val="right"/>
            </w:pPr>
            <w:r>
              <w:rPr>
                <w:rFonts w:ascii="Arial" w:hAnsi="Arial" w:eastAsia="Arial"/>
              </w:rPr>
              <w:t>الافتراض</w:t>
            </w:r>
          </w:p>
        </w:tc>
        <w:tc>
          <w:tcPr>
            <w:tcW w:type="dxa" w:w="4320"/>
          </w:tcPr>
          <w:p>
            <w:pPr>
              <w:jc w:val="right"/>
            </w:pPr>
            <w:r>
              <w:rPr>
                <w:rFonts w:ascii="Arial" w:hAnsi="Arial" w:eastAsia="Arial"/>
              </w:rPr>
              <w:t>القيمة</w:t>
            </w:r>
          </w:p>
        </w:tc>
      </w:tr>
      <w:tr>
        <w:tc>
          <w:tcPr>
            <w:tcW w:type="dxa" w:w="4320"/>
          </w:tcPr>
          <w:p>
            <w:pPr>
              <w:jc w:val="right"/>
            </w:pPr>
            <w:r>
              <w:rPr>
                <w:rFonts w:ascii="Arial" w:hAnsi="Arial" w:eastAsia="Arial"/>
              </w:rPr>
              <w:t>متوسط مساحة المبنى</w:t>
            </w:r>
          </w:p>
        </w:tc>
        <w:tc>
          <w:tcPr>
            <w:tcW w:type="dxa" w:w="4320"/>
          </w:tcPr>
          <w:p>
            <w:pPr>
              <w:jc w:val="right"/>
            </w:pPr>
            <w:r>
              <w:rPr>
                <w:rFonts w:ascii="Arial" w:hAnsi="Arial" w:eastAsia="Arial"/>
              </w:rPr>
              <w:t>1,500 م²</w:t>
            </w:r>
          </w:p>
        </w:tc>
      </w:tr>
      <w:tr>
        <w:tc>
          <w:tcPr>
            <w:tcW w:type="dxa" w:w="4320"/>
          </w:tcPr>
          <w:p>
            <w:pPr>
              <w:jc w:val="right"/>
            </w:pPr>
            <w:r>
              <w:rPr>
                <w:rFonts w:ascii="Arial" w:hAnsi="Arial" w:eastAsia="Arial"/>
              </w:rPr>
              <w:t>عدد الوحدات</w:t>
            </w:r>
          </w:p>
        </w:tc>
        <w:tc>
          <w:tcPr>
            <w:tcW w:type="dxa" w:w="4320"/>
          </w:tcPr>
          <w:p>
            <w:pPr>
              <w:jc w:val="right"/>
            </w:pPr>
            <w:r>
              <w:rPr>
                <w:rFonts w:ascii="Arial" w:hAnsi="Arial" w:eastAsia="Arial"/>
              </w:rPr>
              <w:t>6-8 وحدات</w:t>
            </w:r>
          </w:p>
        </w:tc>
      </w:tr>
      <w:tr>
        <w:tc>
          <w:tcPr>
            <w:tcW w:type="dxa" w:w="4320"/>
          </w:tcPr>
          <w:p>
            <w:pPr>
              <w:jc w:val="right"/>
            </w:pPr>
            <w:r>
              <w:rPr>
                <w:rFonts w:ascii="Arial" w:hAnsi="Arial" w:eastAsia="Arial"/>
              </w:rPr>
              <w:t>تكلفة التشطيب</w:t>
            </w:r>
          </w:p>
        </w:tc>
        <w:tc>
          <w:tcPr>
            <w:tcW w:type="dxa" w:w="4320"/>
          </w:tcPr>
          <w:p>
            <w:pPr>
              <w:jc w:val="right"/>
            </w:pPr>
            <w:r>
              <w:rPr>
                <w:rFonts w:ascii="Arial" w:hAnsi="Arial" w:eastAsia="Arial"/>
              </w:rPr>
              <w:t>1,200-1,800 ريال/م²</w:t>
            </w:r>
          </w:p>
        </w:tc>
      </w:tr>
      <w:tr>
        <w:tc>
          <w:tcPr>
            <w:tcW w:type="dxa" w:w="4320"/>
          </w:tcPr>
          <w:p>
            <w:pPr>
              <w:jc w:val="right"/>
            </w:pPr>
            <w:r>
              <w:rPr>
                <w:rFonts w:ascii="Arial" w:hAnsi="Arial" w:eastAsia="Arial"/>
              </w:rPr>
              <w:t>سعر البيع</w:t>
            </w:r>
          </w:p>
        </w:tc>
        <w:tc>
          <w:tcPr>
            <w:tcW w:type="dxa" w:w="4320"/>
          </w:tcPr>
          <w:p>
            <w:pPr>
              <w:jc w:val="right"/>
            </w:pPr>
            <w:r>
              <w:rPr>
                <w:rFonts w:ascii="Arial" w:hAnsi="Arial" w:eastAsia="Arial"/>
              </w:rPr>
              <w:t>2,500-3,500 ريال/م²</w:t>
            </w:r>
          </w:p>
        </w:tc>
      </w:tr>
      <w:tr>
        <w:tc>
          <w:tcPr>
            <w:tcW w:type="dxa" w:w="4320"/>
          </w:tcPr>
          <w:p>
            <w:pPr>
              <w:jc w:val="right"/>
            </w:pPr>
            <w:r>
              <w:rPr>
                <w:rFonts w:ascii="Arial" w:hAnsi="Arial" w:eastAsia="Arial"/>
              </w:rPr>
              <w:t>نسبة المحاصة للشركة</w:t>
            </w:r>
          </w:p>
        </w:tc>
        <w:tc>
          <w:tcPr>
            <w:tcW w:type="dxa" w:w="4320"/>
          </w:tcPr>
          <w:p>
            <w:pPr>
              <w:jc w:val="right"/>
            </w:pPr>
            <w:r>
              <w:rPr>
                <w:rFonts w:ascii="Arial" w:hAnsi="Arial" w:eastAsia="Arial"/>
              </w:rPr>
              <w:t>50%</w:t>
            </w:r>
          </w:p>
        </w:tc>
      </w:tr>
    </w:tbl>
    <w:p>
      <w:pPr>
        <w:pStyle w:val="Heading2"/>
        <w:jc w:val="right"/>
      </w:pPr>
      <w:r>
        <w:rPr>
          <w:rFonts w:ascii="Arial" w:hAnsi="Arial" w:eastAsia="Arial"/>
        </w:rPr>
        <w:t>8.2 استخدامات رأس المال</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pPr>
            <w:r>
              <w:rPr>
                <w:rFonts w:ascii="Arial" w:hAnsi="Arial" w:eastAsia="Arial"/>
                <w:b/>
              </w:rPr>
              <w:t>الاستخدام</w:t>
            </w:r>
          </w:p>
        </w:tc>
        <w:tc>
          <w:tcPr>
            <w:tcW w:type="dxa" w:w="2880"/>
          </w:tcPr>
          <w:p>
            <w:pPr>
              <w:jc w:val="right"/>
            </w:pPr>
            <w:r>
              <w:rPr>
                <w:rFonts w:ascii="Arial" w:hAnsi="Arial" w:eastAsia="Arial"/>
                <w:b/>
              </w:rPr>
              <w:t>المبلغ</w:t>
            </w:r>
          </w:p>
        </w:tc>
        <w:tc>
          <w:tcPr>
            <w:tcW w:type="dxa" w:w="2880"/>
          </w:tcPr>
          <w:p>
            <w:pPr>
              <w:jc w:val="right"/>
            </w:pPr>
            <w:r>
              <w:rPr>
                <w:rFonts w:ascii="Arial" w:hAnsi="Arial" w:eastAsia="Arial"/>
                <w:b/>
              </w:rPr>
              <w:t>النسبة</w:t>
            </w:r>
          </w:p>
        </w:tc>
      </w:tr>
      <w:tr>
        <w:tc>
          <w:tcPr>
            <w:tcW w:type="dxa" w:w="2880"/>
          </w:tcPr>
          <w:p>
            <w:pPr>
              <w:jc w:val="right"/>
            </w:pPr>
            <w:r>
              <w:rPr>
                <w:rFonts w:ascii="Arial" w:hAnsi="Arial" w:eastAsia="Arial"/>
              </w:rPr>
              <w:t>الاستخدام</w:t>
            </w:r>
          </w:p>
        </w:tc>
        <w:tc>
          <w:tcPr>
            <w:tcW w:type="dxa" w:w="2880"/>
          </w:tcPr>
          <w:p>
            <w:pPr>
              <w:jc w:val="right"/>
            </w:pPr>
            <w:r>
              <w:rPr>
                <w:rFonts w:ascii="Arial" w:hAnsi="Arial" w:eastAsia="Arial"/>
              </w:rPr>
              <w:t>المبلغ</w:t>
            </w:r>
          </w:p>
        </w:tc>
        <w:tc>
          <w:tcPr>
            <w:tcW w:type="dxa" w:w="2880"/>
          </w:tcPr>
          <w:p>
            <w:pPr>
              <w:jc w:val="right"/>
            </w:pPr>
            <w:r>
              <w:rPr>
                <w:rFonts w:ascii="Arial" w:hAnsi="Arial" w:eastAsia="Arial"/>
              </w:rPr>
              <w:t>النسبة</w:t>
            </w:r>
          </w:p>
        </w:tc>
      </w:tr>
      <w:tr>
        <w:tc>
          <w:tcPr>
            <w:tcW w:type="dxa" w:w="2880"/>
          </w:tcPr>
          <w:p>
            <w:pPr>
              <w:jc w:val="right"/>
            </w:pPr>
            <w:r>
              <w:rPr>
                <w:rFonts w:ascii="Arial" w:hAnsi="Arial" w:eastAsia="Arial"/>
              </w:rPr>
              <w:t>استثمارات في مشاريع (شراء + تشطيب)</w:t>
            </w:r>
          </w:p>
        </w:tc>
        <w:tc>
          <w:tcPr>
            <w:tcW w:type="dxa" w:w="2880"/>
          </w:tcPr>
          <w:p>
            <w:pPr>
              <w:jc w:val="right"/>
            </w:pPr>
            <w:r>
              <w:rPr>
                <w:rFonts w:ascii="Arial" w:hAnsi="Arial" w:eastAsia="Arial"/>
              </w:rPr>
              <w:t>150 مليون</w:t>
            </w:r>
          </w:p>
        </w:tc>
        <w:tc>
          <w:tcPr>
            <w:tcW w:type="dxa" w:w="2880"/>
          </w:tcPr>
          <w:p>
            <w:pPr>
              <w:jc w:val="right"/>
            </w:pPr>
            <w:r>
              <w:rPr>
                <w:rFonts w:ascii="Arial" w:hAnsi="Arial" w:eastAsia="Arial"/>
              </w:rPr>
              <w:t>66%</w:t>
            </w:r>
          </w:p>
        </w:tc>
      </w:tr>
      <w:tr>
        <w:tc>
          <w:tcPr>
            <w:tcW w:type="dxa" w:w="2880"/>
          </w:tcPr>
          <w:p>
            <w:pPr>
              <w:jc w:val="right"/>
            </w:pPr>
            <w:r>
              <w:rPr>
                <w:rFonts w:ascii="Arial" w:hAnsi="Arial" w:eastAsia="Arial"/>
              </w:rPr>
              <w:t>رأسمال عمل تشغيلي</w:t>
            </w:r>
          </w:p>
        </w:tc>
        <w:tc>
          <w:tcPr>
            <w:tcW w:type="dxa" w:w="2880"/>
          </w:tcPr>
          <w:p>
            <w:pPr>
              <w:jc w:val="right"/>
            </w:pPr>
            <w:r>
              <w:rPr>
                <w:rFonts w:ascii="Arial" w:hAnsi="Arial" w:eastAsia="Arial"/>
              </w:rPr>
              <w:t>40 مليون</w:t>
            </w:r>
          </w:p>
        </w:tc>
        <w:tc>
          <w:tcPr>
            <w:tcW w:type="dxa" w:w="2880"/>
          </w:tcPr>
          <w:p>
            <w:pPr>
              <w:jc w:val="right"/>
            </w:pPr>
            <w:r>
              <w:rPr>
                <w:rFonts w:ascii="Arial" w:hAnsi="Arial" w:eastAsia="Arial"/>
              </w:rPr>
              <w:t>18%</w:t>
            </w:r>
          </w:p>
        </w:tc>
      </w:tr>
      <w:tr>
        <w:tc>
          <w:tcPr>
            <w:tcW w:type="dxa" w:w="2880"/>
          </w:tcPr>
          <w:p>
            <w:pPr>
              <w:jc w:val="right"/>
            </w:pPr>
            <w:r>
              <w:rPr>
                <w:rFonts w:ascii="Arial" w:hAnsi="Arial" w:eastAsia="Arial"/>
              </w:rPr>
              <w:t>تكنولوجيا وأنظمة</w:t>
            </w:r>
          </w:p>
        </w:tc>
        <w:tc>
          <w:tcPr>
            <w:tcW w:type="dxa" w:w="2880"/>
          </w:tcPr>
          <w:p>
            <w:pPr>
              <w:jc w:val="right"/>
            </w:pPr>
            <w:r>
              <w:rPr>
                <w:rFonts w:ascii="Arial" w:hAnsi="Arial" w:eastAsia="Arial"/>
              </w:rPr>
              <w:t>10 مليون</w:t>
            </w:r>
          </w:p>
        </w:tc>
        <w:tc>
          <w:tcPr>
            <w:tcW w:type="dxa" w:w="2880"/>
          </w:tcPr>
          <w:p>
            <w:pPr>
              <w:jc w:val="right"/>
            </w:pPr>
            <w:r>
              <w:rPr>
                <w:rFonts w:ascii="Arial" w:hAnsi="Arial" w:eastAsia="Arial"/>
              </w:rPr>
              <w:t>4%</w:t>
            </w:r>
          </w:p>
        </w:tc>
      </w:tr>
      <w:tr>
        <w:tc>
          <w:tcPr>
            <w:tcW w:type="dxa" w:w="2880"/>
          </w:tcPr>
          <w:p>
            <w:pPr>
              <w:jc w:val="right"/>
            </w:pPr>
            <w:r>
              <w:rPr>
                <w:rFonts w:ascii="Arial" w:hAnsi="Arial" w:eastAsia="Arial"/>
              </w:rPr>
              <w:t>تأسيس + تسويق + علاقات</w:t>
            </w:r>
          </w:p>
        </w:tc>
        <w:tc>
          <w:tcPr>
            <w:tcW w:type="dxa" w:w="2880"/>
          </w:tcPr>
          <w:p>
            <w:pPr>
              <w:jc w:val="right"/>
            </w:pPr>
            <w:r>
              <w:rPr>
                <w:rFonts w:ascii="Arial" w:hAnsi="Arial" w:eastAsia="Arial"/>
              </w:rPr>
              <w:t>15 مليون</w:t>
            </w:r>
          </w:p>
        </w:tc>
        <w:tc>
          <w:tcPr>
            <w:tcW w:type="dxa" w:w="2880"/>
          </w:tcPr>
          <w:p>
            <w:pPr>
              <w:jc w:val="right"/>
            </w:pPr>
            <w:r>
              <w:rPr>
                <w:rFonts w:ascii="Arial" w:hAnsi="Arial" w:eastAsia="Arial"/>
              </w:rPr>
              <w:t>7%</w:t>
            </w:r>
          </w:p>
        </w:tc>
      </w:tr>
      <w:tr>
        <w:tc>
          <w:tcPr>
            <w:tcW w:type="dxa" w:w="2880"/>
          </w:tcPr>
          <w:p>
            <w:pPr>
              <w:jc w:val="right"/>
            </w:pPr>
            <w:r>
              <w:rPr>
                <w:rFonts w:ascii="Arial" w:hAnsi="Arial" w:eastAsia="Arial"/>
              </w:rPr>
              <w:t>احتياطي سيولة طوارئ</w:t>
            </w:r>
          </w:p>
        </w:tc>
        <w:tc>
          <w:tcPr>
            <w:tcW w:type="dxa" w:w="2880"/>
          </w:tcPr>
          <w:p>
            <w:pPr>
              <w:jc w:val="right"/>
            </w:pPr>
            <w:r>
              <w:rPr>
                <w:rFonts w:ascii="Arial" w:hAnsi="Arial" w:eastAsia="Arial"/>
              </w:rPr>
              <w:t>11 مليون</w:t>
            </w:r>
          </w:p>
        </w:tc>
        <w:tc>
          <w:tcPr>
            <w:tcW w:type="dxa" w:w="2880"/>
          </w:tcPr>
          <w:p>
            <w:pPr>
              <w:jc w:val="right"/>
            </w:pPr>
            <w:r>
              <w:rPr>
                <w:rFonts w:ascii="Arial" w:hAnsi="Arial" w:eastAsia="Arial"/>
              </w:rPr>
              <w:t>5%</w:t>
            </w:r>
          </w:p>
        </w:tc>
      </w:tr>
    </w:tbl>
    <w:p>
      <w:pPr>
        <w:pStyle w:val="Heading2"/>
        <w:jc w:val="right"/>
      </w:pPr>
      <w:r>
        <w:rPr>
          <w:rFonts w:ascii="Arial" w:hAnsi="Arial" w:eastAsia="Arial"/>
        </w:rPr>
        <w:t>8.3 ملخص النتائج المالية المتوقعة</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pPr>
            <w:r>
              <w:rPr>
                <w:rFonts w:ascii="Arial" w:hAnsi="Arial" w:eastAsia="Arial"/>
                <w:b/>
              </w:rPr>
              <w:t>المؤشر</w:t>
            </w:r>
          </w:p>
        </w:tc>
        <w:tc>
          <w:tcPr>
            <w:tcW w:type="dxa" w:w="4320"/>
          </w:tcPr>
          <w:p>
            <w:pPr>
              <w:jc w:val="right"/>
            </w:pPr>
            <w:r>
              <w:rPr>
                <w:rFonts w:ascii="Arial" w:hAnsi="Arial" w:eastAsia="Arial"/>
                <w:b/>
              </w:rPr>
              <w:t>القيمة</w:t>
            </w:r>
          </w:p>
        </w:tc>
      </w:tr>
      <w:tr>
        <w:tc>
          <w:tcPr>
            <w:tcW w:type="dxa" w:w="4320"/>
          </w:tcPr>
          <w:p>
            <w:pPr>
              <w:jc w:val="right"/>
            </w:pPr>
            <w:r>
              <w:rPr>
                <w:rFonts w:ascii="Arial" w:hAnsi="Arial" w:eastAsia="Arial"/>
              </w:rPr>
              <w:t>المؤشر</w:t>
            </w:r>
          </w:p>
        </w:tc>
        <w:tc>
          <w:tcPr>
            <w:tcW w:type="dxa" w:w="4320"/>
          </w:tcPr>
          <w:p>
            <w:pPr>
              <w:jc w:val="right"/>
            </w:pPr>
            <w:r>
              <w:rPr>
                <w:rFonts w:ascii="Arial" w:hAnsi="Arial" w:eastAsia="Arial"/>
              </w:rPr>
              <w:t>القيمة</w:t>
            </w:r>
          </w:p>
        </w:tc>
      </w:tr>
      <w:tr>
        <w:tc>
          <w:tcPr>
            <w:tcW w:type="dxa" w:w="4320"/>
          </w:tcPr>
          <w:p>
            <w:pPr>
              <w:jc w:val="right"/>
            </w:pPr>
            <w:r>
              <w:rPr>
                <w:rFonts w:ascii="Arial" w:hAnsi="Arial" w:eastAsia="Arial"/>
              </w:rPr>
              <w:t>IRR على أفق 10 سنوات</w:t>
            </w:r>
          </w:p>
        </w:tc>
        <w:tc>
          <w:tcPr>
            <w:tcW w:type="dxa" w:w="4320"/>
          </w:tcPr>
          <w:p>
            <w:pPr>
              <w:jc w:val="right"/>
            </w:pPr>
            <w:r>
              <w:rPr>
                <w:rFonts w:ascii="Arial" w:hAnsi="Arial" w:eastAsia="Arial"/>
              </w:rPr>
              <w:t>19% - 20%</w:t>
            </w:r>
          </w:p>
        </w:tc>
      </w:tr>
      <w:tr>
        <w:tc>
          <w:tcPr>
            <w:tcW w:type="dxa" w:w="4320"/>
          </w:tcPr>
          <w:p>
            <w:pPr>
              <w:jc w:val="right"/>
            </w:pPr>
            <w:r>
              <w:rPr>
                <w:rFonts w:ascii="Arial" w:hAnsi="Arial" w:eastAsia="Arial"/>
              </w:rPr>
              <w:t>العائد عند الخروج</w:t>
            </w:r>
          </w:p>
        </w:tc>
        <w:tc>
          <w:tcPr>
            <w:tcW w:type="dxa" w:w="4320"/>
          </w:tcPr>
          <w:p>
            <w:pPr>
              <w:jc w:val="right"/>
            </w:pPr>
            <w:r>
              <w:rPr>
                <w:rFonts w:ascii="Arial" w:hAnsi="Arial" w:eastAsia="Arial"/>
              </w:rPr>
              <w:t>2.5x - 4x</w:t>
            </w:r>
          </w:p>
        </w:tc>
      </w:tr>
      <w:tr>
        <w:tc>
          <w:tcPr>
            <w:tcW w:type="dxa" w:w="4320"/>
          </w:tcPr>
          <w:p>
            <w:pPr>
              <w:jc w:val="right"/>
            </w:pPr>
            <w:r>
              <w:rPr>
                <w:rFonts w:ascii="Arial" w:hAnsi="Arial" w:eastAsia="Arial"/>
              </w:rPr>
              <w:t>فترة استرداد رأس المال</w:t>
            </w:r>
          </w:p>
        </w:tc>
        <w:tc>
          <w:tcPr>
            <w:tcW w:type="dxa" w:w="4320"/>
          </w:tcPr>
          <w:p>
            <w:pPr>
              <w:jc w:val="right"/>
            </w:pPr>
            <w:r>
              <w:rPr>
                <w:rFonts w:ascii="Arial" w:hAnsi="Arial" w:eastAsia="Arial"/>
              </w:rPr>
              <w:t>5.5 سنة</w:t>
            </w:r>
          </w:p>
        </w:tc>
      </w:tr>
      <w:tr>
        <w:tc>
          <w:tcPr>
            <w:tcW w:type="dxa" w:w="4320"/>
          </w:tcPr>
          <w:p>
            <w:pPr>
              <w:jc w:val="right"/>
            </w:pPr>
            <w:r>
              <w:rPr>
                <w:rFonts w:ascii="Arial" w:hAnsi="Arial" w:eastAsia="Arial"/>
              </w:rPr>
              <w:t>صافي الربح السنة 5</w:t>
            </w:r>
          </w:p>
        </w:tc>
        <w:tc>
          <w:tcPr>
            <w:tcW w:type="dxa" w:w="4320"/>
          </w:tcPr>
          <w:p>
            <w:pPr>
              <w:jc w:val="right"/>
            </w:pPr>
            <w:r>
              <w:rPr>
                <w:rFonts w:ascii="Arial" w:hAnsi="Arial" w:eastAsia="Arial"/>
              </w:rPr>
              <w:t>9.8 مليون ريال</w:t>
            </w:r>
          </w:p>
        </w:tc>
      </w:tr>
      <w:tr>
        <w:tc>
          <w:tcPr>
            <w:tcW w:type="dxa" w:w="4320"/>
          </w:tcPr>
          <w:p>
            <w:pPr>
              <w:jc w:val="right"/>
            </w:pPr>
            <w:r>
              <w:rPr>
                <w:rFonts w:ascii="Arial" w:hAnsi="Arial" w:eastAsia="Arial"/>
              </w:rPr>
              <w:t>القيمة السوقية المتوقعة بعد 5 سنوات</w:t>
            </w:r>
          </w:p>
        </w:tc>
        <w:tc>
          <w:tcPr>
            <w:tcW w:type="dxa" w:w="4320"/>
          </w:tcPr>
          <w:p>
            <w:pPr>
              <w:jc w:val="right"/>
            </w:pPr>
            <w:r>
              <w:rPr>
                <w:rFonts w:ascii="Arial" w:hAnsi="Arial" w:eastAsia="Arial"/>
              </w:rPr>
              <w:t>120-155 مليون ريال</w:t>
            </w:r>
          </w:p>
        </w:tc>
      </w:tr>
    </w:tbl>
    <w:p>
      <w:pPr>
        <w:pStyle w:val="Heading2"/>
        <w:jc w:val="right"/>
      </w:pPr>
      <w:r>
        <w:rPr>
          <w:rFonts w:ascii="Arial" w:hAnsi="Arial" w:eastAsia="Arial"/>
        </w:rPr>
        <w:t>8.4 آلية سحب رأس المال</w:t>
      </w:r>
    </w:p>
    <w:p>
      <w:pPr>
        <w:jc w:val="right"/>
      </w:pPr>
      <w:r>
        <w:rPr>
          <w:rFonts w:ascii="Arial" w:hAnsi="Arial" w:eastAsia="Arial"/>
          <w:b w:val="0"/>
          <w:i w:val="0"/>
          <w:color w:val="000000"/>
          <w:sz w:val="24"/>
        </w:rPr>
        <w:t>رأس المال لا يُضخ دفعة واحدة، بل على أربع دفعات مرتبطة بإنجاز مراحل محددة:</w:t>
      </w:r>
    </w:p>
    <w:p>
      <w:pPr>
        <w:pStyle w:val="ListBullet"/>
        <w:jc w:val="right"/>
      </w:pPr>
      <w:r>
        <w:rPr>
          <w:rFonts w:ascii="Arial" w:hAnsi="Arial" w:eastAsia="Arial"/>
          <w:sz w:val="22"/>
        </w:rPr>
        <w:t>الدفعة الأولى (30%): التأسيس وشراء 3-5 مبانٍ أولى.</w:t>
      </w:r>
    </w:p>
    <w:p>
      <w:pPr>
        <w:pStyle w:val="ListBullet"/>
        <w:jc w:val="right"/>
      </w:pPr>
      <w:r>
        <w:rPr>
          <w:rFonts w:ascii="Arial" w:hAnsi="Arial" w:eastAsia="Arial"/>
          <w:sz w:val="22"/>
        </w:rPr>
        <w:t>الدفعة الثانية (30%): إنجاز أول مشروعين وتحقيق أولى الإيرادات.</w:t>
      </w:r>
    </w:p>
    <w:p>
      <w:pPr>
        <w:pStyle w:val="ListBullet"/>
        <w:jc w:val="right"/>
      </w:pPr>
      <w:r>
        <w:rPr>
          <w:rFonts w:ascii="Arial" w:hAnsi="Arial" w:eastAsia="Arial"/>
          <w:sz w:val="22"/>
        </w:rPr>
        <w:t>الدفعة الثالثة (25%): الوصول إلى 6 مشاريع نشطة وتحقيق التعادل التشغيلي.</w:t>
      </w:r>
    </w:p>
    <w:p>
      <w:pPr>
        <w:pStyle w:val="ListBullet"/>
        <w:jc w:val="right"/>
      </w:pPr>
      <w:r>
        <w:rPr>
          <w:rFonts w:ascii="Arial" w:hAnsi="Arial" w:eastAsia="Arial"/>
          <w:sz w:val="22"/>
        </w:rPr>
        <w:t>الدفعة الرابعة (15%): احتياطي مرن يُطلق حسب الحاجة أو يُعاد للمساهمين.</w:t>
      </w:r>
    </w:p>
    <w:p>
      <w:r>
        <w:br w:type="page"/>
      </w:r>
    </w:p>
    <w:p>
      <w:pPr>
        <w:pStyle w:val="Heading1"/>
        <w:jc w:val="right"/>
      </w:pPr>
      <w:r>
        <w:rPr>
          <w:rFonts w:ascii="Arial" w:hAnsi="Arial" w:eastAsia="Arial"/>
          <w:color w:val="003366"/>
        </w:rPr>
        <w:t>9. تحليل المخاطر والتحوطات</w:t>
      </w:r>
    </w:p>
    <w:p>
      <w:pPr>
        <w:pStyle w:val="Heading2"/>
        <w:jc w:val="right"/>
      </w:pPr>
      <w:r>
        <w:rPr>
          <w:rFonts w:ascii="Arial" w:hAnsi="Arial" w:eastAsia="Arial"/>
        </w:rPr>
        <w:t>9.1 المخاطر والتحوطات</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jc w:val="right"/>
            </w:pPr>
            <w:r>
              <w:rPr>
                <w:rFonts w:ascii="Arial" w:hAnsi="Arial" w:eastAsia="Arial"/>
                <w:b/>
              </w:rPr>
              <w:t>المخاطر</w:t>
            </w:r>
          </w:p>
        </w:tc>
        <w:tc>
          <w:tcPr>
            <w:tcW w:type="dxa" w:w="2160"/>
          </w:tcPr>
          <w:p>
            <w:pPr>
              <w:jc w:val="right"/>
            </w:pPr>
            <w:r>
              <w:rPr>
                <w:rFonts w:ascii="Arial" w:hAnsi="Arial" w:eastAsia="Arial"/>
                <w:b/>
              </w:rPr>
              <w:t>الاحتمالية</w:t>
            </w:r>
          </w:p>
        </w:tc>
        <w:tc>
          <w:tcPr>
            <w:tcW w:type="dxa" w:w="2160"/>
          </w:tcPr>
          <w:p>
            <w:pPr>
              <w:jc w:val="right"/>
            </w:pPr>
            <w:r>
              <w:rPr>
                <w:rFonts w:ascii="Arial" w:hAnsi="Arial" w:eastAsia="Arial"/>
                <w:b/>
              </w:rPr>
              <w:t>التأثير</w:t>
            </w:r>
          </w:p>
        </w:tc>
        <w:tc>
          <w:tcPr>
            <w:tcW w:type="dxa" w:w="2160"/>
          </w:tcPr>
          <w:p>
            <w:pPr>
              <w:jc w:val="right"/>
            </w:pPr>
            <w:r>
              <w:rPr>
                <w:rFonts w:ascii="Arial" w:hAnsi="Arial" w:eastAsia="Arial"/>
                <w:b/>
              </w:rPr>
              <w:t>التحوط</w:t>
            </w:r>
          </w:p>
        </w:tc>
      </w:tr>
      <w:tr>
        <w:tc>
          <w:tcPr>
            <w:tcW w:type="dxa" w:w="2160"/>
          </w:tcPr>
          <w:p>
            <w:pPr>
              <w:jc w:val="right"/>
            </w:pPr>
            <w:r>
              <w:rPr>
                <w:rFonts w:ascii="Arial" w:hAnsi="Arial" w:eastAsia="Arial"/>
              </w:rPr>
              <w:t>المخاطر</w:t>
            </w:r>
          </w:p>
        </w:tc>
        <w:tc>
          <w:tcPr>
            <w:tcW w:type="dxa" w:w="2160"/>
          </w:tcPr>
          <w:p>
            <w:pPr>
              <w:jc w:val="right"/>
            </w:pPr>
            <w:r>
              <w:rPr>
                <w:rFonts w:ascii="Arial" w:hAnsi="Arial" w:eastAsia="Arial"/>
              </w:rPr>
              <w:t>الاحتمالية</w:t>
            </w:r>
          </w:p>
        </w:tc>
        <w:tc>
          <w:tcPr>
            <w:tcW w:type="dxa" w:w="2160"/>
          </w:tcPr>
          <w:p>
            <w:pPr>
              <w:jc w:val="right"/>
            </w:pPr>
            <w:r>
              <w:rPr>
                <w:rFonts w:ascii="Arial" w:hAnsi="Arial" w:eastAsia="Arial"/>
              </w:rPr>
              <w:t>التأثير</w:t>
            </w:r>
          </w:p>
        </w:tc>
        <w:tc>
          <w:tcPr>
            <w:tcW w:type="dxa" w:w="2160"/>
          </w:tcPr>
          <w:p>
            <w:pPr>
              <w:jc w:val="right"/>
            </w:pPr>
            <w:r>
              <w:rPr>
                <w:rFonts w:ascii="Arial" w:hAnsi="Arial" w:eastAsia="Arial"/>
              </w:rPr>
              <w:t>التحوط</w:t>
            </w:r>
          </w:p>
        </w:tc>
      </w:tr>
      <w:tr>
        <w:tc>
          <w:tcPr>
            <w:tcW w:type="dxa" w:w="2160"/>
          </w:tcPr>
          <w:p>
            <w:pPr>
              <w:jc w:val="right"/>
            </w:pPr>
            <w:r>
              <w:rPr>
                <w:rFonts w:ascii="Arial" w:hAnsi="Arial" w:eastAsia="Arial"/>
              </w:rPr>
              <w:t>صعوبة الحصول على أصول جيدة</w:t>
            </w:r>
          </w:p>
        </w:tc>
        <w:tc>
          <w:tcPr>
            <w:tcW w:type="dxa" w:w="2160"/>
          </w:tcPr>
          <w:p>
            <w:pPr>
              <w:jc w:val="right"/>
            </w:pPr>
            <w:r>
              <w:rPr>
                <w:rFonts w:ascii="Arial" w:hAnsi="Arial" w:eastAsia="Arial"/>
              </w:rPr>
              <w:t>عالية</w:t>
            </w:r>
          </w:p>
        </w:tc>
        <w:tc>
          <w:tcPr>
            <w:tcW w:type="dxa" w:w="2160"/>
          </w:tcPr>
          <w:p>
            <w:pPr>
              <w:jc w:val="right"/>
            </w:pPr>
            <w:r>
              <w:rPr>
                <w:rFonts w:ascii="Arial" w:hAnsi="Arial" w:eastAsia="Arial"/>
              </w:rPr>
              <w:t>توقف النمو</w:t>
            </w:r>
          </w:p>
        </w:tc>
        <w:tc>
          <w:tcPr>
            <w:tcW w:type="dxa" w:w="2160"/>
          </w:tcPr>
          <w:p>
            <w:pPr>
              <w:jc w:val="right"/>
            </w:pPr>
            <w:r>
              <w:rPr>
                <w:rFonts w:ascii="Arial" w:hAnsi="Arial" w:eastAsia="Arial"/>
              </w:rPr>
              <w:t>شبكة علاقات + قاعدة بيانات + مصفين</w:t>
            </w:r>
          </w:p>
        </w:tc>
      </w:tr>
      <w:tr>
        <w:tc>
          <w:tcPr>
            <w:tcW w:type="dxa" w:w="2160"/>
          </w:tcPr>
          <w:p>
            <w:pPr>
              <w:jc w:val="right"/>
            </w:pPr>
            <w:r>
              <w:rPr>
                <w:rFonts w:ascii="Arial" w:hAnsi="Arial" w:eastAsia="Arial"/>
              </w:rPr>
              <w:t>عيوب إنشائية مخفية</w:t>
            </w:r>
          </w:p>
        </w:tc>
        <w:tc>
          <w:tcPr>
            <w:tcW w:type="dxa" w:w="2160"/>
          </w:tcPr>
          <w:p>
            <w:pPr>
              <w:jc w:val="right"/>
            </w:pPr>
            <w:r>
              <w:rPr>
                <w:rFonts w:ascii="Arial" w:hAnsi="Arial" w:eastAsia="Arial"/>
              </w:rPr>
              <w:t>عالية</w:t>
            </w:r>
          </w:p>
        </w:tc>
        <w:tc>
          <w:tcPr>
            <w:tcW w:type="dxa" w:w="2160"/>
          </w:tcPr>
          <w:p>
            <w:pPr>
              <w:jc w:val="right"/>
            </w:pPr>
            <w:r>
              <w:rPr>
                <w:rFonts w:ascii="Arial" w:hAnsi="Arial" w:eastAsia="Arial"/>
              </w:rPr>
              <w:t>كبير مالي</w:t>
            </w:r>
          </w:p>
        </w:tc>
        <w:tc>
          <w:tcPr>
            <w:tcW w:type="dxa" w:w="2160"/>
          </w:tcPr>
          <w:p>
            <w:pPr>
              <w:jc w:val="right"/>
            </w:pPr>
            <w:r>
              <w:rPr>
                <w:rFonts w:ascii="Arial" w:hAnsi="Arial" w:eastAsia="Arial"/>
              </w:rPr>
              <w:t>فحص هندسي + تأمين + احتياطي 10%</w:t>
            </w:r>
          </w:p>
        </w:tc>
      </w:tr>
      <w:tr>
        <w:tc>
          <w:tcPr>
            <w:tcW w:type="dxa" w:w="2160"/>
          </w:tcPr>
          <w:p>
            <w:pPr>
              <w:jc w:val="right"/>
            </w:pPr>
            <w:r>
              <w:rPr>
                <w:rFonts w:ascii="Arial" w:hAnsi="Arial" w:eastAsia="Arial"/>
              </w:rPr>
              <w:t>تأخر بيع الوحدات</w:t>
            </w:r>
          </w:p>
        </w:tc>
        <w:tc>
          <w:tcPr>
            <w:tcW w:type="dxa" w:w="2160"/>
          </w:tcPr>
          <w:p>
            <w:pPr>
              <w:jc w:val="right"/>
            </w:pPr>
            <w:r>
              <w:rPr>
                <w:rFonts w:ascii="Arial" w:hAnsi="Arial" w:eastAsia="Arial"/>
              </w:rPr>
              <w:t>متوسط</w:t>
            </w:r>
          </w:p>
        </w:tc>
        <w:tc>
          <w:tcPr>
            <w:tcW w:type="dxa" w:w="2160"/>
          </w:tcPr>
          <w:p>
            <w:pPr>
              <w:jc w:val="right"/>
            </w:pPr>
            <w:r>
              <w:rPr>
                <w:rFonts w:ascii="Arial" w:hAnsi="Arial" w:eastAsia="Arial"/>
              </w:rPr>
              <w:t>حمل تكاليف</w:t>
            </w:r>
          </w:p>
        </w:tc>
        <w:tc>
          <w:tcPr>
            <w:tcW w:type="dxa" w:w="2160"/>
          </w:tcPr>
          <w:p>
            <w:pPr>
              <w:jc w:val="right"/>
            </w:pPr>
            <w:r>
              <w:rPr>
                <w:rFonts w:ascii="Arial" w:hAnsi="Arial" w:eastAsia="Arial"/>
              </w:rPr>
              <w:t>تسعير تنافسي + عقود مسبقة البيع</w:t>
            </w:r>
          </w:p>
        </w:tc>
      </w:tr>
      <w:tr>
        <w:tc>
          <w:tcPr>
            <w:tcW w:type="dxa" w:w="2160"/>
          </w:tcPr>
          <w:p>
            <w:pPr>
              <w:jc w:val="right"/>
            </w:pPr>
            <w:r>
              <w:rPr>
                <w:rFonts w:ascii="Arial" w:hAnsi="Arial" w:eastAsia="Arial"/>
              </w:rPr>
              <w:t>تأخر المقاول</w:t>
            </w:r>
          </w:p>
        </w:tc>
        <w:tc>
          <w:tcPr>
            <w:tcW w:type="dxa" w:w="2160"/>
          </w:tcPr>
          <w:p>
            <w:pPr>
              <w:jc w:val="right"/>
            </w:pPr>
            <w:r>
              <w:rPr>
                <w:rFonts w:ascii="Arial" w:hAnsi="Arial" w:eastAsia="Arial"/>
              </w:rPr>
              <w:t>متوسط</w:t>
            </w:r>
          </w:p>
        </w:tc>
        <w:tc>
          <w:tcPr>
            <w:tcW w:type="dxa" w:w="2160"/>
          </w:tcPr>
          <w:p>
            <w:pPr>
              <w:jc w:val="right"/>
            </w:pPr>
            <w:r>
              <w:rPr>
                <w:rFonts w:ascii="Arial" w:hAnsi="Arial" w:eastAsia="Arial"/>
              </w:rPr>
              <w:t>تكاليف إضافية</w:t>
            </w:r>
          </w:p>
        </w:tc>
        <w:tc>
          <w:tcPr>
            <w:tcW w:type="dxa" w:w="2160"/>
          </w:tcPr>
          <w:p>
            <w:pPr>
              <w:jc w:val="right"/>
            </w:pPr>
            <w:r>
              <w:rPr>
                <w:rFonts w:ascii="Arial" w:hAnsi="Arial" w:eastAsia="Arial"/>
              </w:rPr>
              <w:t>كفالة بنكية + عقوبات تأخير</w:t>
            </w:r>
          </w:p>
        </w:tc>
      </w:tr>
      <w:tr>
        <w:tc>
          <w:tcPr>
            <w:tcW w:type="dxa" w:w="2160"/>
          </w:tcPr>
          <w:p>
            <w:pPr>
              <w:jc w:val="right"/>
            </w:pPr>
            <w:r>
              <w:rPr>
                <w:rFonts w:ascii="Arial" w:hAnsi="Arial" w:eastAsia="Arial"/>
              </w:rPr>
              <w:t>تغير أسعار مواد البناء</w:t>
            </w:r>
          </w:p>
        </w:tc>
        <w:tc>
          <w:tcPr>
            <w:tcW w:type="dxa" w:w="2160"/>
          </w:tcPr>
          <w:p>
            <w:pPr>
              <w:jc w:val="right"/>
            </w:pPr>
            <w:r>
              <w:rPr>
                <w:rFonts w:ascii="Arial" w:hAnsi="Arial" w:eastAsia="Arial"/>
              </w:rPr>
              <w:t>متوسط</w:t>
            </w:r>
          </w:p>
        </w:tc>
        <w:tc>
          <w:tcPr>
            <w:tcW w:type="dxa" w:w="2160"/>
          </w:tcPr>
          <w:p>
            <w:pPr>
              <w:jc w:val="right"/>
            </w:pPr>
            <w:r>
              <w:rPr>
                <w:rFonts w:ascii="Arial" w:hAnsi="Arial" w:eastAsia="Arial"/>
              </w:rPr>
              <w:t>تكاليف إضافية</w:t>
            </w:r>
          </w:p>
        </w:tc>
        <w:tc>
          <w:tcPr>
            <w:tcW w:type="dxa" w:w="2160"/>
          </w:tcPr>
          <w:p>
            <w:pPr>
              <w:jc w:val="right"/>
            </w:pPr>
            <w:r>
              <w:rPr>
                <w:rFonts w:ascii="Arial" w:hAnsi="Arial" w:eastAsia="Arial"/>
              </w:rPr>
              <w:t>عقود ثابتة السعر</w:t>
            </w:r>
          </w:p>
        </w:tc>
      </w:tr>
      <w:tr>
        <w:tc>
          <w:tcPr>
            <w:tcW w:type="dxa" w:w="2160"/>
          </w:tcPr>
          <w:p>
            <w:pPr>
              <w:jc w:val="right"/>
            </w:pPr>
            <w:r>
              <w:rPr>
                <w:rFonts w:ascii="Arial" w:hAnsi="Arial" w:eastAsia="Arial"/>
              </w:rPr>
              <w:t>نزاعات قانونية مع المالك</w:t>
            </w:r>
          </w:p>
        </w:tc>
        <w:tc>
          <w:tcPr>
            <w:tcW w:type="dxa" w:w="2160"/>
          </w:tcPr>
          <w:p>
            <w:pPr>
              <w:jc w:val="right"/>
            </w:pPr>
            <w:r>
              <w:rPr>
                <w:rFonts w:ascii="Arial" w:hAnsi="Arial" w:eastAsia="Arial"/>
              </w:rPr>
              <w:t>متوسط</w:t>
            </w:r>
          </w:p>
        </w:tc>
        <w:tc>
          <w:tcPr>
            <w:tcW w:type="dxa" w:w="2160"/>
          </w:tcPr>
          <w:p>
            <w:pPr>
              <w:jc w:val="right"/>
            </w:pPr>
            <w:r>
              <w:rPr>
                <w:rFonts w:ascii="Arial" w:hAnsi="Arial" w:eastAsia="Arial"/>
              </w:rPr>
              <w:t>توقف المشروع</w:t>
            </w:r>
          </w:p>
        </w:tc>
        <w:tc>
          <w:tcPr>
            <w:tcW w:type="dxa" w:w="2160"/>
          </w:tcPr>
          <w:p>
            <w:pPr>
              <w:jc w:val="right"/>
            </w:pPr>
            <w:r>
              <w:rPr>
                <w:rFonts w:ascii="Arial" w:hAnsi="Arial" w:eastAsia="Arial"/>
              </w:rPr>
              <w:t>عقود واضحة + تحكيم ملزم</w:t>
            </w:r>
          </w:p>
        </w:tc>
      </w:tr>
      <w:tr>
        <w:tc>
          <w:tcPr>
            <w:tcW w:type="dxa" w:w="2160"/>
          </w:tcPr>
          <w:p>
            <w:pPr>
              <w:jc w:val="right"/>
            </w:pPr>
            <w:r>
              <w:rPr>
                <w:rFonts w:ascii="Arial" w:hAnsi="Arial" w:eastAsia="Arial"/>
              </w:rPr>
              <w:t>تراجع أسعار العقار</w:t>
            </w:r>
          </w:p>
        </w:tc>
        <w:tc>
          <w:tcPr>
            <w:tcW w:type="dxa" w:w="2160"/>
          </w:tcPr>
          <w:p>
            <w:pPr>
              <w:jc w:val="right"/>
            </w:pPr>
            <w:r>
              <w:rPr>
                <w:rFonts w:ascii="Arial" w:hAnsi="Arial" w:eastAsia="Arial"/>
              </w:rPr>
              <w:t>متوسط-منخفض</w:t>
            </w:r>
          </w:p>
        </w:tc>
        <w:tc>
          <w:tcPr>
            <w:tcW w:type="dxa" w:w="2160"/>
          </w:tcPr>
          <w:p>
            <w:pPr>
              <w:jc w:val="right"/>
            </w:pPr>
            <w:r>
              <w:rPr>
                <w:rFonts w:ascii="Arial" w:hAnsi="Arial" w:eastAsia="Arial"/>
              </w:rPr>
              <w:t>انخفاض الهوامش</w:t>
            </w:r>
          </w:p>
        </w:tc>
        <w:tc>
          <w:tcPr>
            <w:tcW w:type="dxa" w:w="2160"/>
          </w:tcPr>
          <w:p>
            <w:pPr>
              <w:jc w:val="right"/>
            </w:pPr>
            <w:r>
              <w:rPr>
                <w:rFonts w:ascii="Arial" w:hAnsi="Arial" w:eastAsia="Arial"/>
              </w:rPr>
              <w:t>تنويع جغرافي + فئات استهداف</w:t>
            </w:r>
          </w:p>
        </w:tc>
      </w:tr>
    </w:tbl>
    <w:p>
      <w:pPr>
        <w:pStyle w:val="Heading2"/>
        <w:jc w:val="right"/>
      </w:pPr>
      <w:r>
        <w:rPr>
          <w:rFonts w:ascii="Arial" w:hAnsi="Arial" w:eastAsia="Arial"/>
        </w:rPr>
        <w:t>9.2 سياسة التأمين</w:t>
      </w:r>
    </w:p>
    <w:p>
      <w:pPr>
        <w:pStyle w:val="ListBullet"/>
        <w:jc w:val="right"/>
      </w:pPr>
      <w:r>
        <w:rPr>
          <w:rFonts w:ascii="Arial" w:hAnsi="Arial" w:eastAsia="Arial"/>
          <w:sz w:val="22"/>
        </w:rPr>
        <w:t>تأمين المقاولين الشامل (CAR) لكل مشروع.</w:t>
      </w:r>
    </w:p>
    <w:p>
      <w:pPr>
        <w:pStyle w:val="ListBullet"/>
        <w:jc w:val="right"/>
      </w:pPr>
      <w:r>
        <w:rPr>
          <w:rFonts w:ascii="Arial" w:hAnsi="Arial" w:eastAsia="Arial"/>
          <w:sz w:val="22"/>
        </w:rPr>
        <w:t>تأمين المسؤولية المدنية العامة للشركة.</w:t>
      </w:r>
    </w:p>
    <w:p>
      <w:pPr>
        <w:pStyle w:val="ListBullet"/>
        <w:jc w:val="right"/>
      </w:pPr>
      <w:r>
        <w:rPr>
          <w:rFonts w:ascii="Arial" w:hAnsi="Arial" w:eastAsia="Arial"/>
          <w:sz w:val="22"/>
        </w:rPr>
        <w:t>تأمين العيوب الخفية للمباني غير المكتملة.</w:t>
      </w:r>
    </w:p>
    <w:p>
      <w:pPr>
        <w:pStyle w:val="ListBullet"/>
        <w:jc w:val="right"/>
      </w:pPr>
      <w:r>
        <w:rPr>
          <w:rFonts w:ascii="Arial" w:hAnsi="Arial" w:eastAsia="Arial"/>
          <w:sz w:val="22"/>
        </w:rPr>
        <w:t>تأمين المسؤولية المهنية للمهندسين والاستشاريين.</w:t>
      </w:r>
    </w:p>
    <w:p>
      <w:pPr>
        <w:pStyle w:val="ListBullet"/>
        <w:jc w:val="right"/>
      </w:pPr>
      <w:r>
        <w:rPr>
          <w:rFonts w:ascii="Arial" w:hAnsi="Arial" w:eastAsia="Arial"/>
          <w:sz w:val="22"/>
        </w:rPr>
        <w:t>تأمين مقر الشركة والأصول الثابتة.</w:t>
      </w:r>
    </w:p>
    <w:p>
      <w:pPr>
        <w:pStyle w:val="Heading2"/>
        <w:jc w:val="right"/>
      </w:pPr>
      <w:r>
        <w:rPr>
          <w:rFonts w:ascii="Arial" w:hAnsi="Arial" w:eastAsia="Arial"/>
        </w:rPr>
        <w:t>9.3 الامتثال للكود السعودي</w:t>
      </w:r>
    </w:p>
    <w:p>
      <w:pPr>
        <w:pStyle w:val="ListBullet"/>
        <w:jc w:val="right"/>
      </w:pPr>
      <w:r>
        <w:rPr>
          <w:rFonts w:ascii="Arial" w:hAnsi="Arial" w:eastAsia="Arial"/>
          <w:sz w:val="22"/>
        </w:rPr>
        <w:t>كود البناء السعودي (SBC) - معايير الإنشاء والسلامة.</w:t>
      </w:r>
    </w:p>
    <w:p>
      <w:pPr>
        <w:pStyle w:val="ListBullet"/>
        <w:jc w:val="right"/>
      </w:pPr>
      <w:r>
        <w:rPr>
          <w:rFonts w:ascii="Arial" w:hAnsi="Arial" w:eastAsia="Arial"/>
          <w:sz w:val="22"/>
        </w:rPr>
        <w:t>اشتراطات البلدية - التراخيص والتفتيش.</w:t>
      </w:r>
    </w:p>
    <w:p>
      <w:pPr>
        <w:pStyle w:val="ListBullet"/>
        <w:jc w:val="right"/>
      </w:pPr>
      <w:r>
        <w:rPr>
          <w:rFonts w:ascii="Arial" w:hAnsi="Arial" w:eastAsia="Arial"/>
          <w:sz w:val="22"/>
        </w:rPr>
        <w:t>اشتراطات الدفاع المدني - السلامة من الحريق.</w:t>
      </w:r>
    </w:p>
    <w:p>
      <w:pPr>
        <w:pStyle w:val="ListBullet"/>
        <w:jc w:val="right"/>
      </w:pPr>
      <w:r>
        <w:rPr>
          <w:rFonts w:ascii="Arial" w:hAnsi="Arial" w:eastAsia="Arial"/>
          <w:sz w:val="22"/>
        </w:rPr>
        <w:t>اشتراطات الهيئة العامة للعقار (REGA).</w:t>
      </w:r>
    </w:p>
    <w:p>
      <w:r>
        <w:br w:type="page"/>
      </w:r>
    </w:p>
    <w:p>
      <w:pPr>
        <w:pStyle w:val="Heading1"/>
        <w:jc w:val="right"/>
      </w:pPr>
      <w:r>
        <w:rPr>
          <w:rFonts w:ascii="Arial" w:hAnsi="Arial" w:eastAsia="Arial"/>
          <w:color w:val="003366"/>
        </w:rPr>
        <w:t>10. خطة التنفيذ والمراحل الزمنية</w:t>
      </w:r>
    </w:p>
    <w:p>
      <w:pPr>
        <w:pStyle w:val="Heading2"/>
        <w:jc w:val="right"/>
      </w:pPr>
      <w:r>
        <w:rPr>
          <w:rFonts w:ascii="Arial" w:hAnsi="Arial" w:eastAsia="Arial"/>
        </w:rPr>
        <w:t>10.1 المرحلة الأولى: إثبات النموذج (السنة 1-2)</w:t>
      </w:r>
    </w:p>
    <w:p>
      <w:pPr>
        <w:pStyle w:val="ListBullet"/>
        <w:jc w:val="right"/>
      </w:pPr>
      <w:r>
        <w:rPr>
          <w:rFonts w:ascii="Arial" w:hAnsi="Arial" w:eastAsia="Arial"/>
          <w:sz w:val="22"/>
        </w:rPr>
        <w:t>إتمام التأسيس القانوني والتراخيص.</w:t>
      </w:r>
    </w:p>
    <w:p>
      <w:pPr>
        <w:pStyle w:val="ListBullet"/>
        <w:jc w:val="right"/>
      </w:pPr>
      <w:r>
        <w:rPr>
          <w:rFonts w:ascii="Arial" w:hAnsi="Arial" w:eastAsia="Arial"/>
          <w:sz w:val="22"/>
        </w:rPr>
        <w:t>ضخ 25 مليون ريال كاستثمار أولي.</w:t>
      </w:r>
    </w:p>
    <w:p>
      <w:pPr>
        <w:pStyle w:val="ListBullet"/>
        <w:jc w:val="right"/>
      </w:pPr>
      <w:r>
        <w:rPr>
          <w:rFonts w:ascii="Arial" w:hAnsi="Arial" w:eastAsia="Arial"/>
          <w:sz w:val="22"/>
        </w:rPr>
        <w:t>تنفيذ 3-5 مشاريع قياسية.</w:t>
      </w:r>
    </w:p>
    <w:p>
      <w:pPr>
        <w:pStyle w:val="ListBullet"/>
        <w:jc w:val="right"/>
      </w:pPr>
      <w:r>
        <w:rPr>
          <w:rFonts w:ascii="Arial" w:hAnsi="Arial" w:eastAsia="Arial"/>
          <w:sz w:val="22"/>
        </w:rPr>
        <w:t>بناء فريق تشغيلي أساسي (10-15 موظف).</w:t>
      </w:r>
    </w:p>
    <w:p>
      <w:pPr>
        <w:pStyle w:val="ListBullet"/>
        <w:jc w:val="right"/>
      </w:pPr>
      <w:r>
        <w:rPr>
          <w:rFonts w:ascii="Arial" w:hAnsi="Arial" w:eastAsia="Arial"/>
          <w:sz w:val="22"/>
        </w:rPr>
        <w:t>بناء قاعدة بيانات للأصول غير المكتملة.</w:t>
      </w:r>
    </w:p>
    <w:p>
      <w:pPr>
        <w:pStyle w:val="Heading2"/>
        <w:jc w:val="right"/>
      </w:pPr>
      <w:r>
        <w:rPr>
          <w:rFonts w:ascii="Arial" w:hAnsi="Arial" w:eastAsia="Arial"/>
        </w:rPr>
        <w:t>10.2 المرحلة الثانية: النمو والتكرار (السنة 3-5)</w:t>
      </w:r>
    </w:p>
    <w:p>
      <w:pPr>
        <w:pStyle w:val="ListBullet"/>
        <w:jc w:val="right"/>
      </w:pPr>
      <w:r>
        <w:rPr>
          <w:rFonts w:ascii="Arial" w:hAnsi="Arial" w:eastAsia="Arial"/>
          <w:sz w:val="22"/>
        </w:rPr>
        <w:t>زيادة رأس المال المستدعى تدريجياً.</w:t>
      </w:r>
    </w:p>
    <w:p>
      <w:pPr>
        <w:pStyle w:val="ListBullet"/>
        <w:jc w:val="right"/>
      </w:pPr>
      <w:r>
        <w:rPr>
          <w:rFonts w:ascii="Arial" w:hAnsi="Arial" w:eastAsia="Arial"/>
          <w:sz w:val="22"/>
        </w:rPr>
        <w:t>الوصول إلى 6-10 مشاريع سنوياً.</w:t>
      </w:r>
    </w:p>
    <w:p>
      <w:pPr>
        <w:pStyle w:val="ListBullet"/>
        <w:jc w:val="right"/>
      </w:pPr>
      <w:r>
        <w:rPr>
          <w:rFonts w:ascii="Arial" w:hAnsi="Arial" w:eastAsia="Arial"/>
          <w:sz w:val="22"/>
        </w:rPr>
        <w:t>تحقيق الربحية التشغيلية المستدامة.</w:t>
      </w:r>
    </w:p>
    <w:p>
      <w:pPr>
        <w:pStyle w:val="ListBullet"/>
        <w:jc w:val="right"/>
      </w:pPr>
      <w:r>
        <w:rPr>
          <w:rFonts w:ascii="Arial" w:hAnsi="Arial" w:eastAsia="Arial"/>
          <w:sz w:val="22"/>
        </w:rPr>
        <w:t>تطوير نظام ERP وأتمتة العمليات.</w:t>
      </w:r>
    </w:p>
    <w:p>
      <w:pPr>
        <w:pStyle w:val="ListBullet"/>
        <w:jc w:val="right"/>
      </w:pPr>
      <w:r>
        <w:rPr>
          <w:rFonts w:ascii="Arial" w:hAnsi="Arial" w:eastAsia="Arial"/>
          <w:sz w:val="22"/>
        </w:rPr>
        <w:t>التركيز على جدة والرياض.</w:t>
      </w:r>
    </w:p>
    <w:p>
      <w:pPr>
        <w:pStyle w:val="Heading2"/>
        <w:jc w:val="right"/>
      </w:pPr>
      <w:r>
        <w:rPr>
          <w:rFonts w:ascii="Arial" w:hAnsi="Arial" w:eastAsia="Arial"/>
        </w:rPr>
        <w:t>10.3 المرحلة الثالثة: الخروج الاستراتيجي (السنة 5-7)</w:t>
      </w:r>
    </w:p>
    <w:p>
      <w:pPr>
        <w:pStyle w:val="ListBullet"/>
        <w:jc w:val="right"/>
      </w:pPr>
      <w:r>
        <w:rPr>
          <w:rFonts w:ascii="Arial" w:hAnsi="Arial" w:eastAsia="Arial"/>
          <w:sz w:val="22"/>
        </w:rPr>
        <w:t>بيع حصة مسيطرة لصندوق استثماري عقاري أو مطور كبير.</w:t>
      </w:r>
    </w:p>
    <w:p>
      <w:pPr>
        <w:pStyle w:val="ListBullet"/>
        <w:jc w:val="right"/>
      </w:pPr>
      <w:r>
        <w:rPr>
          <w:rFonts w:ascii="Arial" w:hAnsi="Arial" w:eastAsia="Arial"/>
          <w:sz w:val="22"/>
        </w:rPr>
        <w:t>أو الطرح الجزئي في السوق المالية السعودية (Tadawul).</w:t>
      </w:r>
    </w:p>
    <w:p>
      <w:pPr>
        <w:pStyle w:val="ListBullet"/>
        <w:jc w:val="right"/>
      </w:pPr>
      <w:r>
        <w:rPr>
          <w:rFonts w:ascii="Arial" w:hAnsi="Arial" w:eastAsia="Arial"/>
          <w:sz w:val="22"/>
        </w:rPr>
        <w:t>أو إعادة شراء الأسهم من المساهمين تدريجياً.</w:t>
      </w:r>
    </w:p>
    <w:p>
      <w:pPr>
        <w:pStyle w:val="Heading2"/>
        <w:jc w:val="right"/>
      </w:pPr>
      <w:r>
        <w:rPr>
          <w:rFonts w:ascii="Arial" w:hAnsi="Arial" w:eastAsia="Arial"/>
        </w:rPr>
        <w:t>10.4 المخطط الزمني الرئيسي</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pPr>
            <w:r>
              <w:rPr>
                <w:rFonts w:ascii="Arial" w:hAnsi="Arial" w:eastAsia="Arial"/>
                <w:b/>
              </w:rPr>
              <w:t>المرحلة</w:t>
            </w:r>
          </w:p>
        </w:tc>
        <w:tc>
          <w:tcPr>
            <w:tcW w:type="dxa" w:w="2880"/>
          </w:tcPr>
          <w:p>
            <w:pPr>
              <w:jc w:val="right"/>
            </w:pPr>
            <w:r>
              <w:rPr>
                <w:rFonts w:ascii="Arial" w:hAnsi="Arial" w:eastAsia="Arial"/>
                <w:b/>
              </w:rPr>
              <w:t>المدة</w:t>
            </w:r>
          </w:p>
        </w:tc>
        <w:tc>
          <w:tcPr>
            <w:tcW w:type="dxa" w:w="2880"/>
          </w:tcPr>
          <w:p>
            <w:pPr>
              <w:jc w:val="right"/>
            </w:pPr>
            <w:r>
              <w:rPr>
                <w:rFonts w:ascii="Arial" w:hAnsi="Arial" w:eastAsia="Arial"/>
                <w:b/>
              </w:rPr>
              <w:t>المعالم الرئيسية</w:t>
            </w:r>
          </w:p>
        </w:tc>
      </w:tr>
      <w:tr>
        <w:tc>
          <w:tcPr>
            <w:tcW w:type="dxa" w:w="2880"/>
          </w:tcPr>
          <w:p>
            <w:pPr>
              <w:jc w:val="right"/>
            </w:pPr>
            <w:r>
              <w:rPr>
                <w:rFonts w:ascii="Arial" w:hAnsi="Arial" w:eastAsia="Arial"/>
              </w:rPr>
              <w:t>المرحلة</w:t>
            </w:r>
          </w:p>
        </w:tc>
        <w:tc>
          <w:tcPr>
            <w:tcW w:type="dxa" w:w="2880"/>
          </w:tcPr>
          <w:p>
            <w:pPr>
              <w:jc w:val="right"/>
            </w:pPr>
            <w:r>
              <w:rPr>
                <w:rFonts w:ascii="Arial" w:hAnsi="Arial" w:eastAsia="Arial"/>
              </w:rPr>
              <w:t>المدة</w:t>
            </w:r>
          </w:p>
        </w:tc>
        <w:tc>
          <w:tcPr>
            <w:tcW w:type="dxa" w:w="2880"/>
          </w:tcPr>
          <w:p>
            <w:pPr>
              <w:jc w:val="right"/>
            </w:pPr>
            <w:r>
              <w:rPr>
                <w:rFonts w:ascii="Arial" w:hAnsi="Arial" w:eastAsia="Arial"/>
              </w:rPr>
              <w:t>المعالم الرئيسية</w:t>
            </w:r>
          </w:p>
        </w:tc>
      </w:tr>
      <w:tr>
        <w:tc>
          <w:tcPr>
            <w:tcW w:type="dxa" w:w="2880"/>
          </w:tcPr>
          <w:p>
            <w:pPr>
              <w:jc w:val="right"/>
            </w:pPr>
            <w:r>
              <w:rPr>
                <w:rFonts w:ascii="Arial" w:hAnsi="Arial" w:eastAsia="Arial"/>
              </w:rPr>
              <w:t>التأسيس</w:t>
            </w:r>
          </w:p>
        </w:tc>
        <w:tc>
          <w:tcPr>
            <w:tcW w:type="dxa" w:w="2880"/>
          </w:tcPr>
          <w:p>
            <w:pPr>
              <w:jc w:val="right"/>
            </w:pPr>
            <w:r>
              <w:rPr>
                <w:rFonts w:ascii="Arial" w:hAnsi="Arial" w:eastAsia="Arial"/>
              </w:rPr>
              <w:t>0-6 أشهر</w:t>
            </w:r>
          </w:p>
        </w:tc>
        <w:tc>
          <w:tcPr>
            <w:tcW w:type="dxa" w:w="2880"/>
          </w:tcPr>
          <w:p>
            <w:pPr>
              <w:jc w:val="right"/>
            </w:pPr>
            <w:r>
              <w:rPr>
                <w:rFonts w:ascii="Arial" w:hAnsi="Arial" w:eastAsia="Arial"/>
              </w:rPr>
              <w:t>التراخيص، المقر، الفريق الأساسي</w:t>
            </w:r>
          </w:p>
        </w:tc>
      </w:tr>
      <w:tr>
        <w:tc>
          <w:tcPr>
            <w:tcW w:type="dxa" w:w="2880"/>
          </w:tcPr>
          <w:p>
            <w:pPr>
              <w:jc w:val="right"/>
            </w:pPr>
            <w:r>
              <w:rPr>
                <w:rFonts w:ascii="Arial" w:hAnsi="Arial" w:eastAsia="Arial"/>
              </w:rPr>
              <w:t>الإطلاق</w:t>
            </w:r>
          </w:p>
        </w:tc>
        <w:tc>
          <w:tcPr>
            <w:tcW w:type="dxa" w:w="2880"/>
          </w:tcPr>
          <w:p>
            <w:pPr>
              <w:jc w:val="right"/>
            </w:pPr>
            <w:r>
              <w:rPr>
                <w:rFonts w:ascii="Arial" w:hAnsi="Arial" w:eastAsia="Arial"/>
              </w:rPr>
              <w:t>6-12 شهر</w:t>
            </w:r>
          </w:p>
        </w:tc>
        <w:tc>
          <w:tcPr>
            <w:tcW w:type="dxa" w:w="2880"/>
          </w:tcPr>
          <w:p>
            <w:pPr>
              <w:jc w:val="right"/>
            </w:pPr>
            <w:r>
              <w:rPr>
                <w:rFonts w:ascii="Arial" w:hAnsi="Arial" w:eastAsia="Arial"/>
              </w:rPr>
              <w:t>أول 3 مشاريع، أول إيرادات</w:t>
            </w:r>
          </w:p>
        </w:tc>
      </w:tr>
      <w:tr>
        <w:tc>
          <w:tcPr>
            <w:tcW w:type="dxa" w:w="2880"/>
          </w:tcPr>
          <w:p>
            <w:pPr>
              <w:jc w:val="right"/>
            </w:pPr>
            <w:r>
              <w:rPr>
                <w:rFonts w:ascii="Arial" w:hAnsi="Arial" w:eastAsia="Arial"/>
              </w:rPr>
              <w:t>النمو</w:t>
            </w:r>
          </w:p>
        </w:tc>
        <w:tc>
          <w:tcPr>
            <w:tcW w:type="dxa" w:w="2880"/>
          </w:tcPr>
          <w:p>
            <w:pPr>
              <w:jc w:val="right"/>
            </w:pPr>
            <w:r>
              <w:rPr>
                <w:rFonts w:ascii="Arial" w:hAnsi="Arial" w:eastAsia="Arial"/>
              </w:rPr>
              <w:t>سنة 2-3</w:t>
            </w:r>
          </w:p>
        </w:tc>
        <w:tc>
          <w:tcPr>
            <w:tcW w:type="dxa" w:w="2880"/>
          </w:tcPr>
          <w:p>
            <w:pPr>
              <w:jc w:val="right"/>
            </w:pPr>
            <w:r>
              <w:rPr>
                <w:rFonts w:ascii="Arial" w:hAnsi="Arial" w:eastAsia="Arial"/>
              </w:rPr>
              <w:t>6 مشاريع سنوياً، التعادل التشغيلي</w:t>
            </w:r>
          </w:p>
        </w:tc>
      </w:tr>
      <w:tr>
        <w:tc>
          <w:tcPr>
            <w:tcW w:type="dxa" w:w="2880"/>
          </w:tcPr>
          <w:p>
            <w:pPr>
              <w:jc w:val="right"/>
            </w:pPr>
            <w:r>
              <w:rPr>
                <w:rFonts w:ascii="Arial" w:hAnsi="Arial" w:eastAsia="Arial"/>
              </w:rPr>
              <w:t>التوسع</w:t>
            </w:r>
          </w:p>
        </w:tc>
        <w:tc>
          <w:tcPr>
            <w:tcW w:type="dxa" w:w="2880"/>
          </w:tcPr>
          <w:p>
            <w:pPr>
              <w:jc w:val="right"/>
            </w:pPr>
            <w:r>
              <w:rPr>
                <w:rFonts w:ascii="Arial" w:hAnsi="Arial" w:eastAsia="Arial"/>
              </w:rPr>
              <w:t>سنة 4-5</w:t>
            </w:r>
          </w:p>
        </w:tc>
        <w:tc>
          <w:tcPr>
            <w:tcW w:type="dxa" w:w="2880"/>
          </w:tcPr>
          <w:p>
            <w:pPr>
              <w:jc w:val="right"/>
            </w:pPr>
            <w:r>
              <w:rPr>
                <w:rFonts w:ascii="Arial" w:hAnsi="Arial" w:eastAsia="Arial"/>
              </w:rPr>
              <w:t>10 مشاريع سنوياً، أرباح مستدامة</w:t>
            </w:r>
          </w:p>
        </w:tc>
      </w:tr>
      <w:tr>
        <w:tc>
          <w:tcPr>
            <w:tcW w:type="dxa" w:w="2880"/>
          </w:tcPr>
          <w:p>
            <w:pPr>
              <w:jc w:val="right"/>
            </w:pPr>
            <w:r>
              <w:rPr>
                <w:rFonts w:ascii="Arial" w:hAnsi="Arial" w:eastAsia="Arial"/>
              </w:rPr>
              <w:t>الخروج</w:t>
            </w:r>
          </w:p>
        </w:tc>
        <w:tc>
          <w:tcPr>
            <w:tcW w:type="dxa" w:w="2880"/>
          </w:tcPr>
          <w:p>
            <w:pPr>
              <w:jc w:val="right"/>
            </w:pPr>
            <w:r>
              <w:rPr>
                <w:rFonts w:ascii="Arial" w:hAnsi="Arial" w:eastAsia="Arial"/>
              </w:rPr>
              <w:t>سنة 5-7</w:t>
            </w:r>
          </w:p>
        </w:tc>
        <w:tc>
          <w:tcPr>
            <w:tcW w:type="dxa" w:w="2880"/>
          </w:tcPr>
          <w:p>
            <w:pPr>
              <w:jc w:val="right"/>
            </w:pPr>
            <w:r>
              <w:rPr>
                <w:rFonts w:ascii="Arial" w:hAnsi="Arial" w:eastAsia="Arial"/>
              </w:rPr>
              <w:t>بيع استراتيجي أو طرح جزئي</w:t>
            </w:r>
          </w:p>
        </w:tc>
      </w:tr>
    </w:tbl>
    <w:p>
      <w:r>
        <w:br w:type="page"/>
      </w:r>
    </w:p>
    <w:p>
      <w:pPr>
        <w:pStyle w:val="Heading1"/>
        <w:jc w:val="right"/>
      </w:pPr>
      <w:r>
        <w:rPr>
          <w:rFonts w:ascii="Arial" w:hAnsi="Arial" w:eastAsia="Arial"/>
          <w:color w:val="003366"/>
        </w:rPr>
        <w:t>11. الخلاصة والتوصيات</w:t>
      </w:r>
    </w:p>
    <w:p>
      <w:pPr>
        <w:jc w:val="right"/>
      </w:pPr>
      <w:r>
        <w:rPr>
          <w:rFonts w:ascii="Arial" w:hAnsi="Arial" w:eastAsia="Arial"/>
          <w:b w:val="0"/>
          <w:i w:val="0"/>
          <w:color w:val="000000"/>
          <w:sz w:val="24"/>
        </w:rPr>
        <w:t>تقدم شركة إحياء الأصول غير المكتملة العقارية فرصة استثمارية فريدة في السوق العقاري السعودي. النموذج التجاري يعتمد على الشراكة المحاصة مع مالكي العقارات غير المكتملة، مما يلغي الحاجة إلى شراء الأراضي ويقلل رأس المال المطلوب.</w:t>
      </w:r>
    </w:p>
    <w:p>
      <w:pPr>
        <w:jc w:val="right"/>
      </w:pPr>
      <w:r>
        <w:rPr>
          <w:rFonts w:ascii="Arial" w:hAnsi="Arial" w:eastAsia="Arial"/>
          <w:b w:val="0"/>
          <w:i w:val="0"/>
          <w:color w:val="000000"/>
          <w:sz w:val="24"/>
        </w:rPr>
        <w:t>بفضل التمويل الذاتي من المساهمين المؤسسين، والالتزام بالكود السعودي، والتغطية التأمينية الشاملة، تتمتع الشركة بمخاطر محسوبة وعوائد جذابة تصل إلى 19-20% IRR على أفق 10 سنوات.</w:t>
      </w:r>
    </w:p>
    <w:p>
      <w:pPr>
        <w:pStyle w:val="Heading2"/>
        <w:jc w:val="right"/>
      </w:pPr>
      <w:r>
        <w:rPr>
          <w:rFonts w:ascii="Arial" w:hAnsi="Arial" w:eastAsia="Arial"/>
        </w:rPr>
        <w:t>التوصيات الرئيسية</w:t>
      </w:r>
    </w:p>
    <w:p>
      <w:pPr>
        <w:pStyle w:val="ListBullet"/>
        <w:jc w:val="right"/>
      </w:pPr>
      <w:r>
        <w:rPr>
          <w:rFonts w:ascii="Arial" w:hAnsi="Arial" w:eastAsia="Arial"/>
          <w:sz w:val="22"/>
        </w:rPr>
        <w:t>البدء بمرحلة تجريبية بـ 25 مليون ريال و3-5 مشاريع قياسية.</w:t>
      </w:r>
    </w:p>
    <w:p>
      <w:pPr>
        <w:pStyle w:val="ListBullet"/>
        <w:jc w:val="right"/>
      </w:pPr>
      <w:r>
        <w:rPr>
          <w:rFonts w:ascii="Arial" w:hAnsi="Arial" w:eastAsia="Arial"/>
          <w:sz w:val="22"/>
        </w:rPr>
        <w:t>التركيز على جدة أو الرياض في السنوات الأولى.</w:t>
      </w:r>
    </w:p>
    <w:p>
      <w:pPr>
        <w:pStyle w:val="ListBullet"/>
        <w:jc w:val="right"/>
      </w:pPr>
      <w:r>
        <w:rPr>
          <w:rFonts w:ascii="Arial" w:hAnsi="Arial" w:eastAsia="Arial"/>
          <w:sz w:val="22"/>
        </w:rPr>
        <w:t>بناء قاعدة بيانات للأصول غير المكتملة قبل الإطلاق الرسمي.</w:t>
      </w:r>
    </w:p>
    <w:p>
      <w:pPr>
        <w:pStyle w:val="ListBullet"/>
        <w:jc w:val="right"/>
      </w:pPr>
      <w:r>
        <w:rPr>
          <w:rFonts w:ascii="Arial" w:hAnsi="Arial" w:eastAsia="Arial"/>
          <w:sz w:val="22"/>
        </w:rPr>
        <w:t>إبرام شراكات مع مقاولين معتمدين يقدمون كفالات بنكية.</w:t>
      </w:r>
    </w:p>
    <w:p>
      <w:pPr>
        <w:pStyle w:val="ListBullet"/>
        <w:jc w:val="right"/>
      </w:pPr>
      <w:r>
        <w:rPr>
          <w:rFonts w:ascii="Arial" w:hAnsi="Arial" w:eastAsia="Arial"/>
          <w:sz w:val="22"/>
        </w:rPr>
        <w:t>إدراج شرط تحكيم ملزم في جميع عقود المحاصة.</w:t>
      </w:r>
    </w:p>
    <w:p>
      <w:pPr>
        <w:pStyle w:val="ListBullet"/>
        <w:jc w:val="right"/>
      </w:pPr>
      <w:r>
        <w:rPr>
          <w:rFonts w:ascii="Arial" w:hAnsi="Arial" w:eastAsia="Arial"/>
          <w:sz w:val="22"/>
        </w:rPr>
        <w:t>تطوير نظام ERP لإدارة المحفظة والتدفقات النقدية.</w:t>
      </w:r>
    </w:p>
    <w:p>
      <w:pPr>
        <w:pStyle w:val="ListBullet"/>
        <w:jc w:val="right"/>
      </w:pPr>
      <w:r>
        <w:rPr>
          <w:rFonts w:ascii="Arial" w:hAnsi="Arial" w:eastAsia="Arial"/>
          <w:sz w:val="22"/>
        </w:rPr>
        <w:t>إعداد عقد محاصة موحد يحفظ حقوق الشركة والمالك.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