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524000"/>
            <wp:docPr id="1" name="Picture 1"/>
            <wp:cNvGraphicFramePr>
              <a:graphicFrameLocks noChangeAspect="1"/>
            </wp:cNvGraphicFramePr>
            <a:graphic>
              <a:graphicData uri="http://schemas.openxmlformats.org/drawingml/2006/picture">
                <pic:pic>
                  <pic:nvPicPr>
                    <pic:cNvPr id="0" name="bonds-logo.png"/>
                    <pic:cNvPicPr/>
                  </pic:nvPicPr>
                  <pic:blipFill>
                    <a:blip r:embed="rId10"/>
                    <a:stretch>
                      <a:fillRect/>
                    </a:stretch>
                  </pic:blipFill>
                  <pic:spPr>
                    <a:xfrm>
                      <a:off x="0" y="0"/>
                      <a:ext cx="2286000" cy="1524000"/>
                    </a:xfrm>
                    <a:prstGeom prst="rect"/>
                  </pic:spPr>
                </pic:pic>
              </a:graphicData>
            </a:graphic>
          </wp:inline>
        </w:drawing>
      </w:r>
    </w:p>
    <w:p/>
    <w:p/>
    <w:p/>
    <w:p>
      <w:pPr>
        <w:jc w:val="center"/>
      </w:pPr>
      <w:r>
        <w:rPr>
          <w:rFonts w:ascii="Arial" w:hAnsi="Arial" w:eastAsia="Arial"/>
          <w:b/>
          <w:color w:val="003366"/>
          <w:sz w:val="72"/>
        </w:rPr>
        <w:t>Business Plan</w:t>
      </w:r>
    </w:p>
    <w:p>
      <w:pPr>
        <w:jc w:val="center"/>
      </w:pPr>
      <w:r>
        <w:rPr>
          <w:rFonts w:ascii="Arial" w:hAnsi="Arial" w:eastAsia="Arial"/>
          <w:b/>
          <w:color w:val="D4A853"/>
          <w:sz w:val="56"/>
        </w:rPr>
        <w:t>Real Estate Asset Revitalization Company</w:t>
      </w:r>
    </w:p>
    <w:p/>
    <w:p>
      <w:pPr>
        <w:jc w:val="center"/>
      </w:pPr>
      <w:r>
        <w:rPr>
          <w:rFonts w:ascii="Arial" w:hAnsi="Arial" w:eastAsia="Arial"/>
          <w:b/>
          <w:color w:val="0A0F1A"/>
          <w:sz w:val="32"/>
        </w:rPr>
        <w:t>Closed Joint Stock Company</w:t>
      </w:r>
    </w:p>
    <w:p>
      <w:pPr>
        <w:jc w:val="center"/>
      </w:pPr>
      <w:r>
        <w:rPr>
          <w:rFonts w:ascii="Arial" w:hAnsi="Arial" w:eastAsia="Arial"/>
          <w:color w:val="666666"/>
          <w:sz w:val="28"/>
        </w:rPr>
        <w:t>Kingdom of Saudi Arabia</w:t>
      </w:r>
    </w:p>
    <w:p/>
    <w:p/>
    <w:p/>
    <w:p>
      <w:pPr>
        <w:jc w:val="center"/>
      </w:pPr>
      <w:r>
        <w:rPr>
          <w:rFonts w:ascii="Arial" w:hAnsi="Arial" w:eastAsia="Arial"/>
          <w:color w:val="666666"/>
          <w:sz w:val="24"/>
        </w:rPr>
        <w:t>June 2026</w:t>
      </w:r>
    </w:p>
    <w:p>
      <w:pPr>
        <w:jc w:val="center"/>
      </w:pPr>
      <w:r>
        <w:rPr>
          <w:rFonts w:ascii="Arial" w:hAnsi="Arial" w:eastAsia="Arial"/>
          <w:i/>
          <w:color w:val="666666"/>
          <w:sz w:val="20"/>
        </w:rPr>
        <w:t>Confidential - For Founding Shareholders Only</w:t>
      </w:r>
    </w:p>
    <w:p/>
    <w:p>
      <w:pPr>
        <w:jc w:val="center"/>
      </w:pPr>
      <w:r>
        <w:rPr>
          <w:rFonts w:ascii="Arial" w:hAnsi="Arial" w:eastAsia="Arial"/>
          <w:b/>
          <w:color w:val="D4A853"/>
          <w:sz w:val="28"/>
        </w:rPr>
        <w:t>Financial Advisor</w:t>
      </w:r>
    </w:p>
    <w:p>
      <w:pPr>
        <w:jc w:val="center"/>
      </w:pPr>
      <w:r>
        <w:rPr>
          <w:rFonts w:ascii="Arial" w:hAnsi="Arial" w:eastAsia="Arial"/>
          <w:b/>
          <w:sz w:val="32"/>
        </w:rPr>
        <w:t>Dr. Talal bin Hassan Al-Zahrani</w:t>
      </w:r>
    </w:p>
    <w:p>
      <w:pPr>
        <w:jc w:val="center"/>
      </w:pPr>
      <w:r>
        <w:rPr>
          <w:rFonts w:ascii="Arial" w:hAnsi="Arial" w:eastAsia="Arial"/>
          <w:color w:val="666666"/>
          <w:sz w:val="24"/>
        </w:rPr>
        <w:t>+966 56 756 6616</w:t>
      </w:r>
    </w:p>
    <w:p>
      <w:r>
        <w:br w:type="page"/>
      </w:r>
    </w:p>
    <w:p>
      <w:pPr>
        <w:pStyle w:val="Heading1"/>
        <w:jc w:val="left"/>
      </w:pPr>
      <w:r>
        <w:rPr>
          <w:rFonts w:ascii="Arial" w:hAnsi="Arial" w:eastAsia="Arial"/>
          <w:color w:val="003366"/>
          <w:sz w:val="36"/>
        </w:rPr>
        <w:t>Executive Summary</w:t>
      </w:r>
    </w:p>
    <w:p>
      <w:pPr>
        <w:jc w:val="left"/>
      </w:pPr>
      <w:r>
        <w:rPr>
          <w:rFonts w:ascii="Arial" w:hAnsi="Arial" w:eastAsia="Arial"/>
          <w:b w:val="0"/>
          <w:i w:val="0"/>
          <w:color w:val="000000"/>
          <w:sz w:val="24"/>
        </w:rPr>
        <w:t>The Real Estate Asset Revitalization Company is established as a unique investment model aimed at revitalizing incomplete real estate assets in the Kingdom of Saudi Arabia through partnership agreements with property owners, without the need to purchase land or rely on external financing.</w:t>
      </w:r>
    </w:p>
    <w:p>
      <w:pPr>
        <w:jc w:val="left"/>
      </w:pPr>
      <w:r>
        <w:rPr>
          <w:rFonts w:ascii="Arial" w:hAnsi="Arial" w:eastAsia="Arial"/>
          <w:b w:val="0"/>
          <w:i w:val="0"/>
          <w:color w:val="000000"/>
          <w:sz w:val="24"/>
        </w:rPr>
        <w:t>The company operates legally as a closed joint stock company, fully funded by its founding shareholders, and adheres to the highest standards of the Saudi Building Code and finishing works, with comprehensive insurance coverage for all projects.</w:t>
      </w:r>
    </w:p>
    <w:p>
      <w:pPr>
        <w:pStyle w:val="Heading2"/>
        <w:jc w:val="left"/>
      </w:pPr>
      <w:r>
        <w:rPr>
          <w:rFonts w:ascii="Arial" w:hAnsi="Arial" w:eastAsia="Arial"/>
          <w:color w:val="D4A853"/>
          <w:sz w:val="28"/>
        </w:rPr>
        <w:t>Key Financial Indicators</w:t>
      </w:r>
    </w:p>
    <w:tbl>
      <w:tblPr>
        <w:tblStyle w:val="LightGrid-Accent1"/>
        <w:tblW w:type="auto" w:w="0"/>
        <w:jc w:val="left"/>
        <w:tblLayout w:type="autofit"/>
        <w:tblLook w:firstColumn="1" w:firstRow="1" w:lastColumn="0" w:lastRow="0" w:noHBand="0" w:noVBand="1" w:val="04A0"/>
      </w:tblPr>
      <w:tblGrid>
        <w:gridCol w:w="4514"/>
        <w:gridCol w:w="4514"/>
      </w:tblGrid>
      <w:tr>
        <w:tc>
          <w:tcPr>
            <w:tcW w:type="dxa" w:w="4514"/>
            <w:shd w:fill="0A0F1A"/>
          </w:tcPr>
          <w:p>
            <w:pPr>
              <w:jc w:val="left"/>
            </w:pPr>
            <w:r>
              <w:rPr>
                <w:rFonts w:ascii="Arial" w:hAnsi="Arial" w:eastAsia="Arial"/>
                <w:b/>
                <w:color w:val="FFFFFF"/>
              </w:rPr>
              <w:t>Indicator</w:t>
            </w:r>
          </w:p>
        </w:tc>
        <w:tc>
          <w:tcPr>
            <w:tcW w:type="dxa" w:w="4514"/>
            <w:shd w:fill="0A0F1A"/>
          </w:tcPr>
          <w:p>
            <w:pPr>
              <w:jc w:val="left"/>
            </w:pPr>
            <w:r>
              <w:rPr>
                <w:rFonts w:ascii="Arial" w:hAnsi="Arial" w:eastAsia="Arial"/>
                <w:b/>
                <w:color w:val="FFFFFF"/>
              </w:rPr>
              <w:t>Value</w:t>
            </w:r>
          </w:p>
        </w:tc>
      </w:tr>
      <w:tr>
        <w:tc>
          <w:tcPr>
            <w:tcW w:type="dxa" w:w="4514"/>
          </w:tcPr>
          <w:p>
            <w:pPr>
              <w:jc w:val="left"/>
            </w:pPr>
            <w:r>
              <w:rPr>
                <w:rFonts w:ascii="Arial" w:hAnsi="Arial" w:eastAsia="Arial"/>
              </w:rPr>
              <w:t>Authorized Capital</w:t>
            </w:r>
          </w:p>
        </w:tc>
        <w:tc>
          <w:tcPr>
            <w:tcW w:type="dxa" w:w="4514"/>
          </w:tcPr>
          <w:p>
            <w:pPr>
              <w:jc w:val="left"/>
            </w:pPr>
            <w:r>
              <w:rPr>
                <w:rFonts w:ascii="Arial" w:hAnsi="Arial" w:eastAsia="Arial"/>
              </w:rPr>
              <w:t>SAR 200 million</w:t>
            </w:r>
          </w:p>
        </w:tc>
      </w:tr>
      <w:tr>
        <w:tc>
          <w:tcPr>
            <w:tcW w:type="dxa" w:w="4514"/>
          </w:tcPr>
          <w:p>
            <w:pPr>
              <w:jc w:val="left"/>
            </w:pPr>
            <w:r>
              <w:rPr>
                <w:rFonts w:ascii="Arial" w:hAnsi="Arial" w:eastAsia="Arial"/>
              </w:rPr>
              <w:t>Total Target Investment</w:t>
            </w:r>
          </w:p>
        </w:tc>
        <w:tc>
          <w:tcPr>
            <w:tcW w:type="dxa" w:w="4514"/>
          </w:tcPr>
          <w:p>
            <w:pPr>
              <w:jc w:val="left"/>
            </w:pPr>
            <w:r>
              <w:rPr>
                <w:rFonts w:ascii="Arial" w:hAnsi="Arial" w:eastAsia="Arial"/>
              </w:rPr>
              <w:t>SAR 226 million</w:t>
            </w:r>
          </w:p>
        </w:tc>
      </w:tr>
      <w:tr>
        <w:tc>
          <w:tcPr>
            <w:tcW w:type="dxa" w:w="4514"/>
          </w:tcPr>
          <w:p>
            <w:pPr>
              <w:jc w:val="left"/>
            </w:pPr>
            <w:r>
              <w:rPr>
                <w:rFonts w:ascii="Arial" w:hAnsi="Arial" w:eastAsia="Arial"/>
              </w:rPr>
              <w:t>Initial Actual Investment</w:t>
            </w:r>
          </w:p>
        </w:tc>
        <w:tc>
          <w:tcPr>
            <w:tcW w:type="dxa" w:w="4514"/>
          </w:tcPr>
          <w:p>
            <w:pPr>
              <w:jc w:val="left"/>
            </w:pPr>
            <w:r>
              <w:rPr>
                <w:rFonts w:ascii="Arial" w:hAnsi="Arial" w:eastAsia="Arial"/>
              </w:rPr>
              <w:t>SAR 25 million</w:t>
            </w:r>
          </w:p>
        </w:tc>
      </w:tr>
      <w:tr>
        <w:tc>
          <w:tcPr>
            <w:tcW w:type="dxa" w:w="4514"/>
          </w:tcPr>
          <w:p>
            <w:pPr>
              <w:jc w:val="left"/>
            </w:pPr>
            <w:r>
              <w:rPr>
                <w:rFonts w:ascii="Arial" w:hAnsi="Arial" w:eastAsia="Arial"/>
              </w:rPr>
              <w:t>Expected IRR over 10 Years</w:t>
            </w:r>
          </w:p>
        </w:tc>
        <w:tc>
          <w:tcPr>
            <w:tcW w:type="dxa" w:w="4514"/>
          </w:tcPr>
          <w:p>
            <w:pPr>
              <w:jc w:val="left"/>
            </w:pPr>
            <w:r>
              <w:rPr>
                <w:rFonts w:ascii="Arial" w:hAnsi="Arial" w:eastAsia="Arial"/>
              </w:rPr>
              <w:t>19% - 20%</w:t>
            </w:r>
          </w:p>
        </w:tc>
      </w:tr>
      <w:tr>
        <w:tc>
          <w:tcPr>
            <w:tcW w:type="dxa" w:w="4514"/>
          </w:tcPr>
          <w:p>
            <w:pPr>
              <w:jc w:val="left"/>
            </w:pPr>
            <w:r>
              <w:rPr>
                <w:rFonts w:ascii="Arial" w:hAnsi="Arial" w:eastAsia="Arial"/>
              </w:rPr>
              <w:t>Capital Return Multiple at Exit</w:t>
            </w:r>
          </w:p>
        </w:tc>
        <w:tc>
          <w:tcPr>
            <w:tcW w:type="dxa" w:w="4514"/>
          </w:tcPr>
          <w:p>
            <w:pPr>
              <w:jc w:val="left"/>
            </w:pPr>
            <w:r>
              <w:rPr>
                <w:rFonts w:ascii="Arial" w:hAnsi="Arial" w:eastAsia="Arial"/>
              </w:rPr>
              <w:t>2.5x - 4x</w:t>
            </w:r>
          </w:p>
        </w:tc>
      </w:tr>
      <w:tr>
        <w:tc>
          <w:tcPr>
            <w:tcW w:type="dxa" w:w="4514"/>
          </w:tcPr>
          <w:p>
            <w:pPr>
              <w:jc w:val="left"/>
            </w:pPr>
            <w:r>
              <w:rPr>
                <w:rFonts w:ascii="Arial" w:hAnsi="Arial" w:eastAsia="Arial"/>
              </w:rPr>
              <w:t>Payback Period</w:t>
            </w:r>
          </w:p>
        </w:tc>
        <w:tc>
          <w:tcPr>
            <w:tcW w:type="dxa" w:w="4514"/>
          </w:tcPr>
          <w:p>
            <w:pPr>
              <w:jc w:val="left"/>
            </w:pPr>
            <w:r>
              <w:rPr>
                <w:rFonts w:ascii="Arial" w:hAnsi="Arial" w:eastAsia="Arial"/>
              </w:rPr>
              <w:t>5.5 years</w:t>
            </w:r>
          </w:p>
        </w:tc>
      </w:tr>
    </w:tbl>
    <w:p>
      <w:pPr>
        <w:pStyle w:val="Heading2"/>
        <w:jc w:val="left"/>
      </w:pPr>
      <w:r>
        <w:rPr>
          <w:rFonts w:ascii="Arial" w:hAnsi="Arial" w:eastAsia="Arial"/>
          <w:color w:val="D4A853"/>
          <w:sz w:val="28"/>
        </w:rPr>
        <w:t>Market Opportunity</w:t>
      </w:r>
    </w:p>
    <w:p>
      <w:pPr>
        <w:pStyle w:val="ListBullet"/>
        <w:jc w:val="left"/>
      </w:pPr>
      <w:r>
        <w:rPr>
          <w:rFonts w:ascii="Arial" w:hAnsi="Arial" w:eastAsia="Arial"/>
          <w:sz w:val="22"/>
        </w:rPr>
        <w:t>Saudi Arabia is witnessing unprecedented real estate growth driven by Vision 2030 and its massive development projects.</w:t>
      </w:r>
    </w:p>
    <w:p>
      <w:pPr>
        <w:pStyle w:val="ListBullet"/>
        <w:jc w:val="left"/>
      </w:pPr>
      <w:r>
        <w:rPr>
          <w:rFonts w:ascii="Arial" w:hAnsi="Arial" w:eastAsia="Arial"/>
          <w:sz w:val="22"/>
        </w:rPr>
        <w:t>Thousands of incomplete real estate assets are available due to lack of liquidity or execution expertise.</w:t>
      </w:r>
    </w:p>
    <w:p>
      <w:pPr>
        <w:pStyle w:val="ListBullet"/>
        <w:jc w:val="left"/>
      </w:pPr>
      <w:r>
        <w:rPr>
          <w:rFonts w:ascii="Arial" w:hAnsi="Arial" w:eastAsia="Arial"/>
          <w:sz w:val="22"/>
        </w:rPr>
        <w:t>Demand for ready-built units exceeds supply in major cities.</w:t>
      </w:r>
    </w:p>
    <w:p>
      <w:pPr>
        <w:pStyle w:val="ListBullet"/>
        <w:jc w:val="left"/>
      </w:pPr>
      <w:r>
        <w:rPr>
          <w:rFonts w:ascii="Arial" w:hAnsi="Arial" w:eastAsia="Arial"/>
          <w:sz w:val="22"/>
        </w:rPr>
        <w:t>Riyadh and Jeddah record high rental yields reaching 8.89% and 7.89% respectively.</w:t>
      </w:r>
    </w:p>
    <w:p>
      <w:pPr>
        <w:pStyle w:val="Heading2"/>
        <w:jc w:val="left"/>
      </w:pPr>
      <w:r>
        <w:rPr>
          <w:rFonts w:ascii="Arial" w:hAnsi="Arial" w:eastAsia="Arial"/>
          <w:color w:val="D4A853"/>
          <w:sz w:val="28"/>
        </w:rPr>
        <w:t>Business Model</w:t>
      </w:r>
    </w:p>
    <w:p>
      <w:pPr>
        <w:pStyle w:val="ListBullet"/>
        <w:jc w:val="left"/>
      </w:pPr>
      <w:r>
        <w:rPr>
          <w:rFonts w:ascii="Arial" w:hAnsi="Arial" w:eastAsia="Arial"/>
          <w:sz w:val="22"/>
        </w:rPr>
        <w:t>Partnership (Muhassah) with the owner of the incomplete asset.</w:t>
      </w:r>
    </w:p>
    <w:p>
      <w:pPr>
        <w:pStyle w:val="ListBullet"/>
        <w:jc w:val="left"/>
      </w:pPr>
      <w:r>
        <w:rPr>
          <w:rFonts w:ascii="Arial" w:hAnsi="Arial" w:eastAsia="Arial"/>
          <w:sz w:val="22"/>
        </w:rPr>
        <w:t>The company bears finishing, marketing, and selling costs.</w:t>
      </w:r>
    </w:p>
    <w:p>
      <w:pPr>
        <w:pStyle w:val="ListBullet"/>
        <w:jc w:val="left"/>
      </w:pPr>
      <w:r>
        <w:rPr>
          <w:rFonts w:ascii="Arial" w:hAnsi="Arial" w:eastAsia="Arial"/>
          <w:sz w:val="22"/>
        </w:rPr>
        <w:t>The owner retains property ownership throughout the project.</w:t>
      </w:r>
    </w:p>
    <w:p>
      <w:pPr>
        <w:pStyle w:val="ListBullet"/>
        <w:jc w:val="left"/>
      </w:pPr>
      <w:r>
        <w:rPr>
          <w:rFonts w:ascii="Arial" w:hAnsi="Arial" w:eastAsia="Arial"/>
          <w:sz w:val="22"/>
        </w:rPr>
        <w:t>Profits are distributed between the company and the owner according to the signed contract.</w:t>
      </w:r>
    </w:p>
    <w:p>
      <w:r>
        <w:br w:type="page"/>
      </w:r>
    </w:p>
    <w:p>
      <w:pPr>
        <w:pStyle w:val="Heading1"/>
        <w:jc w:val="left"/>
      </w:pPr>
      <w:r>
        <w:rPr>
          <w:rFonts w:ascii="Arial" w:hAnsi="Arial" w:eastAsia="Arial"/>
          <w:color w:val="003366"/>
          <w:sz w:val="36"/>
        </w:rPr>
        <w:t>1. Company Overview</w:t>
      </w:r>
    </w:p>
    <w:p>
      <w:pPr>
        <w:pStyle w:val="Heading2"/>
        <w:jc w:val="left"/>
      </w:pPr>
      <w:r>
        <w:rPr>
          <w:rFonts w:ascii="Arial" w:hAnsi="Arial" w:eastAsia="Arial"/>
          <w:color w:val="D4A853"/>
          <w:sz w:val="28"/>
        </w:rPr>
        <w:t>1.1 Vision</w:t>
      </w:r>
    </w:p>
    <w:p>
      <w:pPr>
        <w:jc w:val="left"/>
      </w:pPr>
      <w:r>
        <w:rPr>
          <w:rFonts w:ascii="Arial" w:hAnsi="Arial" w:eastAsia="Arial"/>
          <w:b w:val="0"/>
          <w:i w:val="0"/>
          <w:color w:val="000000"/>
          <w:sz w:val="24"/>
        </w:rPr>
        <w:t>To be the preferred strategic partner for owners of incomplete real estate assets in the Kingdom of Saudi Arabia, by providing professional solutions to revitalize their assets and maximize value for them and the shareholders.</w:t>
      </w:r>
    </w:p>
    <w:p>
      <w:pPr>
        <w:pStyle w:val="Heading2"/>
        <w:jc w:val="left"/>
      </w:pPr>
      <w:r>
        <w:rPr>
          <w:rFonts w:ascii="Arial" w:hAnsi="Arial" w:eastAsia="Arial"/>
          <w:color w:val="D4A853"/>
          <w:sz w:val="28"/>
        </w:rPr>
        <w:t>1.2 Mission</w:t>
      </w:r>
    </w:p>
    <w:p>
      <w:pPr>
        <w:jc w:val="left"/>
      </w:pPr>
      <w:r>
        <w:rPr>
          <w:rFonts w:ascii="Arial" w:hAnsi="Arial" w:eastAsia="Arial"/>
          <w:b w:val="0"/>
          <w:i w:val="0"/>
          <w:color w:val="000000"/>
          <w:sz w:val="24"/>
        </w:rPr>
        <w:t>Revitalize incomplete real estate assets with high standards of quality and compliance, through a sustainable financial model that generates returns for partners while preserving the rights of asset owners.</w:t>
      </w:r>
    </w:p>
    <w:p>
      <w:pPr>
        <w:pStyle w:val="Heading2"/>
        <w:jc w:val="left"/>
      </w:pPr>
      <w:r>
        <w:rPr>
          <w:rFonts w:ascii="Arial" w:hAnsi="Arial" w:eastAsia="Arial"/>
          <w:color w:val="D4A853"/>
          <w:sz w:val="28"/>
        </w:rPr>
        <w:t>1.3 Core Values</w:t>
      </w:r>
    </w:p>
    <w:p>
      <w:pPr>
        <w:pStyle w:val="ListBullet"/>
        <w:jc w:val="left"/>
      </w:pPr>
      <w:r>
        <w:rPr>
          <w:rFonts w:ascii="Arial" w:hAnsi="Arial" w:eastAsia="Arial"/>
          <w:sz w:val="22"/>
        </w:rPr>
        <w:t>Respect: Respecting the asset owner and his property rights at every stage of the project.</w:t>
      </w:r>
    </w:p>
    <w:p>
      <w:pPr>
        <w:pStyle w:val="ListBullet"/>
        <w:jc w:val="left"/>
      </w:pPr>
      <w:r>
        <w:rPr>
          <w:rFonts w:ascii="Arial" w:hAnsi="Arial" w:eastAsia="Arial"/>
          <w:sz w:val="22"/>
        </w:rPr>
        <w:t>Quality: Compliance with the Saudi Building Code and highest finishing and safety standards.</w:t>
      </w:r>
    </w:p>
    <w:p>
      <w:pPr>
        <w:pStyle w:val="ListBullet"/>
        <w:jc w:val="left"/>
      </w:pPr>
      <w:r>
        <w:rPr>
          <w:rFonts w:ascii="Arial" w:hAnsi="Arial" w:eastAsia="Arial"/>
          <w:sz w:val="22"/>
        </w:rPr>
        <w:t>Transparency: Full clarity in contracts, financial reports, and operational reporting.</w:t>
      </w:r>
    </w:p>
    <w:p>
      <w:pPr>
        <w:pStyle w:val="ListBullet"/>
        <w:jc w:val="left"/>
      </w:pPr>
      <w:r>
        <w:rPr>
          <w:rFonts w:ascii="Arial" w:hAnsi="Arial" w:eastAsia="Arial"/>
          <w:sz w:val="22"/>
        </w:rPr>
        <w:t>Sustainability: Building a long-term economic model that creates value for all parties.</w:t>
      </w:r>
    </w:p>
    <w:p>
      <w:pPr>
        <w:pStyle w:val="ListBullet"/>
        <w:jc w:val="left"/>
      </w:pPr>
      <w:r>
        <w:rPr>
          <w:rFonts w:ascii="Arial" w:hAnsi="Arial" w:eastAsia="Arial"/>
          <w:sz w:val="22"/>
        </w:rPr>
        <w:t>Innovation: Using technology and smart solutions to improve efficiency and reduce risks.</w:t>
      </w:r>
    </w:p>
    <w:p>
      <w:pPr>
        <w:pStyle w:val="Heading2"/>
        <w:jc w:val="left"/>
      </w:pPr>
      <w:r>
        <w:rPr>
          <w:rFonts w:ascii="Arial" w:hAnsi="Arial" w:eastAsia="Arial"/>
          <w:color w:val="D4A853"/>
          <w:sz w:val="28"/>
        </w:rPr>
        <w:t>1.4 Legal Structure</w:t>
      </w:r>
    </w:p>
    <w:p>
      <w:pPr>
        <w:jc w:val="left"/>
      </w:pPr>
      <w:r>
        <w:rPr>
          <w:rFonts w:ascii="Arial" w:hAnsi="Arial" w:eastAsia="Arial"/>
          <w:b w:val="0"/>
          <w:i w:val="0"/>
          <w:color w:val="000000"/>
          <w:sz w:val="24"/>
        </w:rPr>
        <w:t>The company is established as a closed joint stock company, licensed by the Ministry of Commerce and the Real Estate General Authority (REGA), in accordance with the Saudi Companies Law. This structure allows raising capital from founding shareholders while maintaining management flexibility and fast decision-making.</w:t>
      </w:r>
    </w:p>
    <w:p>
      <w:pPr>
        <w:pStyle w:val="Heading2"/>
        <w:jc w:val="left"/>
      </w:pPr>
      <w:r>
        <w:rPr>
          <w:rFonts w:ascii="Arial" w:hAnsi="Arial" w:eastAsia="Arial"/>
          <w:color w:val="D4A853"/>
          <w:sz w:val="28"/>
        </w:rPr>
        <w:t>1.5 Capital and Ownership Structure</w:t>
      </w:r>
    </w:p>
    <w:tbl>
      <w:tblPr>
        <w:tblStyle w:val="LightGrid-Accent1"/>
        <w:tblW w:type="auto" w:w="0"/>
        <w:jc w:val="left"/>
        <w:tblLayout w:type="autofit"/>
        <w:tblLook w:firstColumn="1" w:firstRow="1" w:lastColumn="0" w:lastRow="0" w:noHBand="0" w:noVBand="1" w:val="04A0"/>
      </w:tblPr>
      <w:tblGrid>
        <w:gridCol w:w="4514"/>
        <w:gridCol w:w="4514"/>
      </w:tblGrid>
      <w:tr>
        <w:tc>
          <w:tcPr>
            <w:tcW w:type="dxa" w:w="4514"/>
            <w:shd w:fill="0A0F1A"/>
          </w:tcPr>
          <w:p>
            <w:pPr>
              <w:jc w:val="left"/>
            </w:pPr>
            <w:r>
              <w:rPr>
                <w:rFonts w:ascii="Arial" w:hAnsi="Arial" w:eastAsia="Arial"/>
                <w:b/>
                <w:color w:val="FFFFFF"/>
              </w:rPr>
              <w:t>Item</w:t>
            </w:r>
          </w:p>
        </w:tc>
        <w:tc>
          <w:tcPr>
            <w:tcW w:type="dxa" w:w="4514"/>
            <w:shd w:fill="0A0F1A"/>
          </w:tcPr>
          <w:p>
            <w:pPr>
              <w:jc w:val="left"/>
            </w:pPr>
            <w:r>
              <w:rPr>
                <w:rFonts w:ascii="Arial" w:hAnsi="Arial" w:eastAsia="Arial"/>
                <w:b/>
                <w:color w:val="FFFFFF"/>
              </w:rPr>
              <w:t>Value</w:t>
            </w:r>
          </w:p>
        </w:tc>
      </w:tr>
      <w:tr>
        <w:tc>
          <w:tcPr>
            <w:tcW w:type="dxa" w:w="4514"/>
          </w:tcPr>
          <w:p>
            <w:pPr>
              <w:jc w:val="left"/>
            </w:pPr>
            <w:r>
              <w:rPr>
                <w:rFonts w:ascii="Arial" w:hAnsi="Arial" w:eastAsia="Arial"/>
              </w:rPr>
              <w:t>Authorized Capital</w:t>
            </w:r>
          </w:p>
        </w:tc>
        <w:tc>
          <w:tcPr>
            <w:tcW w:type="dxa" w:w="4514"/>
          </w:tcPr>
          <w:p>
            <w:pPr>
              <w:jc w:val="left"/>
            </w:pPr>
            <w:r>
              <w:rPr>
                <w:rFonts w:ascii="Arial" w:hAnsi="Arial" w:eastAsia="Arial"/>
              </w:rPr>
              <w:t>SAR 200,000,000</w:t>
            </w:r>
          </w:p>
        </w:tc>
      </w:tr>
      <w:tr>
        <w:tc>
          <w:tcPr>
            <w:tcW w:type="dxa" w:w="4514"/>
          </w:tcPr>
          <w:p>
            <w:pPr>
              <w:jc w:val="left"/>
            </w:pPr>
            <w:r>
              <w:rPr>
                <w:rFonts w:ascii="Arial" w:hAnsi="Arial" w:eastAsia="Arial"/>
              </w:rPr>
              <w:t>Number of Shares</w:t>
            </w:r>
          </w:p>
        </w:tc>
        <w:tc>
          <w:tcPr>
            <w:tcW w:type="dxa" w:w="4514"/>
          </w:tcPr>
          <w:p>
            <w:pPr>
              <w:jc w:val="left"/>
            </w:pPr>
            <w:r>
              <w:rPr>
                <w:rFonts w:ascii="Arial" w:hAnsi="Arial" w:eastAsia="Arial"/>
              </w:rPr>
              <w:t>40,000 shares</w:t>
            </w:r>
          </w:p>
        </w:tc>
      </w:tr>
      <w:tr>
        <w:tc>
          <w:tcPr>
            <w:tcW w:type="dxa" w:w="4514"/>
          </w:tcPr>
          <w:p>
            <w:pPr>
              <w:jc w:val="left"/>
            </w:pPr>
            <w:r>
              <w:rPr>
                <w:rFonts w:ascii="Arial" w:hAnsi="Arial" w:eastAsia="Arial"/>
              </w:rPr>
              <w:t>Nominal Value per Share</w:t>
            </w:r>
          </w:p>
        </w:tc>
        <w:tc>
          <w:tcPr>
            <w:tcW w:type="dxa" w:w="4514"/>
          </w:tcPr>
          <w:p>
            <w:pPr>
              <w:jc w:val="left"/>
            </w:pPr>
            <w:r>
              <w:rPr>
                <w:rFonts w:ascii="Arial" w:hAnsi="Arial" w:eastAsia="Arial"/>
              </w:rPr>
              <w:t>SAR 5,000</w:t>
            </w:r>
          </w:p>
        </w:tc>
      </w:tr>
      <w:tr>
        <w:tc>
          <w:tcPr>
            <w:tcW w:type="dxa" w:w="4514"/>
          </w:tcPr>
          <w:p>
            <w:pPr>
              <w:jc w:val="left"/>
            </w:pPr>
            <w:r>
              <w:rPr>
                <w:rFonts w:ascii="Arial" w:hAnsi="Arial" w:eastAsia="Arial"/>
              </w:rPr>
              <w:t>Actual Value per Share</w:t>
            </w:r>
          </w:p>
        </w:tc>
        <w:tc>
          <w:tcPr>
            <w:tcW w:type="dxa" w:w="4514"/>
          </w:tcPr>
          <w:p>
            <w:pPr>
              <w:jc w:val="left"/>
            </w:pPr>
            <w:r>
              <w:rPr>
                <w:rFonts w:ascii="Arial" w:hAnsi="Arial" w:eastAsia="Arial"/>
              </w:rPr>
              <w:t>SAR 5,650</w:t>
            </w:r>
          </w:p>
        </w:tc>
      </w:tr>
      <w:tr>
        <w:tc>
          <w:tcPr>
            <w:tcW w:type="dxa" w:w="4514"/>
          </w:tcPr>
          <w:p>
            <w:pPr>
              <w:jc w:val="left"/>
            </w:pPr>
            <w:r>
              <w:rPr>
                <w:rFonts w:ascii="Arial" w:hAnsi="Arial" w:eastAsia="Arial"/>
              </w:rPr>
              <w:t>Issue Premium and Establishment Costs</w:t>
            </w:r>
          </w:p>
        </w:tc>
        <w:tc>
          <w:tcPr>
            <w:tcW w:type="dxa" w:w="4514"/>
          </w:tcPr>
          <w:p>
            <w:pPr>
              <w:jc w:val="left"/>
            </w:pPr>
            <w:r>
              <w:rPr>
                <w:rFonts w:ascii="Arial" w:hAnsi="Arial" w:eastAsia="Arial"/>
              </w:rPr>
              <w:t>SAR 26,000,000</w:t>
            </w:r>
          </w:p>
        </w:tc>
      </w:tr>
      <w:tr>
        <w:tc>
          <w:tcPr>
            <w:tcW w:type="dxa" w:w="4514"/>
          </w:tcPr>
          <w:p>
            <w:pPr>
              <w:jc w:val="left"/>
            </w:pPr>
            <w:r>
              <w:rPr>
                <w:rFonts w:ascii="Arial" w:hAnsi="Arial" w:eastAsia="Arial"/>
              </w:rPr>
              <w:t>Total Target Investment</w:t>
            </w:r>
          </w:p>
        </w:tc>
        <w:tc>
          <w:tcPr>
            <w:tcW w:type="dxa" w:w="4514"/>
          </w:tcPr>
          <w:p>
            <w:pPr>
              <w:jc w:val="left"/>
            </w:pPr>
            <w:r>
              <w:rPr>
                <w:rFonts w:ascii="Arial" w:hAnsi="Arial" w:eastAsia="Arial"/>
              </w:rPr>
              <w:t>SAR 226,000,000</w:t>
            </w:r>
          </w:p>
        </w:tc>
      </w:tr>
    </w:tbl>
    <w:p>
      <w:r>
        <w:br w:type="page"/>
      </w:r>
    </w:p>
    <w:p>
      <w:pPr>
        <w:pStyle w:val="Heading1"/>
        <w:jc w:val="left"/>
      </w:pPr>
      <w:r>
        <w:rPr>
          <w:rFonts w:ascii="Arial" w:hAnsi="Arial" w:eastAsia="Arial"/>
          <w:color w:val="003366"/>
          <w:sz w:val="36"/>
        </w:rPr>
        <w:t>2. Market Analysis</w:t>
      </w:r>
    </w:p>
    <w:p>
      <w:pPr>
        <w:pStyle w:val="Heading2"/>
        <w:jc w:val="left"/>
      </w:pPr>
      <w:r>
        <w:rPr>
          <w:rFonts w:ascii="Arial" w:hAnsi="Arial" w:eastAsia="Arial"/>
          <w:color w:val="D4A853"/>
          <w:sz w:val="28"/>
        </w:rPr>
        <w:t>2.1 Overview of the Saudi Real Estate Market</w:t>
      </w:r>
    </w:p>
    <w:p>
      <w:pPr>
        <w:jc w:val="left"/>
      </w:pPr>
      <w:r>
        <w:rPr>
          <w:rFonts w:ascii="Arial" w:hAnsi="Arial" w:eastAsia="Arial"/>
          <w:b w:val="0"/>
          <w:i w:val="0"/>
          <w:color w:val="000000"/>
          <w:sz w:val="24"/>
        </w:rPr>
        <w:t>The real estate investment and development sector in the Kingdom of Saudi Arabia is undergoing a radical transformation, driven by Vision 2030 and massive development projects. The sector is maturing, with real demand dynamics becoming tangible in consumer and investor behavior.</w:t>
      </w:r>
    </w:p>
    <w:p>
      <w:pPr>
        <w:pStyle w:val="Heading2"/>
        <w:jc w:val="left"/>
      </w:pPr>
      <w:r>
        <w:rPr>
          <w:rFonts w:ascii="Arial" w:hAnsi="Arial" w:eastAsia="Arial"/>
          <w:color w:val="D4A853"/>
          <w:sz w:val="28"/>
        </w:rPr>
        <w:t>2.2 Key Indicators</w:t>
      </w:r>
    </w:p>
    <w:tbl>
      <w:tblPr>
        <w:tblStyle w:val="LightGrid-Accent1"/>
        <w:tblW w:type="auto" w:w="0"/>
        <w:jc w:val="left"/>
        <w:tblLayout w:type="autofit"/>
        <w:tblLook w:firstColumn="1" w:firstRow="1" w:lastColumn="0" w:lastRow="0" w:noHBand="0" w:noVBand="1" w:val="04A0"/>
      </w:tblPr>
      <w:tblGrid>
        <w:gridCol w:w="4514"/>
        <w:gridCol w:w="4514"/>
      </w:tblGrid>
      <w:tr>
        <w:tc>
          <w:tcPr>
            <w:tcW w:type="dxa" w:w="4514"/>
            <w:shd w:fill="0A0F1A"/>
          </w:tcPr>
          <w:p>
            <w:pPr>
              <w:jc w:val="left"/>
            </w:pPr>
            <w:r>
              <w:rPr>
                <w:rFonts w:ascii="Arial" w:hAnsi="Arial" w:eastAsia="Arial"/>
                <w:b/>
                <w:color w:val="FFFFFF"/>
              </w:rPr>
              <w:t>Indicator</w:t>
            </w:r>
          </w:p>
        </w:tc>
        <w:tc>
          <w:tcPr>
            <w:tcW w:type="dxa" w:w="4514"/>
            <w:shd w:fill="0A0F1A"/>
          </w:tcPr>
          <w:p>
            <w:pPr>
              <w:jc w:val="left"/>
            </w:pPr>
            <w:r>
              <w:rPr>
                <w:rFonts w:ascii="Arial" w:hAnsi="Arial" w:eastAsia="Arial"/>
                <w:b/>
                <w:color w:val="FFFFFF"/>
              </w:rPr>
              <w:t>Value</w:t>
            </w:r>
          </w:p>
        </w:tc>
      </w:tr>
      <w:tr>
        <w:tc>
          <w:tcPr>
            <w:tcW w:type="dxa" w:w="4514"/>
          </w:tcPr>
          <w:p>
            <w:pPr>
              <w:jc w:val="left"/>
            </w:pPr>
            <w:r>
              <w:rPr>
                <w:rFonts w:ascii="Arial" w:hAnsi="Arial" w:eastAsia="Arial"/>
              </w:rPr>
              <w:t>Average Rental Yield in Riyadh</w:t>
            </w:r>
          </w:p>
        </w:tc>
        <w:tc>
          <w:tcPr>
            <w:tcW w:type="dxa" w:w="4514"/>
          </w:tcPr>
          <w:p>
            <w:pPr>
              <w:jc w:val="left"/>
            </w:pPr>
            <w:r>
              <w:rPr>
                <w:rFonts w:ascii="Arial" w:hAnsi="Arial" w:eastAsia="Arial"/>
              </w:rPr>
              <w:t>8.89%</w:t>
            </w:r>
          </w:p>
        </w:tc>
      </w:tr>
      <w:tr>
        <w:tc>
          <w:tcPr>
            <w:tcW w:type="dxa" w:w="4514"/>
          </w:tcPr>
          <w:p>
            <w:pPr>
              <w:jc w:val="left"/>
            </w:pPr>
            <w:r>
              <w:rPr>
                <w:rFonts w:ascii="Arial" w:hAnsi="Arial" w:eastAsia="Arial"/>
              </w:rPr>
              <w:t>Average Rental Yield in Jeddah</w:t>
            </w:r>
          </w:p>
        </w:tc>
        <w:tc>
          <w:tcPr>
            <w:tcW w:type="dxa" w:w="4514"/>
          </w:tcPr>
          <w:p>
            <w:pPr>
              <w:jc w:val="left"/>
            </w:pPr>
            <w:r>
              <w:rPr>
                <w:rFonts w:ascii="Arial" w:hAnsi="Arial" w:eastAsia="Arial"/>
              </w:rPr>
              <w:t>7.89%</w:t>
            </w:r>
          </w:p>
        </w:tc>
      </w:tr>
      <w:tr>
        <w:tc>
          <w:tcPr>
            <w:tcW w:type="dxa" w:w="4514"/>
          </w:tcPr>
          <w:p>
            <w:pPr>
              <w:jc w:val="left"/>
            </w:pPr>
            <w:r>
              <w:rPr>
                <w:rFonts w:ascii="Arial" w:hAnsi="Arial" w:eastAsia="Arial"/>
              </w:rPr>
              <w:t>Real Estate Transaction Growth (2025)</w:t>
            </w:r>
          </w:p>
        </w:tc>
        <w:tc>
          <w:tcPr>
            <w:tcW w:type="dxa" w:w="4514"/>
          </w:tcPr>
          <w:p>
            <w:pPr>
              <w:jc w:val="left"/>
            </w:pPr>
            <w:r>
              <w:rPr>
                <w:rFonts w:ascii="Arial" w:hAnsi="Arial" w:eastAsia="Arial"/>
              </w:rPr>
              <w:t>+14.2%</w:t>
            </w:r>
          </w:p>
        </w:tc>
      </w:tr>
      <w:tr>
        <w:tc>
          <w:tcPr>
            <w:tcW w:type="dxa" w:w="4514"/>
          </w:tcPr>
          <w:p>
            <w:pPr>
              <w:jc w:val="left"/>
            </w:pPr>
            <w:r>
              <w:rPr>
                <w:rFonts w:ascii="Arial" w:hAnsi="Arial" w:eastAsia="Arial"/>
              </w:rPr>
              <w:t>Total Real Estate Financing Volume</w:t>
            </w:r>
          </w:p>
        </w:tc>
        <w:tc>
          <w:tcPr>
            <w:tcW w:type="dxa" w:w="4514"/>
          </w:tcPr>
          <w:p>
            <w:pPr>
              <w:jc w:val="left"/>
            </w:pPr>
            <w:r>
              <w:rPr>
                <w:rFonts w:ascii="Arial" w:hAnsi="Arial" w:eastAsia="Arial"/>
              </w:rPr>
              <w:t>SAR 730 billion</w:t>
            </w:r>
          </w:p>
        </w:tc>
      </w:tr>
      <w:tr>
        <w:tc>
          <w:tcPr>
            <w:tcW w:type="dxa" w:w="4514"/>
          </w:tcPr>
          <w:p>
            <w:pPr>
              <w:jc w:val="left"/>
            </w:pPr>
            <w:r>
              <w:rPr>
                <w:rFonts w:ascii="Arial" w:hAnsi="Arial" w:eastAsia="Arial"/>
              </w:rPr>
              <w:t>Average Price-to-Demand Gap</w:t>
            </w:r>
          </w:p>
        </w:tc>
        <w:tc>
          <w:tcPr>
            <w:tcW w:type="dxa" w:w="4514"/>
          </w:tcPr>
          <w:p>
            <w:pPr>
              <w:jc w:val="left"/>
            </w:pPr>
            <w:r>
              <w:rPr>
                <w:rFonts w:ascii="Arial" w:hAnsi="Arial" w:eastAsia="Arial"/>
              </w:rPr>
              <w:t>6%</w:t>
            </w:r>
          </w:p>
        </w:tc>
      </w:tr>
      <w:tr>
        <w:tc>
          <w:tcPr>
            <w:tcW w:type="dxa" w:w="4514"/>
          </w:tcPr>
          <w:p>
            <w:pPr>
              <w:jc w:val="left"/>
            </w:pPr>
            <w:r>
              <w:rPr>
                <w:rFonts w:ascii="Arial" w:hAnsi="Arial" w:eastAsia="Arial"/>
              </w:rPr>
              <w:t>New Construction Premium</w:t>
            </w:r>
          </w:p>
        </w:tc>
        <w:tc>
          <w:tcPr>
            <w:tcW w:type="dxa" w:w="4514"/>
          </w:tcPr>
          <w:p>
            <w:pPr>
              <w:jc w:val="left"/>
            </w:pPr>
            <w:r>
              <w:rPr>
                <w:rFonts w:ascii="Arial" w:hAnsi="Arial" w:eastAsia="Arial"/>
              </w:rPr>
              <w:t>+25%</w:t>
            </w:r>
          </w:p>
        </w:tc>
      </w:tr>
    </w:tbl>
    <w:p>
      <w:pPr>
        <w:pStyle w:val="Heading2"/>
        <w:jc w:val="left"/>
      </w:pPr>
      <w:r>
        <w:rPr>
          <w:rFonts w:ascii="Arial" w:hAnsi="Arial" w:eastAsia="Arial"/>
          <w:color w:val="D4A853"/>
          <w:sz w:val="28"/>
        </w:rPr>
        <w:t>2.3 Growth Drivers</w:t>
      </w:r>
    </w:p>
    <w:p>
      <w:pPr>
        <w:pStyle w:val="ListBullet"/>
        <w:jc w:val="left"/>
      </w:pPr>
      <w:r>
        <w:rPr>
          <w:rFonts w:ascii="Arial" w:hAnsi="Arial" w:eastAsia="Arial"/>
          <w:sz w:val="22"/>
        </w:rPr>
        <w:t>Vision 2030 and mega projects such as NEOM, Diriyah, Red Sea Project, and Roshn.</w:t>
      </w:r>
    </w:p>
    <w:p>
      <w:pPr>
        <w:pStyle w:val="ListBullet"/>
        <w:jc w:val="left"/>
      </w:pPr>
      <w:r>
        <w:rPr>
          <w:rFonts w:ascii="Arial" w:hAnsi="Arial" w:eastAsia="Arial"/>
          <w:sz w:val="22"/>
        </w:rPr>
        <w:t>"Sakani" housing finance programs targeting medium-sized units (70 - 120 m²).</w:t>
      </w:r>
    </w:p>
    <w:p>
      <w:pPr>
        <w:pStyle w:val="ListBullet"/>
        <w:jc w:val="left"/>
      </w:pPr>
      <w:r>
        <w:rPr>
          <w:rFonts w:ascii="Arial" w:hAnsi="Arial" w:eastAsia="Arial"/>
          <w:sz w:val="22"/>
        </w:rPr>
        <w:t>Salary growth and trend toward smaller, more efficient spaces.</w:t>
      </w:r>
    </w:p>
    <w:p>
      <w:pPr>
        <w:pStyle w:val="ListBullet"/>
        <w:jc w:val="left"/>
      </w:pPr>
      <w:r>
        <w:rPr>
          <w:rFonts w:ascii="Arial" w:hAnsi="Arial" w:eastAsia="Arial"/>
          <w:sz w:val="22"/>
        </w:rPr>
        <w:t>Internal migration toward major cities and the capital Riyadh.</w:t>
      </w:r>
    </w:p>
    <w:p>
      <w:pPr>
        <w:pStyle w:val="ListBullet"/>
        <w:jc w:val="left"/>
      </w:pPr>
      <w:r>
        <w:rPr>
          <w:rFonts w:ascii="Arial" w:hAnsi="Arial" w:eastAsia="Arial"/>
          <w:sz w:val="22"/>
        </w:rPr>
        <w:t>Recovery of the rental market and attractive rental yields.</w:t>
      </w:r>
    </w:p>
    <w:p>
      <w:pPr>
        <w:pStyle w:val="Heading2"/>
        <w:jc w:val="left"/>
      </w:pPr>
      <w:r>
        <w:rPr>
          <w:rFonts w:ascii="Arial" w:hAnsi="Arial" w:eastAsia="Arial"/>
          <w:color w:val="D4A853"/>
          <w:sz w:val="28"/>
        </w:rPr>
        <w:t>2.4 Target Areas</w:t>
      </w:r>
    </w:p>
    <w:p>
      <w:pPr>
        <w:jc w:val="left"/>
      </w:pPr>
      <w:r>
        <w:rPr>
          <w:rFonts w:ascii="Arial" w:hAnsi="Arial" w:eastAsia="Arial"/>
          <w:b/>
          <w:i w:val="0"/>
          <w:color w:val="000000"/>
          <w:sz w:val="24"/>
        </w:rPr>
        <w:t>Riyadh:</w:t>
      </w:r>
    </w:p>
    <w:p>
      <w:pPr>
        <w:pStyle w:val="ListBullet"/>
        <w:jc w:val="left"/>
      </w:pPr>
      <w:r>
        <w:rPr>
          <w:rFonts w:ascii="Arial" w:hAnsi="Arial" w:eastAsia="Arial"/>
          <w:sz w:val="22"/>
        </w:rPr>
        <w:t>Premium North: Al-Aqeeq, Hittin, Al-Malqa - attracts executives and offers high rental yields.</w:t>
      </w:r>
    </w:p>
    <w:p>
      <w:pPr>
        <w:pStyle w:val="ListBullet"/>
        <w:jc w:val="left"/>
      </w:pPr>
      <w:r>
        <w:rPr>
          <w:rFonts w:ascii="Arial" w:hAnsi="Arial" w:eastAsia="Arial"/>
          <w:sz w:val="22"/>
        </w:rPr>
        <w:t>Northeast: Al-Munsiyah, Al-Rimal, Al-Yasmin, Al-Narjis - high population density and modern infrastructure.</w:t>
      </w:r>
    </w:p>
    <w:p>
      <w:pPr>
        <w:jc w:val="left"/>
      </w:pPr>
      <w:r>
        <w:rPr>
          <w:rFonts w:ascii="Arial" w:hAnsi="Arial" w:eastAsia="Arial"/>
          <w:b/>
          <w:i w:val="0"/>
          <w:color w:val="000000"/>
          <w:sz w:val="24"/>
        </w:rPr>
        <w:t>Jeddah:</w:t>
      </w:r>
    </w:p>
    <w:p>
      <w:pPr>
        <w:pStyle w:val="ListBullet"/>
        <w:jc w:val="left"/>
      </w:pPr>
      <w:r>
        <w:rPr>
          <w:rFonts w:ascii="Arial" w:hAnsi="Arial" w:eastAsia="Arial"/>
          <w:sz w:val="22"/>
        </w:rPr>
        <w:t>North Coast: Abhur Al-Shamaliyah, Al-Sawari - promising residential and tourism future.</w:t>
      </w:r>
    </w:p>
    <w:p>
      <w:pPr>
        <w:pStyle w:val="ListBullet"/>
        <w:jc w:val="left"/>
      </w:pPr>
      <w:r>
        <w:rPr>
          <w:rFonts w:ascii="Arial" w:hAnsi="Arial" w:eastAsia="Arial"/>
          <w:sz w:val="22"/>
        </w:rPr>
        <w:t>Vibrant Central: Al-Hamra, Al-Naeem, Al-Zahra, Al-Salama - stable rental yields and continuous commercial activity.</w:t>
      </w:r>
    </w:p>
    <w:p>
      <w:pPr>
        <w:pStyle w:val="Heading2"/>
        <w:jc w:val="left"/>
      </w:pPr>
      <w:r>
        <w:rPr>
          <w:rFonts w:ascii="Arial" w:hAnsi="Arial" w:eastAsia="Arial"/>
          <w:color w:val="D4A853"/>
          <w:sz w:val="28"/>
        </w:rPr>
        <w:t>2.5 Competitive Analysis</w:t>
      </w:r>
    </w:p>
    <w:p>
      <w:pPr>
        <w:jc w:val="left"/>
      </w:pPr>
      <w:r>
        <w:rPr>
          <w:rFonts w:ascii="Arial" w:hAnsi="Arial" w:eastAsia="Arial"/>
          <w:b w:val="0"/>
          <w:i w:val="0"/>
          <w:color w:val="000000"/>
          <w:sz w:val="24"/>
        </w:rPr>
        <w:t>The main competition is not from large corporations, but from traditional developers whose model requires land purchase and large capital. Our competitive advantage lies in not needing to buy land, and focusing on incomplete assets that do not attract large developers.</w:t>
      </w:r>
    </w:p>
    <w:p>
      <w:r>
        <w:br w:type="page"/>
      </w:r>
    </w:p>
    <w:p>
      <w:pPr>
        <w:pStyle w:val="Heading1"/>
        <w:jc w:val="left"/>
      </w:pPr>
      <w:r>
        <w:rPr>
          <w:rFonts w:ascii="Arial" w:hAnsi="Arial" w:eastAsia="Arial"/>
          <w:color w:val="003366"/>
          <w:sz w:val="36"/>
        </w:rPr>
        <w:t>3. Services and Solutions</w:t>
      </w:r>
    </w:p>
    <w:p>
      <w:pPr>
        <w:pStyle w:val="Heading2"/>
        <w:jc w:val="left"/>
      </w:pPr>
      <w:r>
        <w:rPr>
          <w:rFonts w:ascii="Arial" w:hAnsi="Arial" w:eastAsia="Arial"/>
          <w:color w:val="D4A853"/>
          <w:sz w:val="28"/>
        </w:rPr>
        <w:t>3.1 Core Services</w:t>
      </w:r>
    </w:p>
    <w:p>
      <w:pPr>
        <w:pStyle w:val="ListBullet"/>
        <w:jc w:val="left"/>
      </w:pPr>
      <w:r>
        <w:rPr>
          <w:rFonts w:ascii="Arial" w:hAnsi="Arial" w:eastAsia="Arial"/>
          <w:sz w:val="22"/>
        </w:rPr>
        <w:t>Comprehensive engineering and legal assessment of incomplete assets.</w:t>
      </w:r>
    </w:p>
    <w:p>
      <w:pPr>
        <w:pStyle w:val="ListBullet"/>
        <w:jc w:val="left"/>
      </w:pPr>
      <w:r>
        <w:rPr>
          <w:rFonts w:ascii="Arial" w:hAnsi="Arial" w:eastAsia="Arial"/>
          <w:sz w:val="22"/>
        </w:rPr>
        <w:t>Preparation of architectural, structural, and mechanical designs.</w:t>
      </w:r>
    </w:p>
    <w:p>
      <w:pPr>
        <w:pStyle w:val="ListBullet"/>
        <w:jc w:val="left"/>
      </w:pPr>
      <w:r>
        <w:rPr>
          <w:rFonts w:ascii="Arial" w:hAnsi="Arial" w:eastAsia="Arial"/>
          <w:sz w:val="22"/>
        </w:rPr>
        <w:t>Management of finishing operations and daily supervision.</w:t>
      </w:r>
    </w:p>
    <w:p>
      <w:pPr>
        <w:pStyle w:val="ListBullet"/>
        <w:jc w:val="left"/>
      </w:pPr>
      <w:r>
        <w:rPr>
          <w:rFonts w:ascii="Arial" w:hAnsi="Arial" w:eastAsia="Arial"/>
          <w:sz w:val="22"/>
        </w:rPr>
        <w:t>Professional marketing and sales of units at market prices.</w:t>
      </w:r>
    </w:p>
    <w:p>
      <w:pPr>
        <w:pStyle w:val="ListBullet"/>
        <w:jc w:val="left"/>
      </w:pPr>
      <w:r>
        <w:rPr>
          <w:rFonts w:ascii="Arial" w:hAnsi="Arial" w:eastAsia="Arial"/>
          <w:sz w:val="22"/>
        </w:rPr>
        <w:t>Management of delivery, ownership transfer, and profit distribution.</w:t>
      </w:r>
    </w:p>
    <w:p>
      <w:pPr>
        <w:pStyle w:val="Heading2"/>
        <w:jc w:val="left"/>
      </w:pPr>
      <w:r>
        <w:rPr>
          <w:rFonts w:ascii="Arial" w:hAnsi="Arial" w:eastAsia="Arial"/>
          <w:color w:val="D4A853"/>
          <w:sz w:val="28"/>
        </w:rPr>
        <w:t>3.2 Partnership Models</w:t>
      </w:r>
    </w:p>
    <w:tbl>
      <w:tblPr>
        <w:tblStyle w:val="LightGrid-Accent1"/>
        <w:tblW w:type="auto" w:w="0"/>
        <w:jc w:val="left"/>
        <w:tblLayout w:type="autofit"/>
        <w:tblLook w:firstColumn="1" w:firstRow="1" w:lastColumn="0" w:lastRow="0" w:noHBand="0" w:noVBand="1" w:val="04A0"/>
      </w:tblPr>
      <w:tblGrid>
        <w:gridCol w:w="3010"/>
        <w:gridCol w:w="3010"/>
        <w:gridCol w:w="3010"/>
      </w:tblGrid>
      <w:tr>
        <w:tc>
          <w:tcPr>
            <w:tcW w:type="dxa" w:w="3010"/>
            <w:shd w:fill="0A0F1A"/>
          </w:tcPr>
          <w:p>
            <w:pPr>
              <w:jc w:val="left"/>
            </w:pPr>
            <w:r>
              <w:rPr>
                <w:rFonts w:ascii="Arial" w:hAnsi="Arial" w:eastAsia="Arial"/>
                <w:b/>
                <w:color w:val="FFFFFF"/>
              </w:rPr>
              <w:t>Model</w:t>
            </w:r>
          </w:p>
        </w:tc>
        <w:tc>
          <w:tcPr>
            <w:tcW w:type="dxa" w:w="3010"/>
            <w:shd w:fill="0A0F1A"/>
          </w:tcPr>
          <w:p>
            <w:pPr>
              <w:jc w:val="left"/>
            </w:pPr>
            <w:r>
              <w:rPr>
                <w:rFonts w:ascii="Arial" w:hAnsi="Arial" w:eastAsia="Arial"/>
                <w:b/>
                <w:color w:val="FFFFFF"/>
              </w:rPr>
              <w:t>Description</w:t>
            </w:r>
          </w:p>
        </w:tc>
        <w:tc>
          <w:tcPr>
            <w:tcW w:type="dxa" w:w="3010"/>
            <w:shd w:fill="0A0F1A"/>
          </w:tcPr>
          <w:p>
            <w:pPr>
              <w:jc w:val="left"/>
            </w:pPr>
            <w:r>
              <w:rPr>
                <w:rFonts w:ascii="Arial" w:hAnsi="Arial" w:eastAsia="Arial"/>
                <w:b/>
                <w:color w:val="FFFFFF"/>
              </w:rPr>
              <w:t>Suitable For</w:t>
            </w:r>
          </w:p>
        </w:tc>
      </w:tr>
      <w:tr>
        <w:tc>
          <w:tcPr>
            <w:tcW w:type="dxa" w:w="3010"/>
          </w:tcPr>
          <w:p>
            <w:pPr>
              <w:jc w:val="left"/>
            </w:pPr>
            <w:r>
              <w:rPr>
                <w:rFonts w:ascii="Arial" w:hAnsi="Arial" w:eastAsia="Arial"/>
              </w:rPr>
              <w:t>Model</w:t>
            </w:r>
          </w:p>
        </w:tc>
        <w:tc>
          <w:tcPr>
            <w:tcW w:type="dxa" w:w="3010"/>
          </w:tcPr>
          <w:p>
            <w:pPr>
              <w:jc w:val="left"/>
            </w:pPr>
            <w:r>
              <w:rPr>
                <w:rFonts w:ascii="Arial" w:hAnsi="Arial" w:eastAsia="Arial"/>
              </w:rPr>
              <w:t>Description</w:t>
            </w:r>
          </w:p>
        </w:tc>
        <w:tc>
          <w:tcPr>
            <w:tcW w:type="dxa" w:w="3010"/>
          </w:tcPr>
          <w:p>
            <w:pPr>
              <w:jc w:val="left"/>
            </w:pPr>
            <w:r>
              <w:rPr>
                <w:rFonts w:ascii="Arial" w:hAnsi="Arial" w:eastAsia="Arial"/>
              </w:rPr>
              <w:t>Suitable For</w:t>
            </w:r>
          </w:p>
        </w:tc>
      </w:tr>
      <w:tr>
        <w:tc>
          <w:tcPr>
            <w:tcW w:type="dxa" w:w="3010"/>
          </w:tcPr>
          <w:p>
            <w:pPr>
              <w:jc w:val="left"/>
            </w:pPr>
            <w:r>
              <w:rPr>
                <w:rFonts w:ascii="Arial" w:hAnsi="Arial" w:eastAsia="Arial"/>
              </w:rPr>
              <w:t>Full Muhassah</w:t>
            </w:r>
          </w:p>
        </w:tc>
        <w:tc>
          <w:tcPr>
            <w:tcW w:type="dxa" w:w="3010"/>
          </w:tcPr>
          <w:p>
            <w:pPr>
              <w:jc w:val="left"/>
            </w:pPr>
            <w:r>
              <w:rPr>
                <w:rFonts w:ascii="Arial" w:hAnsi="Arial" w:eastAsia="Arial"/>
              </w:rPr>
              <w:t>Company handles finishing and marketing for an agreed profit share</w:t>
            </w:r>
          </w:p>
        </w:tc>
        <w:tc>
          <w:tcPr>
            <w:tcW w:type="dxa" w:w="3010"/>
          </w:tcPr>
          <w:p>
            <w:pPr>
              <w:jc w:val="left"/>
            </w:pPr>
            <w:r>
              <w:rPr>
                <w:rFonts w:ascii="Arial" w:hAnsi="Arial" w:eastAsia="Arial"/>
              </w:rPr>
              <w:t>Owner with limited liquidity seeking asset revitalization</w:t>
            </w:r>
          </w:p>
        </w:tc>
      </w:tr>
      <w:tr>
        <w:tc>
          <w:tcPr>
            <w:tcW w:type="dxa" w:w="3010"/>
          </w:tcPr>
          <w:p>
            <w:pPr>
              <w:jc w:val="left"/>
            </w:pPr>
            <w:r>
              <w:rPr>
                <w:rFonts w:ascii="Arial" w:hAnsi="Arial" w:eastAsia="Arial"/>
              </w:rPr>
              <w:t>Partial Purchase</w:t>
            </w:r>
          </w:p>
        </w:tc>
        <w:tc>
          <w:tcPr>
            <w:tcW w:type="dxa" w:w="3010"/>
          </w:tcPr>
          <w:p>
            <w:pPr>
              <w:jc w:val="left"/>
            </w:pPr>
            <w:r>
              <w:rPr>
                <w:rFonts w:ascii="Arial" w:hAnsi="Arial" w:eastAsia="Arial"/>
              </w:rPr>
              <w:t>Company buys part of units after finishing</w:t>
            </w:r>
          </w:p>
        </w:tc>
        <w:tc>
          <w:tcPr>
            <w:tcW w:type="dxa" w:w="3010"/>
          </w:tcPr>
          <w:p>
            <w:pPr>
              <w:jc w:val="left"/>
            </w:pPr>
            <w:r>
              <w:rPr>
                <w:rFonts w:ascii="Arial" w:hAnsi="Arial" w:eastAsia="Arial"/>
              </w:rPr>
              <w:t>Owner seeking immediate liquidity</w:t>
            </w:r>
          </w:p>
        </w:tc>
      </w:tr>
      <w:tr>
        <w:tc>
          <w:tcPr>
            <w:tcW w:type="dxa" w:w="3010"/>
          </w:tcPr>
          <w:p>
            <w:pPr>
              <w:jc w:val="left"/>
            </w:pPr>
            <w:r>
              <w:rPr>
                <w:rFonts w:ascii="Arial" w:hAnsi="Arial" w:eastAsia="Arial"/>
              </w:rPr>
              <w:t>Management Fee</w:t>
            </w:r>
          </w:p>
        </w:tc>
        <w:tc>
          <w:tcPr>
            <w:tcW w:type="dxa" w:w="3010"/>
          </w:tcPr>
          <w:p>
            <w:pPr>
              <w:jc w:val="left"/>
            </w:pPr>
            <w:r>
              <w:rPr>
                <w:rFonts w:ascii="Arial" w:hAnsi="Arial" w:eastAsia="Arial"/>
              </w:rPr>
              <w:t>Company charges fixed management fee for finishing and marketing</w:t>
            </w:r>
          </w:p>
        </w:tc>
        <w:tc>
          <w:tcPr>
            <w:tcW w:type="dxa" w:w="3010"/>
          </w:tcPr>
          <w:p>
            <w:pPr>
              <w:jc w:val="left"/>
            </w:pPr>
            <w:r>
              <w:rPr>
                <w:rFonts w:ascii="Arial" w:hAnsi="Arial" w:eastAsia="Arial"/>
              </w:rPr>
              <w:t>Owner wishing to retain most profits</w:t>
            </w:r>
          </w:p>
        </w:tc>
      </w:tr>
      <w:tr>
        <w:tc>
          <w:tcPr>
            <w:tcW w:type="dxa" w:w="3010"/>
          </w:tcPr>
          <w:p>
            <w:pPr>
              <w:jc w:val="left"/>
            </w:pPr>
            <w:r>
              <w:rPr>
                <w:rFonts w:ascii="Arial" w:hAnsi="Arial" w:eastAsia="Arial"/>
              </w:rPr>
              <w:t>Hybrid Model</w:t>
            </w:r>
          </w:p>
        </w:tc>
        <w:tc>
          <w:tcPr>
            <w:tcW w:type="dxa" w:w="3010"/>
          </w:tcPr>
          <w:p>
            <w:pPr>
              <w:jc w:val="left"/>
            </w:pPr>
            <w:r>
              <w:rPr>
                <w:rFonts w:ascii="Arial" w:hAnsi="Arial" w:eastAsia="Arial"/>
              </w:rPr>
              <w:t>Balanced mix of Muhassah, purchase, and management fees</w:t>
            </w:r>
          </w:p>
        </w:tc>
        <w:tc>
          <w:tcPr>
            <w:tcW w:type="dxa" w:w="3010"/>
          </w:tcPr>
          <w:p>
            <w:pPr>
              <w:jc w:val="left"/>
            </w:pPr>
            <w:r>
              <w:rPr>
                <w:rFonts w:ascii="Arial" w:hAnsi="Arial" w:eastAsia="Arial"/>
              </w:rPr>
              <w:t>Most practical cases</w:t>
            </w:r>
          </w:p>
        </w:tc>
      </w:tr>
    </w:tbl>
    <w:p>
      <w:r>
        <w:br w:type="page"/>
      </w:r>
    </w:p>
    <w:p>
      <w:pPr>
        <w:pStyle w:val="Heading1"/>
        <w:jc w:val="left"/>
      </w:pPr>
      <w:r>
        <w:rPr>
          <w:rFonts w:ascii="Arial" w:hAnsi="Arial" w:eastAsia="Arial"/>
          <w:color w:val="003366"/>
          <w:sz w:val="36"/>
        </w:rPr>
        <w:t>4. Business Model</w:t>
      </w:r>
    </w:p>
    <w:p>
      <w:pPr>
        <w:pStyle w:val="Heading2"/>
        <w:jc w:val="left"/>
      </w:pPr>
      <w:r>
        <w:rPr>
          <w:rFonts w:ascii="Arial" w:hAnsi="Arial" w:eastAsia="Arial"/>
          <w:color w:val="D4A853"/>
          <w:sz w:val="28"/>
        </w:rPr>
        <w:t>4.1 How the Company Works</w:t>
      </w:r>
    </w:p>
    <w:p>
      <w:pPr>
        <w:pStyle w:val="ListBullet"/>
        <w:jc w:val="left"/>
      </w:pPr>
      <w:r>
        <w:rPr>
          <w:rFonts w:ascii="Arial" w:hAnsi="Arial" w:eastAsia="Arial"/>
          <w:sz w:val="22"/>
        </w:rPr>
        <w:t>Identify incomplete real estate assets in target locations.</w:t>
      </w:r>
    </w:p>
    <w:p>
      <w:pPr>
        <w:pStyle w:val="ListBullet"/>
        <w:jc w:val="left"/>
      </w:pPr>
      <w:r>
        <w:rPr>
          <w:rFonts w:ascii="Arial" w:hAnsi="Arial" w:eastAsia="Arial"/>
          <w:sz w:val="22"/>
        </w:rPr>
        <w:t>Conduct comprehensive engineering, legal, and financial assessment.</w:t>
      </w:r>
    </w:p>
    <w:p>
      <w:pPr>
        <w:pStyle w:val="ListBullet"/>
        <w:jc w:val="left"/>
      </w:pPr>
      <w:r>
        <w:rPr>
          <w:rFonts w:ascii="Arial" w:hAnsi="Arial" w:eastAsia="Arial"/>
          <w:sz w:val="22"/>
        </w:rPr>
        <w:t>Negotiate with the owner and sign a clear Muhassah or partnership contract.</w:t>
      </w:r>
    </w:p>
    <w:p>
      <w:pPr>
        <w:pStyle w:val="ListBullet"/>
        <w:jc w:val="left"/>
      </w:pPr>
      <w:r>
        <w:rPr>
          <w:rFonts w:ascii="Arial" w:hAnsi="Arial" w:eastAsia="Arial"/>
          <w:sz w:val="22"/>
        </w:rPr>
        <w:t>Execute finishing works according to highest standards and Saudi Building Code.</w:t>
      </w:r>
    </w:p>
    <w:p>
      <w:pPr>
        <w:pStyle w:val="ListBullet"/>
        <w:jc w:val="left"/>
      </w:pPr>
      <w:r>
        <w:rPr>
          <w:rFonts w:ascii="Arial" w:hAnsi="Arial" w:eastAsia="Arial"/>
          <w:sz w:val="22"/>
        </w:rPr>
        <w:t>Market and sell units at appropriate market prices.</w:t>
      </w:r>
    </w:p>
    <w:p>
      <w:pPr>
        <w:pStyle w:val="ListBullet"/>
        <w:jc w:val="left"/>
      </w:pPr>
      <w:r>
        <w:rPr>
          <w:rFonts w:ascii="Arial" w:hAnsi="Arial" w:eastAsia="Arial"/>
          <w:sz w:val="22"/>
        </w:rPr>
        <w:t>Distribute profits between the company and owner per contract terms.</w:t>
      </w:r>
    </w:p>
    <w:p>
      <w:pPr>
        <w:pStyle w:val="Heading2"/>
        <w:jc w:val="left"/>
      </w:pPr>
      <w:r>
        <w:rPr>
          <w:rFonts w:ascii="Arial" w:hAnsi="Arial" w:eastAsia="Arial"/>
          <w:color w:val="D4A853"/>
          <w:sz w:val="28"/>
        </w:rPr>
        <w:t>4.2 Revenue Sources</w:t>
      </w:r>
    </w:p>
    <w:tbl>
      <w:tblPr>
        <w:tblStyle w:val="LightGrid-Accent1"/>
        <w:tblW w:type="auto" w:w="0"/>
        <w:jc w:val="left"/>
        <w:tblLayout w:type="autofit"/>
        <w:tblLook w:firstColumn="1" w:firstRow="1" w:lastColumn="0" w:lastRow="0" w:noHBand="0" w:noVBand="1" w:val="04A0"/>
      </w:tblPr>
      <w:tblGrid>
        <w:gridCol w:w="4514"/>
        <w:gridCol w:w="4514"/>
      </w:tblGrid>
      <w:tr>
        <w:tc>
          <w:tcPr>
            <w:tcW w:type="dxa" w:w="4514"/>
            <w:shd w:fill="0A0F1A"/>
          </w:tcPr>
          <w:p>
            <w:pPr>
              <w:jc w:val="left"/>
            </w:pPr>
            <w:r>
              <w:rPr>
                <w:rFonts w:ascii="Arial" w:hAnsi="Arial" w:eastAsia="Arial"/>
                <w:b/>
                <w:color w:val="FFFFFF"/>
              </w:rPr>
              <w:t>Revenue Source</w:t>
            </w:r>
          </w:p>
        </w:tc>
        <w:tc>
          <w:tcPr>
            <w:tcW w:type="dxa" w:w="4514"/>
            <w:shd w:fill="0A0F1A"/>
          </w:tcPr>
          <w:p>
            <w:pPr>
              <w:jc w:val="left"/>
            </w:pPr>
            <w:r>
              <w:rPr>
                <w:rFonts w:ascii="Arial" w:hAnsi="Arial" w:eastAsia="Arial"/>
                <w:b/>
                <w:color w:val="FFFFFF"/>
              </w:rPr>
              <w:t>Expected Share</w:t>
            </w:r>
          </w:p>
        </w:tc>
      </w:tr>
      <w:tr>
        <w:tc>
          <w:tcPr>
            <w:tcW w:type="dxa" w:w="4514"/>
          </w:tcPr>
          <w:p>
            <w:pPr>
              <w:jc w:val="left"/>
            </w:pPr>
            <w:r>
              <w:rPr>
                <w:rFonts w:ascii="Arial" w:hAnsi="Arial" w:eastAsia="Arial"/>
              </w:rPr>
              <w:t>Revenue Source</w:t>
            </w:r>
          </w:p>
        </w:tc>
        <w:tc>
          <w:tcPr>
            <w:tcW w:type="dxa" w:w="4514"/>
          </w:tcPr>
          <w:p>
            <w:pPr>
              <w:jc w:val="left"/>
            </w:pPr>
            <w:r>
              <w:rPr>
                <w:rFonts w:ascii="Arial" w:hAnsi="Arial" w:eastAsia="Arial"/>
              </w:rPr>
              <w:t>Expected Share</w:t>
            </w:r>
          </w:p>
        </w:tc>
      </w:tr>
      <w:tr>
        <w:tc>
          <w:tcPr>
            <w:tcW w:type="dxa" w:w="4514"/>
          </w:tcPr>
          <w:p>
            <w:pPr>
              <w:jc w:val="left"/>
            </w:pPr>
            <w:r>
              <w:rPr>
                <w:rFonts w:ascii="Arial" w:hAnsi="Arial" w:eastAsia="Arial"/>
              </w:rPr>
              <w:t>Muhassah Revenues (Company Share)</w:t>
            </w:r>
          </w:p>
        </w:tc>
        <w:tc>
          <w:tcPr>
            <w:tcW w:type="dxa" w:w="4514"/>
          </w:tcPr>
          <w:p>
            <w:pPr>
              <w:jc w:val="left"/>
            </w:pPr>
            <w:r>
              <w:rPr>
                <w:rFonts w:ascii="Arial" w:hAnsi="Arial" w:eastAsia="Arial"/>
              </w:rPr>
              <w:t>60%</w:t>
            </w:r>
          </w:p>
        </w:tc>
      </w:tr>
      <w:tr>
        <w:tc>
          <w:tcPr>
            <w:tcW w:type="dxa" w:w="4514"/>
          </w:tcPr>
          <w:p>
            <w:pPr>
              <w:jc w:val="left"/>
            </w:pPr>
            <w:r>
              <w:rPr>
                <w:rFonts w:ascii="Arial" w:hAnsi="Arial" w:eastAsia="Arial"/>
              </w:rPr>
              <w:t>Resale and Purchase Profits</w:t>
            </w:r>
          </w:p>
        </w:tc>
        <w:tc>
          <w:tcPr>
            <w:tcW w:type="dxa" w:w="4514"/>
          </w:tcPr>
          <w:p>
            <w:pPr>
              <w:jc w:val="left"/>
            </w:pPr>
            <w:r>
              <w:rPr>
                <w:rFonts w:ascii="Arial" w:hAnsi="Arial" w:eastAsia="Arial"/>
              </w:rPr>
              <w:t>25%</w:t>
            </w:r>
          </w:p>
        </w:tc>
      </w:tr>
      <w:tr>
        <w:tc>
          <w:tcPr>
            <w:tcW w:type="dxa" w:w="4514"/>
          </w:tcPr>
          <w:p>
            <w:pPr>
              <w:jc w:val="left"/>
            </w:pPr>
            <w:r>
              <w:rPr>
                <w:rFonts w:ascii="Arial" w:hAnsi="Arial" w:eastAsia="Arial"/>
              </w:rPr>
              <w:t>Management and Marketing Fees</w:t>
            </w:r>
          </w:p>
        </w:tc>
        <w:tc>
          <w:tcPr>
            <w:tcW w:type="dxa" w:w="4514"/>
          </w:tcPr>
          <w:p>
            <w:pPr>
              <w:jc w:val="left"/>
            </w:pPr>
            <w:r>
              <w:rPr>
                <w:rFonts w:ascii="Arial" w:hAnsi="Arial" w:eastAsia="Arial"/>
              </w:rPr>
              <w:t>10%</w:t>
            </w:r>
          </w:p>
        </w:tc>
      </w:tr>
      <w:tr>
        <w:tc>
          <w:tcPr>
            <w:tcW w:type="dxa" w:w="4514"/>
          </w:tcPr>
          <w:p>
            <w:pPr>
              <w:jc w:val="left"/>
            </w:pPr>
            <w:r>
              <w:rPr>
                <w:rFonts w:ascii="Arial" w:hAnsi="Arial" w:eastAsia="Arial"/>
              </w:rPr>
              <w:t>Consulting and Administrative Services</w:t>
            </w:r>
          </w:p>
        </w:tc>
        <w:tc>
          <w:tcPr>
            <w:tcW w:type="dxa" w:w="4514"/>
          </w:tcPr>
          <w:p>
            <w:pPr>
              <w:jc w:val="left"/>
            </w:pPr>
            <w:r>
              <w:rPr>
                <w:rFonts w:ascii="Arial" w:hAnsi="Arial" w:eastAsia="Arial"/>
              </w:rPr>
              <w:t>5%</w:t>
            </w:r>
          </w:p>
        </w:tc>
      </w:tr>
    </w:tbl>
    <w:p>
      <w:pPr>
        <w:pStyle w:val="Heading2"/>
        <w:jc w:val="left"/>
      </w:pPr>
      <w:r>
        <w:rPr>
          <w:rFonts w:ascii="Arial" w:hAnsi="Arial" w:eastAsia="Arial"/>
          <w:color w:val="D4A853"/>
          <w:sz w:val="28"/>
        </w:rPr>
        <w:t>4.3 Cost Structure</w:t>
      </w:r>
    </w:p>
    <w:tbl>
      <w:tblPr>
        <w:tblStyle w:val="LightGrid-Accent1"/>
        <w:tblW w:type="auto" w:w="0"/>
        <w:jc w:val="left"/>
        <w:tblLayout w:type="autofit"/>
        <w:tblLook w:firstColumn="1" w:firstRow="1" w:lastColumn="0" w:lastRow="0" w:noHBand="0" w:noVBand="1" w:val="04A0"/>
      </w:tblPr>
      <w:tblGrid>
        <w:gridCol w:w="4514"/>
        <w:gridCol w:w="4514"/>
      </w:tblGrid>
      <w:tr>
        <w:tc>
          <w:tcPr>
            <w:tcW w:type="dxa" w:w="4514"/>
            <w:shd w:fill="0A0F1A"/>
          </w:tcPr>
          <w:p>
            <w:pPr>
              <w:jc w:val="left"/>
            </w:pPr>
            <w:r>
              <w:rPr>
                <w:rFonts w:ascii="Arial" w:hAnsi="Arial" w:eastAsia="Arial"/>
                <w:b/>
                <w:color w:val="FFFFFF"/>
              </w:rPr>
              <w:t>Item</w:t>
            </w:r>
          </w:p>
        </w:tc>
        <w:tc>
          <w:tcPr>
            <w:tcW w:type="dxa" w:w="4514"/>
            <w:shd w:fill="0A0F1A"/>
          </w:tcPr>
          <w:p>
            <w:pPr>
              <w:jc w:val="left"/>
            </w:pPr>
            <w:r>
              <w:rPr>
                <w:rFonts w:ascii="Arial" w:hAnsi="Arial" w:eastAsia="Arial"/>
                <w:b/>
                <w:color w:val="FFFFFF"/>
              </w:rPr>
              <w:t>Share</w:t>
            </w:r>
          </w:p>
        </w:tc>
      </w:tr>
      <w:tr>
        <w:tc>
          <w:tcPr>
            <w:tcW w:type="dxa" w:w="4514"/>
          </w:tcPr>
          <w:p>
            <w:pPr>
              <w:jc w:val="left"/>
            </w:pPr>
            <w:r>
              <w:rPr>
                <w:rFonts w:ascii="Arial" w:hAnsi="Arial" w:eastAsia="Arial"/>
              </w:rPr>
              <w:t>Item</w:t>
            </w:r>
          </w:p>
        </w:tc>
        <w:tc>
          <w:tcPr>
            <w:tcW w:type="dxa" w:w="4514"/>
          </w:tcPr>
          <w:p>
            <w:pPr>
              <w:jc w:val="left"/>
            </w:pPr>
            <w:r>
              <w:rPr>
                <w:rFonts w:ascii="Arial" w:hAnsi="Arial" w:eastAsia="Arial"/>
              </w:rPr>
              <w:t>Share of Project Cost</w:t>
            </w:r>
          </w:p>
        </w:tc>
      </w:tr>
      <w:tr>
        <w:tc>
          <w:tcPr>
            <w:tcW w:type="dxa" w:w="4514"/>
          </w:tcPr>
          <w:p>
            <w:pPr>
              <w:jc w:val="left"/>
            </w:pPr>
            <w:r>
              <w:rPr>
                <w:rFonts w:ascii="Arial" w:hAnsi="Arial" w:eastAsia="Arial"/>
              </w:rPr>
              <w:t>Direct Finishing Costs</w:t>
            </w:r>
          </w:p>
        </w:tc>
        <w:tc>
          <w:tcPr>
            <w:tcW w:type="dxa" w:w="4514"/>
          </w:tcPr>
          <w:p>
            <w:pPr>
              <w:jc w:val="left"/>
            </w:pPr>
            <w:r>
              <w:rPr>
                <w:rFonts w:ascii="Arial" w:hAnsi="Arial" w:eastAsia="Arial"/>
              </w:rPr>
              <w:t>55%</w:t>
            </w:r>
          </w:p>
        </w:tc>
      </w:tr>
      <w:tr>
        <w:tc>
          <w:tcPr>
            <w:tcW w:type="dxa" w:w="4514"/>
          </w:tcPr>
          <w:p>
            <w:pPr>
              <w:jc w:val="left"/>
            </w:pPr>
            <w:r>
              <w:rPr>
                <w:rFonts w:ascii="Arial" w:hAnsi="Arial" w:eastAsia="Arial"/>
              </w:rPr>
              <w:t>Municipal Licenses and Fees</w:t>
            </w:r>
          </w:p>
        </w:tc>
        <w:tc>
          <w:tcPr>
            <w:tcW w:type="dxa" w:w="4514"/>
          </w:tcPr>
          <w:p>
            <w:pPr>
              <w:jc w:val="left"/>
            </w:pPr>
            <w:r>
              <w:rPr>
                <w:rFonts w:ascii="Arial" w:hAnsi="Arial" w:eastAsia="Arial"/>
              </w:rPr>
              <w:t>4%</w:t>
            </w:r>
          </w:p>
        </w:tc>
      </w:tr>
      <w:tr>
        <w:tc>
          <w:tcPr>
            <w:tcW w:type="dxa" w:w="4514"/>
          </w:tcPr>
          <w:p>
            <w:pPr>
              <w:jc w:val="left"/>
            </w:pPr>
            <w:r>
              <w:rPr>
                <w:rFonts w:ascii="Arial" w:hAnsi="Arial" w:eastAsia="Arial"/>
              </w:rPr>
              <w:t>Engineering Consultation and Supervision</w:t>
            </w:r>
          </w:p>
        </w:tc>
        <w:tc>
          <w:tcPr>
            <w:tcW w:type="dxa" w:w="4514"/>
          </w:tcPr>
          <w:p>
            <w:pPr>
              <w:jc w:val="left"/>
            </w:pPr>
            <w:r>
              <w:rPr>
                <w:rFonts w:ascii="Arial" w:hAnsi="Arial" w:eastAsia="Arial"/>
              </w:rPr>
              <w:t>5%</w:t>
            </w:r>
          </w:p>
        </w:tc>
      </w:tr>
      <w:tr>
        <w:tc>
          <w:tcPr>
            <w:tcW w:type="dxa" w:w="4514"/>
          </w:tcPr>
          <w:p>
            <w:pPr>
              <w:jc w:val="left"/>
            </w:pPr>
            <w:r>
              <w:rPr>
                <w:rFonts w:ascii="Arial" w:hAnsi="Arial" w:eastAsia="Arial"/>
              </w:rPr>
              <w:t>Marketing and Sales</w:t>
            </w:r>
          </w:p>
        </w:tc>
        <w:tc>
          <w:tcPr>
            <w:tcW w:type="dxa" w:w="4514"/>
          </w:tcPr>
          <w:p>
            <w:pPr>
              <w:jc w:val="left"/>
            </w:pPr>
            <w:r>
              <w:rPr>
                <w:rFonts w:ascii="Arial" w:hAnsi="Arial" w:eastAsia="Arial"/>
              </w:rPr>
              <w:t>7%</w:t>
            </w:r>
          </w:p>
        </w:tc>
      </w:tr>
      <w:tr>
        <w:tc>
          <w:tcPr>
            <w:tcW w:type="dxa" w:w="4514"/>
          </w:tcPr>
          <w:p>
            <w:pPr>
              <w:jc w:val="left"/>
            </w:pPr>
            <w:r>
              <w:rPr>
                <w:rFonts w:ascii="Arial" w:hAnsi="Arial" w:eastAsia="Arial"/>
              </w:rPr>
              <w:t>Risk Reserve</w:t>
            </w:r>
          </w:p>
        </w:tc>
        <w:tc>
          <w:tcPr>
            <w:tcW w:type="dxa" w:w="4514"/>
          </w:tcPr>
          <w:p>
            <w:pPr>
              <w:jc w:val="left"/>
            </w:pPr>
            <w:r>
              <w:rPr>
                <w:rFonts w:ascii="Arial" w:hAnsi="Arial" w:eastAsia="Arial"/>
              </w:rPr>
              <w:t>10%</w:t>
            </w:r>
          </w:p>
        </w:tc>
      </w:tr>
      <w:tr>
        <w:tc>
          <w:tcPr>
            <w:tcW w:type="dxa" w:w="4514"/>
          </w:tcPr>
          <w:p>
            <w:pPr>
              <w:jc w:val="left"/>
            </w:pPr>
            <w:r>
              <w:rPr>
                <w:rFonts w:ascii="Arial" w:hAnsi="Arial" w:eastAsia="Arial"/>
              </w:rPr>
              <w:t>Operational Administrative Costs</w:t>
            </w:r>
          </w:p>
        </w:tc>
        <w:tc>
          <w:tcPr>
            <w:tcW w:type="dxa" w:w="4514"/>
          </w:tcPr>
          <w:p>
            <w:pPr>
              <w:jc w:val="left"/>
            </w:pPr>
            <w:r>
              <w:rPr>
                <w:rFonts w:ascii="Arial" w:hAnsi="Arial" w:eastAsia="Arial"/>
              </w:rPr>
              <w:t>6%</w:t>
            </w:r>
          </w:p>
        </w:tc>
      </w:tr>
      <w:tr>
        <w:tc>
          <w:tcPr>
            <w:tcW w:type="dxa" w:w="4514"/>
          </w:tcPr>
          <w:p>
            <w:pPr>
              <w:jc w:val="left"/>
            </w:pPr>
            <w:r>
              <w:rPr>
                <w:rFonts w:ascii="Arial" w:hAnsi="Arial" w:eastAsia="Arial"/>
              </w:rPr>
              <w:t>Sales and Transfer Fees</w:t>
            </w:r>
          </w:p>
        </w:tc>
        <w:tc>
          <w:tcPr>
            <w:tcW w:type="dxa" w:w="4514"/>
          </w:tcPr>
          <w:p>
            <w:pPr>
              <w:jc w:val="left"/>
            </w:pPr>
            <w:r>
              <w:rPr>
                <w:rFonts w:ascii="Arial" w:hAnsi="Arial" w:eastAsia="Arial"/>
              </w:rPr>
              <w:t>9%</w:t>
            </w:r>
          </w:p>
        </w:tc>
      </w:tr>
      <w:tr>
        <w:tc>
          <w:tcPr>
            <w:tcW w:type="dxa" w:w="4514"/>
          </w:tcPr>
          <w:p>
            <w:pPr>
              <w:jc w:val="left"/>
            </w:pPr>
            <w:r>
              <w:rPr>
                <w:rFonts w:ascii="Arial" w:hAnsi="Arial" w:eastAsia="Arial"/>
              </w:rPr>
              <w:t>Insurance</w:t>
            </w:r>
          </w:p>
        </w:tc>
        <w:tc>
          <w:tcPr>
            <w:tcW w:type="dxa" w:w="4514"/>
          </w:tcPr>
          <w:p>
            <w:pPr>
              <w:jc w:val="left"/>
            </w:pPr>
            <w:r>
              <w:rPr>
                <w:rFonts w:ascii="Arial" w:hAnsi="Arial" w:eastAsia="Arial"/>
              </w:rPr>
              <w:t>4%</w:t>
            </w:r>
          </w:p>
        </w:tc>
      </w:tr>
    </w:tbl>
    <w:p>
      <w:pPr>
        <w:pStyle w:val="Heading2"/>
        <w:jc w:val="left"/>
      </w:pPr>
      <w:r>
        <w:rPr>
          <w:rFonts w:ascii="Arial" w:hAnsi="Arial" w:eastAsia="Arial"/>
          <w:color w:val="D4A853"/>
          <w:sz w:val="28"/>
        </w:rPr>
        <w:t>4.4 Competitive Strengths</w:t>
      </w:r>
    </w:p>
    <w:p>
      <w:pPr>
        <w:pStyle w:val="ListBullet"/>
        <w:jc w:val="left"/>
      </w:pPr>
      <w:r>
        <w:rPr>
          <w:rFonts w:ascii="Arial" w:hAnsi="Arial" w:eastAsia="Arial"/>
          <w:sz w:val="22"/>
        </w:rPr>
        <w:t>No land purchase required, reducing initial capital needs.</w:t>
      </w:r>
    </w:p>
    <w:p>
      <w:pPr>
        <w:pStyle w:val="ListBullet"/>
        <w:jc w:val="left"/>
      </w:pPr>
      <w:r>
        <w:rPr>
          <w:rFonts w:ascii="Arial" w:hAnsi="Arial" w:eastAsia="Arial"/>
          <w:sz w:val="22"/>
        </w:rPr>
        <w:t>Faster market entry compared to traditional real estate development.</w:t>
      </w:r>
    </w:p>
    <w:p>
      <w:pPr>
        <w:pStyle w:val="ListBullet"/>
        <w:jc w:val="left"/>
      </w:pPr>
      <w:r>
        <w:rPr>
          <w:rFonts w:ascii="Arial" w:hAnsi="Arial" w:eastAsia="Arial"/>
          <w:sz w:val="22"/>
        </w:rPr>
        <w:t>Extensive network with owners, appraisers, lawyers, and real estate brokers.</w:t>
      </w:r>
    </w:p>
    <w:p>
      <w:pPr>
        <w:pStyle w:val="ListBullet"/>
        <w:jc w:val="left"/>
      </w:pPr>
      <w:r>
        <w:rPr>
          <w:rFonts w:ascii="Arial" w:hAnsi="Arial" w:eastAsia="Arial"/>
          <w:sz w:val="22"/>
        </w:rPr>
        <w:t>Compliance with Saudi Building Code and insurance, reducing legal and financial risks.</w:t>
      </w:r>
    </w:p>
    <w:p>
      <w:pPr>
        <w:pStyle w:val="ListBullet"/>
        <w:jc w:val="left"/>
      </w:pPr>
      <w:r>
        <w:rPr>
          <w:rFonts w:ascii="Arial" w:hAnsi="Arial" w:eastAsia="Arial"/>
          <w:sz w:val="22"/>
        </w:rPr>
        <w:t>Flexible financial model self-funded by founding shareholders.</w:t>
      </w:r>
    </w:p>
    <w:p>
      <w:r>
        <w:br w:type="page"/>
      </w:r>
    </w:p>
    <w:p>
      <w:pPr>
        <w:pStyle w:val="Heading1"/>
        <w:jc w:val="left"/>
      </w:pPr>
      <w:r>
        <w:rPr>
          <w:rFonts w:ascii="Arial" w:hAnsi="Arial" w:eastAsia="Arial"/>
          <w:color w:val="003366"/>
          <w:sz w:val="36"/>
        </w:rPr>
        <w:t>5. Marketing and Sales Strategy</w:t>
      </w:r>
    </w:p>
    <w:p>
      <w:pPr>
        <w:pStyle w:val="Heading2"/>
        <w:jc w:val="left"/>
      </w:pPr>
      <w:r>
        <w:rPr>
          <w:rFonts w:ascii="Arial" w:hAnsi="Arial" w:eastAsia="Arial"/>
          <w:color w:val="D4A853"/>
          <w:sz w:val="28"/>
        </w:rPr>
        <w:t>5.1 Digital Marketing Strategy</w:t>
      </w:r>
    </w:p>
    <w:tbl>
      <w:tblPr>
        <w:tblStyle w:val="LightGrid-Accent1"/>
        <w:tblW w:type="auto" w:w="0"/>
        <w:jc w:val="left"/>
        <w:tblLayout w:type="autofit"/>
        <w:tblLook w:firstColumn="1" w:firstRow="1" w:lastColumn="0" w:lastRow="0" w:noHBand="0" w:noVBand="1" w:val="04A0"/>
      </w:tblPr>
      <w:tblGrid>
        <w:gridCol w:w="3010"/>
        <w:gridCol w:w="3010"/>
        <w:gridCol w:w="3010"/>
      </w:tblGrid>
      <w:tr>
        <w:tc>
          <w:tcPr>
            <w:tcW w:type="dxa" w:w="3010"/>
            <w:shd w:fill="0A0F1A"/>
          </w:tcPr>
          <w:p>
            <w:pPr>
              <w:jc w:val="left"/>
            </w:pPr>
            <w:r>
              <w:rPr>
                <w:rFonts w:ascii="Arial" w:hAnsi="Arial" w:eastAsia="Arial"/>
                <w:b/>
                <w:color w:val="FFFFFF"/>
              </w:rPr>
              <w:t>Channel</w:t>
            </w:r>
          </w:p>
        </w:tc>
        <w:tc>
          <w:tcPr>
            <w:tcW w:type="dxa" w:w="3010"/>
            <w:shd w:fill="0A0F1A"/>
          </w:tcPr>
          <w:p>
            <w:pPr>
              <w:jc w:val="left"/>
            </w:pPr>
            <w:r>
              <w:rPr>
                <w:rFonts w:ascii="Arial" w:hAnsi="Arial" w:eastAsia="Arial"/>
                <w:b/>
                <w:color w:val="FFFFFF"/>
              </w:rPr>
              <w:t>Objective</w:t>
            </w:r>
          </w:p>
        </w:tc>
        <w:tc>
          <w:tcPr>
            <w:tcW w:type="dxa" w:w="3010"/>
            <w:shd w:fill="0A0F1A"/>
          </w:tcPr>
          <w:p>
            <w:pPr>
              <w:jc w:val="left"/>
            </w:pPr>
            <w:r>
              <w:rPr>
                <w:rFonts w:ascii="Arial" w:hAnsi="Arial" w:eastAsia="Arial"/>
                <w:b/>
                <w:color w:val="FFFFFF"/>
              </w:rPr>
              <w:t>Monthly Budget</w:t>
            </w:r>
          </w:p>
        </w:tc>
      </w:tr>
      <w:tr>
        <w:tc>
          <w:tcPr>
            <w:tcW w:type="dxa" w:w="3010"/>
          </w:tcPr>
          <w:p>
            <w:pPr>
              <w:jc w:val="left"/>
            </w:pPr>
            <w:r>
              <w:rPr>
                <w:rFonts w:ascii="Arial" w:hAnsi="Arial" w:eastAsia="Arial"/>
              </w:rPr>
              <w:t>Channel</w:t>
            </w:r>
          </w:p>
        </w:tc>
        <w:tc>
          <w:tcPr>
            <w:tcW w:type="dxa" w:w="3010"/>
          </w:tcPr>
          <w:p>
            <w:pPr>
              <w:jc w:val="left"/>
            </w:pPr>
            <w:r>
              <w:rPr>
                <w:rFonts w:ascii="Arial" w:hAnsi="Arial" w:eastAsia="Arial"/>
              </w:rPr>
              <w:t>Objective</w:t>
            </w:r>
          </w:p>
        </w:tc>
        <w:tc>
          <w:tcPr>
            <w:tcW w:type="dxa" w:w="3010"/>
          </w:tcPr>
          <w:p>
            <w:pPr>
              <w:jc w:val="left"/>
            </w:pPr>
            <w:r>
              <w:rPr>
                <w:rFonts w:ascii="Arial" w:hAnsi="Arial" w:eastAsia="Arial"/>
              </w:rPr>
              <w:t>Monthly Budget</w:t>
            </w:r>
          </w:p>
        </w:tc>
      </w:tr>
      <w:tr>
        <w:tc>
          <w:tcPr>
            <w:tcW w:type="dxa" w:w="3010"/>
          </w:tcPr>
          <w:p>
            <w:pPr>
              <w:jc w:val="left"/>
            </w:pPr>
            <w:r>
              <w:rPr>
                <w:rFonts w:ascii="Arial" w:hAnsi="Arial" w:eastAsia="Arial"/>
              </w:rPr>
              <w:t>Google Ads</w:t>
            </w:r>
          </w:p>
        </w:tc>
        <w:tc>
          <w:tcPr>
            <w:tcW w:type="dxa" w:w="3010"/>
          </w:tcPr>
          <w:p>
            <w:pPr>
              <w:jc w:val="left"/>
            </w:pPr>
            <w:r>
              <w:rPr>
                <w:rFonts w:ascii="Arial" w:hAnsi="Arial" w:eastAsia="Arial"/>
              </w:rPr>
              <w:t>Reach owners of incomplete real estate assets</w:t>
            </w:r>
          </w:p>
        </w:tc>
        <w:tc>
          <w:tcPr>
            <w:tcW w:type="dxa" w:w="3010"/>
          </w:tcPr>
          <w:p>
            <w:pPr>
              <w:jc w:val="left"/>
            </w:pPr>
            <w:r>
              <w:rPr>
                <w:rFonts w:ascii="Arial" w:hAnsi="Arial" w:eastAsia="Arial"/>
              </w:rPr>
              <w:t>SAR 10,000</w:t>
            </w:r>
          </w:p>
        </w:tc>
      </w:tr>
      <w:tr>
        <w:tc>
          <w:tcPr>
            <w:tcW w:type="dxa" w:w="3010"/>
          </w:tcPr>
          <w:p>
            <w:pPr>
              <w:jc w:val="left"/>
            </w:pPr>
            <w:r>
              <w:rPr>
                <w:rFonts w:ascii="Arial" w:hAnsi="Arial" w:eastAsia="Arial"/>
              </w:rPr>
              <w:t>Snapchat Ads</w:t>
            </w:r>
          </w:p>
        </w:tc>
        <w:tc>
          <w:tcPr>
            <w:tcW w:type="dxa" w:w="3010"/>
          </w:tcPr>
          <w:p>
            <w:pPr>
              <w:jc w:val="left"/>
            </w:pPr>
            <w:r>
              <w:rPr>
                <w:rFonts w:ascii="Arial" w:hAnsi="Arial" w:eastAsia="Arial"/>
              </w:rPr>
              <w:t>Target age group 25 - 45</w:t>
            </w:r>
          </w:p>
        </w:tc>
        <w:tc>
          <w:tcPr>
            <w:tcW w:type="dxa" w:w="3010"/>
          </w:tcPr>
          <w:p>
            <w:pPr>
              <w:jc w:val="left"/>
            </w:pPr>
            <w:r>
              <w:rPr>
                <w:rFonts w:ascii="Arial" w:hAnsi="Arial" w:eastAsia="Arial"/>
              </w:rPr>
              <w:t>SAR 8,000</w:t>
            </w:r>
          </w:p>
        </w:tc>
      </w:tr>
      <w:tr>
        <w:tc>
          <w:tcPr>
            <w:tcW w:type="dxa" w:w="3010"/>
          </w:tcPr>
          <w:p>
            <w:pPr>
              <w:jc w:val="left"/>
            </w:pPr>
            <w:r>
              <w:rPr>
                <w:rFonts w:ascii="Arial" w:hAnsi="Arial" w:eastAsia="Arial"/>
              </w:rPr>
              <w:t>Instagram / TikTok</w:t>
            </w:r>
          </w:p>
        </w:tc>
        <w:tc>
          <w:tcPr>
            <w:tcW w:type="dxa" w:w="3010"/>
          </w:tcPr>
          <w:p>
            <w:pPr>
              <w:jc w:val="left"/>
            </w:pPr>
            <w:r>
              <w:rPr>
                <w:rFonts w:ascii="Arial" w:hAnsi="Arial" w:eastAsia="Arial"/>
              </w:rPr>
              <w:t>Showcase "before and after" projects</w:t>
            </w:r>
          </w:p>
        </w:tc>
        <w:tc>
          <w:tcPr>
            <w:tcW w:type="dxa" w:w="3010"/>
          </w:tcPr>
          <w:p>
            <w:pPr>
              <w:jc w:val="left"/>
            </w:pPr>
            <w:r>
              <w:rPr>
                <w:rFonts w:ascii="Arial" w:hAnsi="Arial" w:eastAsia="Arial"/>
              </w:rPr>
              <w:t>SAR 5,000</w:t>
            </w:r>
          </w:p>
        </w:tc>
      </w:tr>
      <w:tr>
        <w:tc>
          <w:tcPr>
            <w:tcW w:type="dxa" w:w="3010"/>
          </w:tcPr>
          <w:p>
            <w:pPr>
              <w:jc w:val="left"/>
            </w:pPr>
            <w:r>
              <w:rPr>
                <w:rFonts w:ascii="Arial" w:hAnsi="Arial" w:eastAsia="Arial"/>
              </w:rPr>
              <w:t>SEO</w:t>
            </w:r>
          </w:p>
        </w:tc>
        <w:tc>
          <w:tcPr>
            <w:tcW w:type="dxa" w:w="3010"/>
          </w:tcPr>
          <w:p>
            <w:pPr>
              <w:jc w:val="left"/>
            </w:pPr>
            <w:r>
              <w:rPr>
                <w:rFonts w:ascii="Arial" w:hAnsi="Arial" w:eastAsia="Arial"/>
              </w:rPr>
              <w:t>Appear in search results for building revitalization</w:t>
            </w:r>
          </w:p>
        </w:tc>
        <w:tc>
          <w:tcPr>
            <w:tcW w:type="dxa" w:w="3010"/>
          </w:tcPr>
          <w:p>
            <w:pPr>
              <w:jc w:val="left"/>
            </w:pPr>
            <w:r>
              <w:rPr>
                <w:rFonts w:ascii="Arial" w:hAnsi="Arial" w:eastAsia="Arial"/>
              </w:rPr>
              <w:t>SAR 3,000</w:t>
            </w:r>
          </w:p>
        </w:tc>
      </w:tr>
      <w:tr>
        <w:tc>
          <w:tcPr>
            <w:tcW w:type="dxa" w:w="3010"/>
          </w:tcPr>
          <w:p>
            <w:pPr>
              <w:jc w:val="left"/>
            </w:pPr>
            <w:r>
              <w:rPr>
                <w:rFonts w:ascii="Arial" w:hAnsi="Arial" w:eastAsia="Arial"/>
              </w:rPr>
              <w:t>LinkedIn</w:t>
            </w:r>
          </w:p>
        </w:tc>
        <w:tc>
          <w:tcPr>
            <w:tcW w:type="dxa" w:w="3010"/>
          </w:tcPr>
          <w:p>
            <w:pPr>
              <w:jc w:val="left"/>
            </w:pPr>
            <w:r>
              <w:rPr>
                <w:rFonts w:ascii="Arial" w:hAnsi="Arial" w:eastAsia="Arial"/>
              </w:rPr>
              <w:t>Reach investors and property owners</w:t>
            </w:r>
          </w:p>
        </w:tc>
        <w:tc>
          <w:tcPr>
            <w:tcW w:type="dxa" w:w="3010"/>
          </w:tcPr>
          <w:p>
            <w:pPr>
              <w:jc w:val="left"/>
            </w:pPr>
            <w:r>
              <w:rPr>
                <w:rFonts w:ascii="Arial" w:hAnsi="Arial" w:eastAsia="Arial"/>
              </w:rPr>
              <w:t>SAR 2,000</w:t>
            </w:r>
          </w:p>
        </w:tc>
      </w:tr>
    </w:tbl>
    <w:p>
      <w:pPr>
        <w:pStyle w:val="Heading2"/>
        <w:jc w:val="left"/>
      </w:pPr>
      <w:r>
        <w:rPr>
          <w:rFonts w:ascii="Arial" w:hAnsi="Arial" w:eastAsia="Arial"/>
          <w:color w:val="D4A853"/>
          <w:sz w:val="28"/>
        </w:rPr>
        <w:t>5.2 Sales Funnel</w:t>
      </w:r>
    </w:p>
    <w:p>
      <w:pPr>
        <w:pStyle w:val="ListBullet"/>
        <w:jc w:val="left"/>
      </w:pPr>
      <w:r>
        <w:rPr>
          <w:rFonts w:ascii="Arial" w:hAnsi="Arial" w:eastAsia="Arial"/>
          <w:sz w:val="22"/>
        </w:rPr>
        <w:t>Awareness: Reach 100,000 people monthly.</w:t>
      </w:r>
    </w:p>
    <w:p>
      <w:pPr>
        <w:pStyle w:val="ListBullet"/>
        <w:jc w:val="left"/>
      </w:pPr>
      <w:r>
        <w:rPr>
          <w:rFonts w:ascii="Arial" w:hAnsi="Arial" w:eastAsia="Arial"/>
          <w:sz w:val="22"/>
        </w:rPr>
        <w:t>Interest: Convert 5,000 people into interested prospects.</w:t>
      </w:r>
    </w:p>
    <w:p>
      <w:pPr>
        <w:pStyle w:val="ListBullet"/>
        <w:jc w:val="left"/>
      </w:pPr>
      <w:r>
        <w:rPr>
          <w:rFonts w:ascii="Arial" w:hAnsi="Arial" w:eastAsia="Arial"/>
          <w:sz w:val="22"/>
        </w:rPr>
        <w:t>Evaluation: Contact 500 potential owners monthly.</w:t>
      </w:r>
    </w:p>
    <w:p>
      <w:pPr>
        <w:pStyle w:val="ListBullet"/>
        <w:jc w:val="left"/>
      </w:pPr>
      <w:r>
        <w:rPr>
          <w:rFonts w:ascii="Arial" w:hAnsi="Arial" w:eastAsia="Arial"/>
          <w:sz w:val="22"/>
        </w:rPr>
        <w:t>Intent: Hold 50 initial meetings monthly.</w:t>
      </w:r>
    </w:p>
    <w:p>
      <w:pPr>
        <w:pStyle w:val="ListBullet"/>
        <w:jc w:val="left"/>
      </w:pPr>
      <w:r>
        <w:rPr>
          <w:rFonts w:ascii="Arial" w:hAnsi="Arial" w:eastAsia="Arial"/>
          <w:sz w:val="22"/>
        </w:rPr>
        <w:t>Purchase: Sign 2 - 4 Muhassah contracts monthly.</w:t>
      </w:r>
    </w:p>
    <w:p>
      <w:pPr>
        <w:pStyle w:val="Heading2"/>
        <w:jc w:val="left"/>
      </w:pPr>
      <w:r>
        <w:rPr>
          <w:rFonts w:ascii="Arial" w:hAnsi="Arial" w:eastAsia="Arial"/>
          <w:color w:val="D4A853"/>
          <w:sz w:val="28"/>
        </w:rPr>
        <w:t>5.3 Owner Outreach Strategy</w:t>
      </w:r>
    </w:p>
    <w:p>
      <w:pPr>
        <w:pStyle w:val="ListBullet"/>
        <w:jc w:val="left"/>
      </w:pPr>
      <w:r>
        <w:rPr>
          <w:rFonts w:ascii="Arial" w:hAnsi="Arial" w:eastAsia="Arial"/>
          <w:sz w:val="22"/>
        </w:rPr>
        <w:t>Build a comprehensive database of incomplete real estate assets in target areas.</w:t>
      </w:r>
    </w:p>
    <w:p>
      <w:pPr>
        <w:pStyle w:val="ListBullet"/>
        <w:jc w:val="left"/>
      </w:pPr>
      <w:r>
        <w:rPr>
          <w:rFonts w:ascii="Arial" w:hAnsi="Arial" w:eastAsia="Arial"/>
          <w:sz w:val="22"/>
        </w:rPr>
        <w:t>Establish strategic partnerships with appraisers and real estate brokers.</w:t>
      </w:r>
    </w:p>
    <w:p>
      <w:pPr>
        <w:pStyle w:val="ListBullet"/>
        <w:jc w:val="left"/>
      </w:pPr>
      <w:r>
        <w:rPr>
          <w:rFonts w:ascii="Arial" w:hAnsi="Arial" w:eastAsia="Arial"/>
          <w:sz w:val="22"/>
        </w:rPr>
        <w:t>Participate in annual real estate exhibitions within the Kingdom.</w:t>
      </w:r>
    </w:p>
    <w:p>
      <w:pPr>
        <w:pStyle w:val="ListBullet"/>
        <w:jc w:val="left"/>
      </w:pPr>
      <w:r>
        <w:rPr>
          <w:rFonts w:ascii="Arial" w:hAnsi="Arial" w:eastAsia="Arial"/>
          <w:sz w:val="22"/>
        </w:rPr>
        <w:t>Launch awareness campaigns about the benefits of revitalizing incomplete assets.</w:t>
      </w:r>
    </w:p>
    <w:p>
      <w:r>
        <w:br w:type="page"/>
      </w:r>
    </w:p>
    <w:p>
      <w:pPr>
        <w:pStyle w:val="Heading1"/>
        <w:jc w:val="left"/>
      </w:pPr>
      <w:r>
        <w:rPr>
          <w:rFonts w:ascii="Arial" w:hAnsi="Arial" w:eastAsia="Arial"/>
          <w:color w:val="003366"/>
          <w:sz w:val="36"/>
        </w:rPr>
        <w:t>6. Operational Plan</w:t>
      </w:r>
    </w:p>
    <w:p>
      <w:pPr>
        <w:pStyle w:val="Heading2"/>
        <w:jc w:val="left"/>
      </w:pPr>
      <w:r>
        <w:rPr>
          <w:rFonts w:ascii="Arial" w:hAnsi="Arial" w:eastAsia="Arial"/>
          <w:color w:val="D4A853"/>
          <w:sz w:val="28"/>
        </w:rPr>
        <w:t>6.1 Project Phases</w:t>
      </w:r>
    </w:p>
    <w:tbl>
      <w:tblPr>
        <w:tblStyle w:val="LightGrid-Accent1"/>
        <w:tblW w:type="auto" w:w="0"/>
        <w:jc w:val="left"/>
        <w:tblLayout w:type="autofit"/>
        <w:tblLook w:firstColumn="1" w:firstRow="1" w:lastColumn="0" w:lastRow="0" w:noHBand="0" w:noVBand="1" w:val="04A0"/>
      </w:tblPr>
      <w:tblGrid>
        <w:gridCol w:w="3010"/>
        <w:gridCol w:w="3010"/>
        <w:gridCol w:w="3010"/>
      </w:tblGrid>
      <w:tr>
        <w:tc>
          <w:tcPr>
            <w:tcW w:type="dxa" w:w="3010"/>
            <w:shd w:fill="0A0F1A"/>
          </w:tcPr>
          <w:p>
            <w:pPr>
              <w:jc w:val="left"/>
            </w:pPr>
            <w:r>
              <w:rPr>
                <w:rFonts w:ascii="Arial" w:hAnsi="Arial" w:eastAsia="Arial"/>
                <w:b/>
                <w:color w:val="FFFFFF"/>
              </w:rPr>
              <w:t>Phase</w:t>
            </w:r>
          </w:p>
        </w:tc>
        <w:tc>
          <w:tcPr>
            <w:tcW w:type="dxa" w:w="3010"/>
            <w:shd w:fill="0A0F1A"/>
          </w:tcPr>
          <w:p>
            <w:pPr>
              <w:jc w:val="left"/>
            </w:pPr>
            <w:r>
              <w:rPr>
                <w:rFonts w:ascii="Arial" w:hAnsi="Arial" w:eastAsia="Arial"/>
                <w:b/>
                <w:color w:val="FFFFFF"/>
              </w:rPr>
              <w:t>Duration</w:t>
            </w:r>
          </w:p>
        </w:tc>
        <w:tc>
          <w:tcPr>
            <w:tcW w:type="dxa" w:w="3010"/>
            <w:shd w:fill="0A0F1A"/>
          </w:tcPr>
          <w:p>
            <w:pPr>
              <w:jc w:val="left"/>
            </w:pPr>
            <w:r>
              <w:rPr>
                <w:rFonts w:ascii="Arial" w:hAnsi="Arial" w:eastAsia="Arial"/>
                <w:b/>
                <w:color w:val="FFFFFF"/>
              </w:rPr>
              <w:t>Key Activities</w:t>
            </w:r>
          </w:p>
        </w:tc>
      </w:tr>
      <w:tr>
        <w:tc>
          <w:tcPr>
            <w:tcW w:type="dxa" w:w="3010"/>
          </w:tcPr>
          <w:p>
            <w:pPr>
              <w:jc w:val="left"/>
            </w:pPr>
            <w:r>
              <w:rPr>
                <w:rFonts w:ascii="Arial" w:hAnsi="Arial" w:eastAsia="Arial"/>
              </w:rPr>
              <w:t>Phase</w:t>
            </w:r>
          </w:p>
        </w:tc>
        <w:tc>
          <w:tcPr>
            <w:tcW w:type="dxa" w:w="3010"/>
          </w:tcPr>
          <w:p>
            <w:pPr>
              <w:jc w:val="left"/>
            </w:pPr>
            <w:r>
              <w:rPr>
                <w:rFonts w:ascii="Arial" w:hAnsi="Arial" w:eastAsia="Arial"/>
              </w:rPr>
              <w:t>Duration</w:t>
            </w:r>
          </w:p>
        </w:tc>
        <w:tc>
          <w:tcPr>
            <w:tcW w:type="dxa" w:w="3010"/>
          </w:tcPr>
          <w:p>
            <w:pPr>
              <w:jc w:val="left"/>
            </w:pPr>
            <w:r>
              <w:rPr>
                <w:rFonts w:ascii="Arial" w:hAnsi="Arial" w:eastAsia="Arial"/>
              </w:rPr>
              <w:t>Key Activities</w:t>
            </w:r>
          </w:p>
        </w:tc>
      </w:tr>
      <w:tr>
        <w:tc>
          <w:tcPr>
            <w:tcW w:type="dxa" w:w="3010"/>
          </w:tcPr>
          <w:p>
            <w:pPr>
              <w:jc w:val="left"/>
            </w:pPr>
            <w:r>
              <w:rPr>
                <w:rFonts w:ascii="Arial" w:hAnsi="Arial" w:eastAsia="Arial"/>
              </w:rPr>
              <w:t>Assessment</w:t>
            </w:r>
          </w:p>
        </w:tc>
        <w:tc>
          <w:tcPr>
            <w:tcW w:type="dxa" w:w="3010"/>
          </w:tcPr>
          <w:p>
            <w:pPr>
              <w:jc w:val="left"/>
            </w:pPr>
            <w:r>
              <w:rPr>
                <w:rFonts w:ascii="Arial" w:hAnsi="Arial" w:eastAsia="Arial"/>
              </w:rPr>
              <w:t>4 weeks</w:t>
            </w:r>
          </w:p>
        </w:tc>
        <w:tc>
          <w:tcPr>
            <w:tcW w:type="dxa" w:w="3010"/>
          </w:tcPr>
          <w:p>
            <w:pPr>
              <w:jc w:val="left"/>
            </w:pPr>
            <w:r>
              <w:rPr>
                <w:rFonts w:ascii="Arial" w:hAnsi="Arial" w:eastAsia="Arial"/>
              </w:rPr>
              <w:t>Structural inspection, legal review, initial cost estimate</w:t>
            </w:r>
          </w:p>
        </w:tc>
      </w:tr>
      <w:tr>
        <w:tc>
          <w:tcPr>
            <w:tcW w:type="dxa" w:w="3010"/>
          </w:tcPr>
          <w:p>
            <w:pPr>
              <w:jc w:val="left"/>
            </w:pPr>
            <w:r>
              <w:rPr>
                <w:rFonts w:ascii="Arial" w:hAnsi="Arial" w:eastAsia="Arial"/>
              </w:rPr>
              <w:t>Contracting</w:t>
            </w:r>
          </w:p>
        </w:tc>
        <w:tc>
          <w:tcPr>
            <w:tcW w:type="dxa" w:w="3010"/>
          </w:tcPr>
          <w:p>
            <w:pPr>
              <w:jc w:val="left"/>
            </w:pPr>
            <w:r>
              <w:rPr>
                <w:rFonts w:ascii="Arial" w:hAnsi="Arial" w:eastAsia="Arial"/>
              </w:rPr>
              <w:t>2 - 4 weeks</w:t>
            </w:r>
          </w:p>
        </w:tc>
        <w:tc>
          <w:tcPr>
            <w:tcW w:type="dxa" w:w="3010"/>
          </w:tcPr>
          <w:p>
            <w:pPr>
              <w:jc w:val="left"/>
            </w:pPr>
            <w:r>
              <w:rPr>
                <w:rFonts w:ascii="Arial" w:hAnsi="Arial" w:eastAsia="Arial"/>
              </w:rPr>
              <w:t>Draft Muhassah contract, obtain necessary approvals</w:t>
            </w:r>
          </w:p>
        </w:tc>
      </w:tr>
      <w:tr>
        <w:tc>
          <w:tcPr>
            <w:tcW w:type="dxa" w:w="3010"/>
          </w:tcPr>
          <w:p>
            <w:pPr>
              <w:jc w:val="left"/>
            </w:pPr>
            <w:r>
              <w:rPr>
                <w:rFonts w:ascii="Arial" w:hAnsi="Arial" w:eastAsia="Arial"/>
              </w:rPr>
              <w:t>Design</w:t>
            </w:r>
          </w:p>
        </w:tc>
        <w:tc>
          <w:tcPr>
            <w:tcW w:type="dxa" w:w="3010"/>
          </w:tcPr>
          <w:p>
            <w:pPr>
              <w:jc w:val="left"/>
            </w:pPr>
            <w:r>
              <w:rPr>
                <w:rFonts w:ascii="Arial" w:hAnsi="Arial" w:eastAsia="Arial"/>
              </w:rPr>
              <w:t>4 - 8 weeks</w:t>
            </w:r>
          </w:p>
        </w:tc>
        <w:tc>
          <w:tcPr>
            <w:tcW w:type="dxa" w:w="3010"/>
          </w:tcPr>
          <w:p>
            <w:pPr>
              <w:jc w:val="left"/>
            </w:pPr>
            <w:r>
              <w:rPr>
                <w:rFonts w:ascii="Arial" w:hAnsi="Arial" w:eastAsia="Arial"/>
              </w:rPr>
              <w:t>Prepare designs and obtain municipal licenses</w:t>
            </w:r>
          </w:p>
        </w:tc>
      </w:tr>
      <w:tr>
        <w:tc>
          <w:tcPr>
            <w:tcW w:type="dxa" w:w="3010"/>
          </w:tcPr>
          <w:p>
            <w:pPr>
              <w:jc w:val="left"/>
            </w:pPr>
            <w:r>
              <w:rPr>
                <w:rFonts w:ascii="Arial" w:hAnsi="Arial" w:eastAsia="Arial"/>
              </w:rPr>
              <w:t>Finishing</w:t>
            </w:r>
          </w:p>
        </w:tc>
        <w:tc>
          <w:tcPr>
            <w:tcW w:type="dxa" w:w="3010"/>
          </w:tcPr>
          <w:p>
            <w:pPr>
              <w:jc w:val="left"/>
            </w:pPr>
            <w:r>
              <w:rPr>
                <w:rFonts w:ascii="Arial" w:hAnsi="Arial" w:eastAsia="Arial"/>
              </w:rPr>
              <w:t>16 - 24 weeks</w:t>
            </w:r>
          </w:p>
        </w:tc>
        <w:tc>
          <w:tcPr>
            <w:tcW w:type="dxa" w:w="3010"/>
          </w:tcPr>
          <w:p>
            <w:pPr>
              <w:jc w:val="left"/>
            </w:pPr>
            <w:r>
              <w:rPr>
                <w:rFonts w:ascii="Arial" w:hAnsi="Arial" w:eastAsia="Arial"/>
              </w:rPr>
              <w:t>Select contractor, daily supervision, periodic inspection</w:t>
            </w:r>
          </w:p>
        </w:tc>
      </w:tr>
      <w:tr>
        <w:tc>
          <w:tcPr>
            <w:tcW w:type="dxa" w:w="3010"/>
          </w:tcPr>
          <w:p>
            <w:pPr>
              <w:jc w:val="left"/>
            </w:pPr>
            <w:r>
              <w:rPr>
                <w:rFonts w:ascii="Arial" w:hAnsi="Arial" w:eastAsia="Arial"/>
              </w:rPr>
              <w:t>Marketing and Sales</w:t>
            </w:r>
          </w:p>
        </w:tc>
        <w:tc>
          <w:tcPr>
            <w:tcW w:type="dxa" w:w="3010"/>
          </w:tcPr>
          <w:p>
            <w:pPr>
              <w:jc w:val="left"/>
            </w:pPr>
            <w:r>
              <w:rPr>
                <w:rFonts w:ascii="Arial" w:hAnsi="Arial" w:eastAsia="Arial"/>
              </w:rPr>
              <w:t>12 - 24 weeks</w:t>
            </w:r>
          </w:p>
        </w:tc>
        <w:tc>
          <w:tcPr>
            <w:tcW w:type="dxa" w:w="3010"/>
          </w:tcPr>
          <w:p>
            <w:pPr>
              <w:jc w:val="left"/>
            </w:pPr>
            <w:r>
              <w:rPr>
                <w:rFonts w:ascii="Arial" w:hAnsi="Arial" w:eastAsia="Arial"/>
              </w:rPr>
              <w:t>Display units, receive clients, sales contracts</w:t>
            </w:r>
          </w:p>
        </w:tc>
      </w:tr>
      <w:tr>
        <w:tc>
          <w:tcPr>
            <w:tcW w:type="dxa" w:w="3010"/>
          </w:tcPr>
          <w:p>
            <w:pPr>
              <w:jc w:val="left"/>
            </w:pPr>
            <w:r>
              <w:rPr>
                <w:rFonts w:ascii="Arial" w:hAnsi="Arial" w:eastAsia="Arial"/>
              </w:rPr>
              <w:t>Delivery and Settlement</w:t>
            </w:r>
          </w:p>
        </w:tc>
        <w:tc>
          <w:tcPr>
            <w:tcW w:type="dxa" w:w="3010"/>
          </w:tcPr>
          <w:p>
            <w:pPr>
              <w:jc w:val="left"/>
            </w:pPr>
            <w:r>
              <w:rPr>
                <w:rFonts w:ascii="Arial" w:hAnsi="Arial" w:eastAsia="Arial"/>
              </w:rPr>
              <w:t>4 - 8 weeks</w:t>
            </w:r>
          </w:p>
        </w:tc>
        <w:tc>
          <w:tcPr>
            <w:tcW w:type="dxa" w:w="3010"/>
          </w:tcPr>
          <w:p>
            <w:pPr>
              <w:jc w:val="left"/>
            </w:pPr>
            <w:r>
              <w:rPr>
                <w:rFonts w:ascii="Arial" w:hAnsi="Arial" w:eastAsia="Arial"/>
              </w:rPr>
              <w:t>Deliver units, transfer ownership, distribute profits</w:t>
            </w:r>
          </w:p>
        </w:tc>
      </w:tr>
    </w:tbl>
    <w:p>
      <w:pPr>
        <w:pStyle w:val="Heading2"/>
        <w:jc w:val="left"/>
      </w:pPr>
      <w:r>
        <w:rPr>
          <w:rFonts w:ascii="Arial" w:hAnsi="Arial" w:eastAsia="Arial"/>
          <w:color w:val="D4A853"/>
          <w:sz w:val="28"/>
        </w:rPr>
        <w:t>6.2 Key Performance Indicators (KPIs)</w:t>
      </w:r>
    </w:p>
    <w:tbl>
      <w:tblPr>
        <w:tblStyle w:val="LightGrid-Accent1"/>
        <w:tblW w:type="auto" w:w="0"/>
        <w:jc w:val="left"/>
        <w:tblLayout w:type="autofit"/>
        <w:tblLook w:firstColumn="1" w:firstRow="1" w:lastColumn="0" w:lastRow="0" w:noHBand="0" w:noVBand="1" w:val="04A0"/>
      </w:tblPr>
      <w:tblGrid>
        <w:gridCol w:w="2257"/>
        <w:gridCol w:w="2257"/>
        <w:gridCol w:w="2257"/>
        <w:gridCol w:w="2257"/>
      </w:tblGrid>
      <w:tr>
        <w:tc>
          <w:tcPr>
            <w:tcW w:type="dxa" w:w="2257"/>
            <w:shd w:fill="0A0F1A"/>
          </w:tcPr>
          <w:p>
            <w:pPr>
              <w:jc w:val="left"/>
            </w:pPr>
            <w:r>
              <w:rPr>
                <w:rFonts w:ascii="Arial" w:hAnsi="Arial" w:eastAsia="Arial"/>
                <w:b/>
                <w:color w:val="FFFFFF"/>
              </w:rPr>
              <w:t>Indicator</w:t>
            </w:r>
          </w:p>
        </w:tc>
        <w:tc>
          <w:tcPr>
            <w:tcW w:type="dxa" w:w="2257"/>
            <w:shd w:fill="0A0F1A"/>
          </w:tcPr>
          <w:p>
            <w:pPr>
              <w:jc w:val="left"/>
            </w:pPr>
            <w:r>
              <w:rPr>
                <w:rFonts w:ascii="Arial" w:hAnsi="Arial" w:eastAsia="Arial"/>
                <w:b/>
                <w:color w:val="FFFFFF"/>
              </w:rPr>
              <w:t>Target</w:t>
            </w:r>
          </w:p>
        </w:tc>
        <w:tc>
          <w:tcPr>
            <w:tcW w:type="dxa" w:w="2257"/>
            <w:shd w:fill="0A0F1A"/>
          </w:tcPr>
          <w:p>
            <w:pPr>
              <w:jc w:val="left"/>
            </w:pPr>
            <w:r>
              <w:rPr>
                <w:rFonts w:ascii="Arial" w:hAnsi="Arial" w:eastAsia="Arial"/>
                <w:b/>
                <w:color w:val="FFFFFF"/>
              </w:rPr>
              <w:t>Warning</w:t>
            </w:r>
          </w:p>
        </w:tc>
        <w:tc>
          <w:tcPr>
            <w:tcW w:type="dxa" w:w="2257"/>
            <w:shd w:fill="0A0F1A"/>
          </w:tcPr>
          <w:p>
            <w:pPr>
              <w:jc w:val="left"/>
            </w:pPr>
            <w:r>
              <w:rPr>
                <w:rFonts w:ascii="Arial" w:hAnsi="Arial" w:eastAsia="Arial"/>
                <w:b/>
                <w:color w:val="FFFFFF"/>
              </w:rPr>
              <w:t>Risk</w:t>
            </w:r>
          </w:p>
        </w:tc>
      </w:tr>
      <w:tr>
        <w:tc>
          <w:tcPr>
            <w:tcW w:type="dxa" w:w="2257"/>
          </w:tcPr>
          <w:p>
            <w:pPr>
              <w:jc w:val="left"/>
            </w:pPr>
            <w:r>
              <w:rPr>
                <w:rFonts w:ascii="Arial" w:hAnsi="Arial" w:eastAsia="Arial"/>
              </w:rPr>
              <w:t>Indicator</w:t>
            </w:r>
          </w:p>
        </w:tc>
        <w:tc>
          <w:tcPr>
            <w:tcW w:type="dxa" w:w="2257"/>
          </w:tcPr>
          <w:p>
            <w:pPr>
              <w:jc w:val="left"/>
            </w:pPr>
            <w:r>
              <w:rPr>
                <w:rFonts w:ascii="Arial" w:hAnsi="Arial" w:eastAsia="Arial"/>
              </w:rPr>
              <w:t>Target</w:t>
            </w:r>
          </w:p>
        </w:tc>
        <w:tc>
          <w:tcPr>
            <w:tcW w:type="dxa" w:w="2257"/>
          </w:tcPr>
          <w:p>
            <w:pPr>
              <w:jc w:val="left"/>
            </w:pPr>
            <w:r>
              <w:rPr>
                <w:rFonts w:ascii="Arial" w:hAnsi="Arial" w:eastAsia="Arial"/>
              </w:rPr>
              <w:t>Warning</w:t>
            </w:r>
          </w:p>
        </w:tc>
        <w:tc>
          <w:tcPr>
            <w:tcW w:type="dxa" w:w="2257"/>
          </w:tcPr>
          <w:p>
            <w:pPr>
              <w:jc w:val="left"/>
            </w:pPr>
            <w:r>
              <w:rPr>
                <w:rFonts w:ascii="Arial" w:hAnsi="Arial" w:eastAsia="Arial"/>
              </w:rPr>
              <w:t>Risk</w:t>
            </w:r>
          </w:p>
        </w:tc>
      </w:tr>
      <w:tr>
        <w:tc>
          <w:tcPr>
            <w:tcW w:type="dxa" w:w="2257"/>
          </w:tcPr>
          <w:p>
            <w:pPr>
              <w:jc w:val="left"/>
            </w:pPr>
            <w:r>
              <w:rPr>
                <w:rFonts w:ascii="Arial" w:hAnsi="Arial" w:eastAsia="Arial"/>
              </w:rPr>
              <w:t>Finishing Completion Rate</w:t>
            </w:r>
          </w:p>
        </w:tc>
        <w:tc>
          <w:tcPr>
            <w:tcW w:type="dxa" w:w="2257"/>
          </w:tcPr>
          <w:p>
            <w:pPr>
              <w:jc w:val="left"/>
            </w:pPr>
            <w:r>
              <w:rPr>
                <w:rFonts w:ascii="Arial" w:hAnsi="Arial" w:eastAsia="Arial"/>
              </w:rPr>
              <w:t>&gt;80% by month 4</w:t>
            </w:r>
          </w:p>
        </w:tc>
        <w:tc>
          <w:tcPr>
            <w:tcW w:type="dxa" w:w="2257"/>
          </w:tcPr>
          <w:p>
            <w:pPr>
              <w:jc w:val="left"/>
            </w:pPr>
            <w:r>
              <w:rPr>
                <w:rFonts w:ascii="Arial" w:hAnsi="Arial" w:eastAsia="Arial"/>
              </w:rPr>
              <w:t>&lt;60%</w:t>
            </w:r>
          </w:p>
        </w:tc>
        <w:tc>
          <w:tcPr>
            <w:tcW w:type="dxa" w:w="2257"/>
          </w:tcPr>
          <w:p>
            <w:pPr>
              <w:jc w:val="left"/>
            </w:pPr>
            <w:r>
              <w:rPr>
                <w:rFonts w:ascii="Arial" w:hAnsi="Arial" w:eastAsia="Arial"/>
              </w:rPr>
              <w:t>Contractor delay</w:t>
            </w:r>
          </w:p>
        </w:tc>
      </w:tr>
      <w:tr>
        <w:tc>
          <w:tcPr>
            <w:tcW w:type="dxa" w:w="2257"/>
          </w:tcPr>
          <w:p>
            <w:pPr>
              <w:jc w:val="left"/>
            </w:pPr>
            <w:r>
              <w:rPr>
                <w:rFonts w:ascii="Arial" w:hAnsi="Arial" w:eastAsia="Arial"/>
              </w:rPr>
              <w:t>Unit Sales Rate</w:t>
            </w:r>
          </w:p>
        </w:tc>
        <w:tc>
          <w:tcPr>
            <w:tcW w:type="dxa" w:w="2257"/>
          </w:tcPr>
          <w:p>
            <w:pPr>
              <w:jc w:val="left"/>
            </w:pPr>
            <w:r>
              <w:rPr>
                <w:rFonts w:ascii="Arial" w:hAnsi="Arial" w:eastAsia="Arial"/>
              </w:rPr>
              <w:t>&gt;30% by month 2</w:t>
            </w:r>
          </w:p>
        </w:tc>
        <w:tc>
          <w:tcPr>
            <w:tcW w:type="dxa" w:w="2257"/>
          </w:tcPr>
          <w:p>
            <w:pPr>
              <w:jc w:val="left"/>
            </w:pPr>
            <w:r>
              <w:rPr>
                <w:rFonts w:ascii="Arial" w:hAnsi="Arial" w:eastAsia="Arial"/>
              </w:rPr>
              <w:t>&lt;10%</w:t>
            </w:r>
          </w:p>
        </w:tc>
        <w:tc>
          <w:tcPr>
            <w:tcW w:type="dxa" w:w="2257"/>
          </w:tcPr>
          <w:p>
            <w:pPr>
              <w:jc w:val="left"/>
            </w:pPr>
            <w:r>
              <w:rPr>
                <w:rFonts w:ascii="Arial" w:hAnsi="Arial" w:eastAsia="Arial"/>
              </w:rPr>
              <w:t>Weak demand</w:t>
            </w:r>
          </w:p>
        </w:tc>
      </w:tr>
      <w:tr>
        <w:tc>
          <w:tcPr>
            <w:tcW w:type="dxa" w:w="2257"/>
          </w:tcPr>
          <w:p>
            <w:pPr>
              <w:jc w:val="left"/>
            </w:pPr>
            <w:r>
              <w:rPr>
                <w:rFonts w:ascii="Arial" w:hAnsi="Arial" w:eastAsia="Arial"/>
              </w:rPr>
              <w:t>Finishing Cost vs. Budget</w:t>
            </w:r>
          </w:p>
        </w:tc>
        <w:tc>
          <w:tcPr>
            <w:tcW w:type="dxa" w:w="2257"/>
          </w:tcPr>
          <w:p>
            <w:pPr>
              <w:jc w:val="left"/>
            </w:pPr>
            <w:r>
              <w:rPr>
                <w:rFonts w:ascii="Arial" w:hAnsi="Arial" w:eastAsia="Arial"/>
              </w:rPr>
              <w:t>&lt;105%</w:t>
            </w:r>
          </w:p>
        </w:tc>
        <w:tc>
          <w:tcPr>
            <w:tcW w:type="dxa" w:w="2257"/>
          </w:tcPr>
          <w:p>
            <w:pPr>
              <w:jc w:val="left"/>
            </w:pPr>
            <w:r>
              <w:rPr>
                <w:rFonts w:ascii="Arial" w:hAnsi="Arial" w:eastAsia="Arial"/>
              </w:rPr>
              <w:t>&gt;115%</w:t>
            </w:r>
          </w:p>
        </w:tc>
        <w:tc>
          <w:tcPr>
            <w:tcW w:type="dxa" w:w="2257"/>
          </w:tcPr>
          <w:p>
            <w:pPr>
              <w:jc w:val="left"/>
            </w:pPr>
            <w:r>
              <w:rPr>
                <w:rFonts w:ascii="Arial" w:hAnsi="Arial" w:eastAsia="Arial"/>
              </w:rPr>
              <w:t>Hidden defects</w:t>
            </w:r>
          </w:p>
        </w:tc>
      </w:tr>
      <w:tr>
        <w:tc>
          <w:tcPr>
            <w:tcW w:type="dxa" w:w="2257"/>
          </w:tcPr>
          <w:p>
            <w:pPr>
              <w:jc w:val="left"/>
            </w:pPr>
            <w:r>
              <w:rPr>
                <w:rFonts w:ascii="Arial" w:hAnsi="Arial" w:eastAsia="Arial"/>
              </w:rPr>
              <w:t>Customer Satisfaction (NPS)</w:t>
            </w:r>
          </w:p>
        </w:tc>
        <w:tc>
          <w:tcPr>
            <w:tcW w:type="dxa" w:w="2257"/>
          </w:tcPr>
          <w:p>
            <w:pPr>
              <w:jc w:val="left"/>
            </w:pPr>
            <w:r>
              <w:rPr>
                <w:rFonts w:ascii="Arial" w:hAnsi="Arial" w:eastAsia="Arial"/>
              </w:rPr>
              <w:t>&gt;50</w:t>
            </w:r>
          </w:p>
        </w:tc>
        <w:tc>
          <w:tcPr>
            <w:tcW w:type="dxa" w:w="2257"/>
          </w:tcPr>
          <w:p>
            <w:pPr>
              <w:jc w:val="left"/>
            </w:pPr>
            <w:r>
              <w:rPr>
                <w:rFonts w:ascii="Arial" w:hAnsi="Arial" w:eastAsia="Arial"/>
              </w:rPr>
              <w:t>&lt;30</w:t>
            </w:r>
          </w:p>
        </w:tc>
        <w:tc>
          <w:tcPr>
            <w:tcW w:type="dxa" w:w="2257"/>
          </w:tcPr>
          <w:p>
            <w:pPr>
              <w:jc w:val="left"/>
            </w:pPr>
            <w:r>
              <w:rPr>
                <w:rFonts w:ascii="Arial" w:hAnsi="Arial" w:eastAsia="Arial"/>
              </w:rPr>
              <w:t>Quality issues</w:t>
            </w:r>
          </w:p>
        </w:tc>
      </w:tr>
      <w:tr>
        <w:tc>
          <w:tcPr>
            <w:tcW w:type="dxa" w:w="2257"/>
          </w:tcPr>
          <w:p>
            <w:pPr>
              <w:jc w:val="left"/>
            </w:pPr>
            <w:r>
              <w:rPr>
                <w:rFonts w:ascii="Arial" w:hAnsi="Arial" w:eastAsia="Arial"/>
              </w:rPr>
              <w:t>Sales Duration</w:t>
            </w:r>
          </w:p>
        </w:tc>
        <w:tc>
          <w:tcPr>
            <w:tcW w:type="dxa" w:w="2257"/>
          </w:tcPr>
          <w:p>
            <w:pPr>
              <w:jc w:val="left"/>
            </w:pPr>
            <w:r>
              <w:rPr>
                <w:rFonts w:ascii="Arial" w:hAnsi="Arial" w:eastAsia="Arial"/>
              </w:rPr>
              <w:t>&lt;6 months</w:t>
            </w:r>
          </w:p>
        </w:tc>
        <w:tc>
          <w:tcPr>
            <w:tcW w:type="dxa" w:w="2257"/>
          </w:tcPr>
          <w:p>
            <w:pPr>
              <w:jc w:val="left"/>
            </w:pPr>
            <w:r>
              <w:rPr>
                <w:rFonts w:ascii="Arial" w:hAnsi="Arial" w:eastAsia="Arial"/>
              </w:rPr>
              <w:t>&gt;9 months</w:t>
            </w:r>
          </w:p>
        </w:tc>
        <w:tc>
          <w:tcPr>
            <w:tcW w:type="dxa" w:w="2257"/>
          </w:tcPr>
          <w:p>
            <w:pPr>
              <w:jc w:val="left"/>
            </w:pPr>
            <w:r>
              <w:rPr>
                <w:rFonts w:ascii="Arial" w:hAnsi="Arial" w:eastAsia="Arial"/>
              </w:rPr>
              <w:t>Market slowdown</w:t>
            </w:r>
          </w:p>
        </w:tc>
      </w:tr>
    </w:tbl>
    <w:p>
      <w:pPr>
        <w:pStyle w:val="Heading2"/>
        <w:jc w:val="left"/>
      </w:pPr>
      <w:r>
        <w:rPr>
          <w:rFonts w:ascii="Arial" w:hAnsi="Arial" w:eastAsia="Arial"/>
          <w:color w:val="D4A853"/>
          <w:sz w:val="28"/>
        </w:rPr>
        <w:t>6.3 Quality System</w:t>
      </w:r>
    </w:p>
    <w:p>
      <w:pPr>
        <w:pStyle w:val="ListBullet"/>
        <w:jc w:val="left"/>
      </w:pPr>
      <w:r>
        <w:rPr>
          <w:rFonts w:ascii="Arial" w:hAnsi="Arial" w:eastAsia="Arial"/>
          <w:sz w:val="22"/>
        </w:rPr>
        <w:t>Full compliance with the Saudi Building Code at all execution stages.</w:t>
      </w:r>
    </w:p>
    <w:p>
      <w:pPr>
        <w:pStyle w:val="ListBullet"/>
        <w:jc w:val="left"/>
      </w:pPr>
      <w:r>
        <w:rPr>
          <w:rFonts w:ascii="Arial" w:hAnsi="Arial" w:eastAsia="Arial"/>
          <w:sz w:val="22"/>
        </w:rPr>
        <w:t>Periodic quality inspections at every phase of finishing.</w:t>
      </w:r>
    </w:p>
    <w:p>
      <w:pPr>
        <w:pStyle w:val="ListBullet"/>
        <w:jc w:val="left"/>
      </w:pPr>
      <w:r>
        <w:rPr>
          <w:rFonts w:ascii="Arial" w:hAnsi="Arial" w:eastAsia="Arial"/>
          <w:sz w:val="22"/>
        </w:rPr>
        <w:t>Documentation of all materials used and their compliance certificates.</w:t>
      </w:r>
    </w:p>
    <w:p>
      <w:pPr>
        <w:pStyle w:val="ListBullet"/>
        <w:jc w:val="left"/>
      </w:pPr>
      <w:r>
        <w:rPr>
          <w:rFonts w:ascii="Arial" w:hAnsi="Arial" w:eastAsia="Arial"/>
          <w:sz w:val="22"/>
        </w:rPr>
        <w:t>Project handover with complete technical and legal file for owner and buyer.</w:t>
      </w:r>
    </w:p>
    <w:p>
      <w:r>
        <w:br w:type="page"/>
      </w:r>
    </w:p>
    <w:p>
      <w:pPr>
        <w:pStyle w:val="Heading1"/>
        <w:jc w:val="left"/>
      </w:pPr>
      <w:r>
        <w:rPr>
          <w:rFonts w:ascii="Arial" w:hAnsi="Arial" w:eastAsia="Arial"/>
          <w:color w:val="003366"/>
          <w:sz w:val="36"/>
        </w:rPr>
        <w:t>7. Management Team and Organizational Structure</w:t>
      </w:r>
    </w:p>
    <w:p>
      <w:pPr>
        <w:pStyle w:val="Heading2"/>
        <w:jc w:val="left"/>
      </w:pPr>
      <w:r>
        <w:rPr>
          <w:rFonts w:ascii="Arial" w:hAnsi="Arial" w:eastAsia="Arial"/>
          <w:color w:val="D4A853"/>
          <w:sz w:val="28"/>
        </w:rPr>
        <w:t>7.1 Organizational Structure</w:t>
      </w:r>
    </w:p>
    <w:p>
      <w:pPr>
        <w:jc w:val="left"/>
      </w:pPr>
      <w:r>
        <w:rPr>
          <w:rFonts w:ascii="Arial" w:hAnsi="Arial" w:eastAsia="Arial"/>
          <w:b w:val="0"/>
          <w:i w:val="0"/>
          <w:color w:val="000000"/>
          <w:sz w:val="24"/>
        </w:rPr>
        <w:t>The organizational structure is designed to be flexible and efficient, with an initial operational team of 15 employees in the early years, with the ability to expand according to portfolio growth.</w:t>
      </w:r>
    </w:p>
    <w:p>
      <w:pPr>
        <w:pStyle w:val="Heading2"/>
        <w:jc w:val="left"/>
      </w:pPr>
      <w:r>
        <w:rPr>
          <w:rFonts w:ascii="Arial" w:hAnsi="Arial" w:eastAsia="Arial"/>
          <w:color w:val="D4A853"/>
          <w:sz w:val="28"/>
        </w:rPr>
        <w:t>7.2 Key Management Roles</w:t>
      </w:r>
    </w:p>
    <w:tbl>
      <w:tblPr>
        <w:tblStyle w:val="LightGrid-Accent1"/>
        <w:tblW w:type="auto" w:w="0"/>
        <w:jc w:val="left"/>
        <w:tblLayout w:type="autofit"/>
        <w:tblLook w:firstColumn="1" w:firstRow="1" w:lastColumn="0" w:lastRow="0" w:noHBand="0" w:noVBand="1" w:val="04A0"/>
      </w:tblPr>
      <w:tblGrid>
        <w:gridCol w:w="4514"/>
        <w:gridCol w:w="4514"/>
      </w:tblGrid>
      <w:tr>
        <w:tc>
          <w:tcPr>
            <w:tcW w:type="dxa" w:w="4514"/>
            <w:shd w:fill="0A0F1A"/>
          </w:tcPr>
          <w:p>
            <w:pPr>
              <w:jc w:val="left"/>
            </w:pPr>
            <w:r>
              <w:rPr>
                <w:rFonts w:ascii="Arial" w:hAnsi="Arial" w:eastAsia="Arial"/>
                <w:b/>
                <w:color w:val="FFFFFF"/>
              </w:rPr>
              <w:t>Role</w:t>
            </w:r>
          </w:p>
        </w:tc>
        <w:tc>
          <w:tcPr>
            <w:tcW w:type="dxa" w:w="4514"/>
            <w:shd w:fill="0A0F1A"/>
          </w:tcPr>
          <w:p>
            <w:pPr>
              <w:jc w:val="left"/>
            </w:pPr>
            <w:r>
              <w:rPr>
                <w:rFonts w:ascii="Arial" w:hAnsi="Arial" w:eastAsia="Arial"/>
                <w:b/>
                <w:color w:val="FFFFFF"/>
              </w:rPr>
              <w:t>Key Responsibilities</w:t>
            </w:r>
          </w:p>
        </w:tc>
      </w:tr>
      <w:tr>
        <w:tc>
          <w:tcPr>
            <w:tcW w:type="dxa" w:w="4514"/>
          </w:tcPr>
          <w:p>
            <w:pPr>
              <w:jc w:val="left"/>
            </w:pPr>
            <w:r>
              <w:rPr>
                <w:rFonts w:ascii="Arial" w:hAnsi="Arial" w:eastAsia="Arial"/>
              </w:rPr>
              <w:t>Role</w:t>
            </w:r>
          </w:p>
        </w:tc>
        <w:tc>
          <w:tcPr>
            <w:tcW w:type="dxa" w:w="4514"/>
          </w:tcPr>
          <w:p>
            <w:pPr>
              <w:jc w:val="left"/>
            </w:pPr>
            <w:r>
              <w:rPr>
                <w:rFonts w:ascii="Arial" w:hAnsi="Arial" w:eastAsia="Arial"/>
              </w:rPr>
              <w:t>Key Responsibilities</w:t>
            </w:r>
          </w:p>
        </w:tc>
      </w:tr>
      <w:tr>
        <w:tc>
          <w:tcPr>
            <w:tcW w:type="dxa" w:w="4514"/>
          </w:tcPr>
          <w:p>
            <w:pPr>
              <w:jc w:val="left"/>
            </w:pPr>
            <w:r>
              <w:rPr>
                <w:rFonts w:ascii="Arial" w:hAnsi="Arial" w:eastAsia="Arial"/>
              </w:rPr>
              <w:t>Chief Executive Officer</w:t>
            </w:r>
          </w:p>
        </w:tc>
        <w:tc>
          <w:tcPr>
            <w:tcW w:type="dxa" w:w="4514"/>
          </w:tcPr>
          <w:p>
            <w:pPr>
              <w:jc w:val="left"/>
            </w:pPr>
            <w:r>
              <w:rPr>
                <w:rFonts w:ascii="Arial" w:hAnsi="Arial" w:eastAsia="Arial"/>
              </w:rPr>
              <w:t>Overall strategy, investor relations, major decision-making</w:t>
            </w:r>
          </w:p>
        </w:tc>
      </w:tr>
      <w:tr>
        <w:tc>
          <w:tcPr>
            <w:tcW w:type="dxa" w:w="4514"/>
          </w:tcPr>
          <w:p>
            <w:pPr>
              <w:jc w:val="left"/>
            </w:pPr>
            <w:r>
              <w:rPr>
                <w:rFonts w:ascii="Arial" w:hAnsi="Arial" w:eastAsia="Arial"/>
              </w:rPr>
              <w:t>Chief Operating Officer</w:t>
            </w:r>
          </w:p>
        </w:tc>
        <w:tc>
          <w:tcPr>
            <w:tcW w:type="dxa" w:w="4514"/>
          </w:tcPr>
          <w:p>
            <w:pPr>
              <w:jc w:val="left"/>
            </w:pPr>
            <w:r>
              <w:rPr>
                <w:rFonts w:ascii="Arial" w:hAnsi="Arial" w:eastAsia="Arial"/>
              </w:rPr>
              <w:t>Project management, contractor coordination, quality assurance</w:t>
            </w:r>
          </w:p>
        </w:tc>
      </w:tr>
      <w:tr>
        <w:tc>
          <w:tcPr>
            <w:tcW w:type="dxa" w:w="4514"/>
          </w:tcPr>
          <w:p>
            <w:pPr>
              <w:jc w:val="left"/>
            </w:pPr>
            <w:r>
              <w:rPr>
                <w:rFonts w:ascii="Arial" w:hAnsi="Arial" w:eastAsia="Arial"/>
              </w:rPr>
              <w:t>Chief Financial Officer</w:t>
            </w:r>
          </w:p>
        </w:tc>
        <w:tc>
          <w:tcPr>
            <w:tcW w:type="dxa" w:w="4514"/>
          </w:tcPr>
          <w:p>
            <w:pPr>
              <w:jc w:val="left"/>
            </w:pPr>
            <w:r>
              <w:rPr>
                <w:rFonts w:ascii="Arial" w:hAnsi="Arial" w:eastAsia="Arial"/>
              </w:rPr>
              <w:t>Cash flow management, financial reporting, financial planning</w:t>
            </w:r>
          </w:p>
        </w:tc>
      </w:tr>
      <w:tr>
        <w:tc>
          <w:tcPr>
            <w:tcW w:type="dxa" w:w="4514"/>
          </w:tcPr>
          <w:p>
            <w:pPr>
              <w:jc w:val="left"/>
            </w:pPr>
            <w:r>
              <w:rPr>
                <w:rFonts w:ascii="Arial" w:hAnsi="Arial" w:eastAsia="Arial"/>
              </w:rPr>
              <w:t>Commercial Director</w:t>
            </w:r>
          </w:p>
        </w:tc>
        <w:tc>
          <w:tcPr>
            <w:tcW w:type="dxa" w:w="4514"/>
          </w:tcPr>
          <w:p>
            <w:pPr>
              <w:jc w:val="left"/>
            </w:pPr>
            <w:r>
              <w:rPr>
                <w:rFonts w:ascii="Arial" w:hAnsi="Arial" w:eastAsia="Arial"/>
              </w:rPr>
              <w:t>Marketing and sales, owner relationships, business development</w:t>
            </w:r>
          </w:p>
        </w:tc>
      </w:tr>
      <w:tr>
        <w:tc>
          <w:tcPr>
            <w:tcW w:type="dxa" w:w="4514"/>
          </w:tcPr>
          <w:p>
            <w:pPr>
              <w:jc w:val="left"/>
            </w:pPr>
            <w:r>
              <w:rPr>
                <w:rFonts w:ascii="Arial" w:hAnsi="Arial" w:eastAsia="Arial"/>
              </w:rPr>
              <w:t>Legal Director</w:t>
            </w:r>
          </w:p>
        </w:tc>
        <w:tc>
          <w:tcPr>
            <w:tcW w:type="dxa" w:w="4514"/>
          </w:tcPr>
          <w:p>
            <w:pPr>
              <w:jc w:val="left"/>
            </w:pPr>
            <w:r>
              <w:rPr>
                <w:rFonts w:ascii="Arial" w:hAnsi="Arial" w:eastAsia="Arial"/>
              </w:rPr>
              <w:t>Contract drafting, compliance, dispute resolution</w:t>
            </w:r>
          </w:p>
        </w:tc>
      </w:tr>
      <w:tr>
        <w:tc>
          <w:tcPr>
            <w:tcW w:type="dxa" w:w="4514"/>
          </w:tcPr>
          <w:p>
            <w:pPr>
              <w:jc w:val="left"/>
            </w:pPr>
            <w:r>
              <w:rPr>
                <w:rFonts w:ascii="Arial" w:hAnsi="Arial" w:eastAsia="Arial"/>
              </w:rPr>
              <w:t>HR and Administration Manager</w:t>
            </w:r>
          </w:p>
        </w:tc>
        <w:tc>
          <w:tcPr>
            <w:tcW w:type="dxa" w:w="4514"/>
          </w:tcPr>
          <w:p>
            <w:pPr>
              <w:jc w:val="left"/>
            </w:pPr>
            <w:r>
              <w:rPr>
                <w:rFonts w:ascii="Arial" w:hAnsi="Arial" w:eastAsia="Arial"/>
              </w:rPr>
              <w:t>Employee management and administrative procedures</w:t>
            </w:r>
          </w:p>
        </w:tc>
      </w:tr>
    </w:tbl>
    <w:p>
      <w:pPr>
        <w:pStyle w:val="Heading2"/>
        <w:jc w:val="left"/>
      </w:pPr>
      <w:r>
        <w:rPr>
          <w:rFonts w:ascii="Arial" w:hAnsi="Arial" w:eastAsia="Arial"/>
          <w:color w:val="D4A853"/>
          <w:sz w:val="28"/>
        </w:rPr>
        <w:t>7.3 Hiring Plan</w:t>
      </w:r>
    </w:p>
    <w:tbl>
      <w:tblPr>
        <w:tblStyle w:val="LightGrid-Accent1"/>
        <w:tblW w:type="auto" w:w="0"/>
        <w:jc w:val="left"/>
        <w:tblLayout w:type="autofit"/>
        <w:tblLook w:firstColumn="1" w:firstRow="1" w:lastColumn="0" w:lastRow="0" w:noHBand="0" w:noVBand="1" w:val="04A0"/>
      </w:tblPr>
      <w:tblGrid>
        <w:gridCol w:w="3010"/>
        <w:gridCol w:w="3010"/>
        <w:gridCol w:w="3010"/>
      </w:tblGrid>
      <w:tr>
        <w:tc>
          <w:tcPr>
            <w:tcW w:type="dxa" w:w="3010"/>
            <w:shd w:fill="0A0F1A"/>
          </w:tcPr>
          <w:p>
            <w:pPr>
              <w:jc w:val="left"/>
            </w:pPr>
            <w:r>
              <w:rPr>
                <w:rFonts w:ascii="Arial" w:hAnsi="Arial" w:eastAsia="Arial"/>
                <w:b/>
                <w:color w:val="FFFFFF"/>
              </w:rPr>
              <w:t>Year</w:t>
            </w:r>
          </w:p>
        </w:tc>
        <w:tc>
          <w:tcPr>
            <w:tcW w:type="dxa" w:w="3010"/>
            <w:shd w:fill="0A0F1A"/>
          </w:tcPr>
          <w:p>
            <w:pPr>
              <w:jc w:val="left"/>
            </w:pPr>
            <w:r>
              <w:rPr>
                <w:rFonts w:ascii="Arial" w:hAnsi="Arial" w:eastAsia="Arial"/>
                <w:b/>
                <w:color w:val="FFFFFF"/>
              </w:rPr>
              <w:t>Number of Employees</w:t>
            </w:r>
          </w:p>
        </w:tc>
        <w:tc>
          <w:tcPr>
            <w:tcW w:type="dxa" w:w="3010"/>
            <w:shd w:fill="0A0F1A"/>
          </w:tcPr>
          <w:p>
            <w:pPr>
              <w:jc w:val="left"/>
            </w:pPr>
            <w:r>
              <w:rPr>
                <w:rFonts w:ascii="Arial" w:hAnsi="Arial" w:eastAsia="Arial"/>
                <w:b/>
                <w:color w:val="FFFFFF"/>
              </w:rPr>
              <w:t>Notes</w:t>
            </w:r>
          </w:p>
        </w:tc>
      </w:tr>
      <w:tr>
        <w:tc>
          <w:tcPr>
            <w:tcW w:type="dxa" w:w="3010"/>
          </w:tcPr>
          <w:p>
            <w:pPr>
              <w:jc w:val="left"/>
            </w:pPr>
            <w:r>
              <w:rPr>
                <w:rFonts w:ascii="Arial" w:hAnsi="Arial" w:eastAsia="Arial"/>
              </w:rPr>
              <w:t>Year</w:t>
            </w:r>
          </w:p>
        </w:tc>
        <w:tc>
          <w:tcPr>
            <w:tcW w:type="dxa" w:w="3010"/>
          </w:tcPr>
          <w:p>
            <w:pPr>
              <w:jc w:val="left"/>
            </w:pPr>
            <w:r>
              <w:rPr>
                <w:rFonts w:ascii="Arial" w:hAnsi="Arial" w:eastAsia="Arial"/>
              </w:rPr>
              <w:t>Number of Employees</w:t>
            </w:r>
          </w:p>
        </w:tc>
        <w:tc>
          <w:tcPr>
            <w:tcW w:type="dxa" w:w="3010"/>
          </w:tcPr>
          <w:p>
            <w:pPr>
              <w:jc w:val="left"/>
            </w:pPr>
            <w:r>
              <w:rPr>
                <w:rFonts w:ascii="Arial" w:hAnsi="Arial" w:eastAsia="Arial"/>
              </w:rPr>
              <w:t>Notes</w:t>
            </w:r>
          </w:p>
        </w:tc>
      </w:tr>
      <w:tr>
        <w:tc>
          <w:tcPr>
            <w:tcW w:type="dxa" w:w="3010"/>
          </w:tcPr>
          <w:p>
            <w:pPr>
              <w:jc w:val="left"/>
            </w:pPr>
            <w:r>
              <w:rPr>
                <w:rFonts w:ascii="Arial" w:hAnsi="Arial" w:eastAsia="Arial"/>
              </w:rPr>
              <w:t>Year 1</w:t>
            </w:r>
          </w:p>
        </w:tc>
        <w:tc>
          <w:tcPr>
            <w:tcW w:type="dxa" w:w="3010"/>
          </w:tcPr>
          <w:p>
            <w:pPr>
              <w:jc w:val="left"/>
            </w:pPr>
            <w:r>
              <w:rPr>
                <w:rFonts w:ascii="Arial" w:hAnsi="Arial" w:eastAsia="Arial"/>
              </w:rPr>
              <w:t>10 - 15</w:t>
            </w:r>
          </w:p>
        </w:tc>
        <w:tc>
          <w:tcPr>
            <w:tcW w:type="dxa" w:w="3010"/>
          </w:tcPr>
          <w:p>
            <w:pPr>
              <w:jc w:val="left"/>
            </w:pPr>
            <w:r>
              <w:rPr>
                <w:rFonts w:ascii="Arial" w:hAnsi="Arial" w:eastAsia="Arial"/>
              </w:rPr>
              <w:t>Core team for initial phase operation</w:t>
            </w:r>
          </w:p>
        </w:tc>
      </w:tr>
      <w:tr>
        <w:tc>
          <w:tcPr>
            <w:tcW w:type="dxa" w:w="3010"/>
          </w:tcPr>
          <w:p>
            <w:pPr>
              <w:jc w:val="left"/>
            </w:pPr>
            <w:r>
              <w:rPr>
                <w:rFonts w:ascii="Arial" w:hAnsi="Arial" w:eastAsia="Arial"/>
              </w:rPr>
              <w:t>Year 2</w:t>
            </w:r>
          </w:p>
        </w:tc>
        <w:tc>
          <w:tcPr>
            <w:tcW w:type="dxa" w:w="3010"/>
          </w:tcPr>
          <w:p>
            <w:pPr>
              <w:jc w:val="left"/>
            </w:pPr>
            <w:r>
              <w:rPr>
                <w:rFonts w:ascii="Arial" w:hAnsi="Arial" w:eastAsia="Arial"/>
              </w:rPr>
              <w:t>15</w:t>
            </w:r>
          </w:p>
        </w:tc>
        <w:tc>
          <w:tcPr>
            <w:tcW w:type="dxa" w:w="3010"/>
          </w:tcPr>
          <w:p>
            <w:pPr>
              <w:jc w:val="left"/>
            </w:pPr>
            <w:r>
              <w:rPr>
                <w:rFonts w:ascii="Arial" w:hAnsi="Arial" w:eastAsia="Arial"/>
              </w:rPr>
              <w:t>Stabilize operational structure</w:t>
            </w:r>
          </w:p>
        </w:tc>
      </w:tr>
      <w:tr>
        <w:tc>
          <w:tcPr>
            <w:tcW w:type="dxa" w:w="3010"/>
          </w:tcPr>
          <w:p>
            <w:pPr>
              <w:jc w:val="left"/>
            </w:pPr>
            <w:r>
              <w:rPr>
                <w:rFonts w:ascii="Arial" w:hAnsi="Arial" w:eastAsia="Arial"/>
              </w:rPr>
              <w:t>Year 3</w:t>
            </w:r>
          </w:p>
        </w:tc>
        <w:tc>
          <w:tcPr>
            <w:tcW w:type="dxa" w:w="3010"/>
          </w:tcPr>
          <w:p>
            <w:pPr>
              <w:jc w:val="left"/>
            </w:pPr>
            <w:r>
              <w:rPr>
                <w:rFonts w:ascii="Arial" w:hAnsi="Arial" w:eastAsia="Arial"/>
              </w:rPr>
              <w:t>18 - 20</w:t>
            </w:r>
          </w:p>
        </w:tc>
        <w:tc>
          <w:tcPr>
            <w:tcW w:type="dxa" w:w="3010"/>
          </w:tcPr>
          <w:p>
            <w:pPr>
              <w:jc w:val="left"/>
            </w:pPr>
            <w:r>
              <w:rPr>
                <w:rFonts w:ascii="Arial" w:hAnsi="Arial" w:eastAsia="Arial"/>
              </w:rPr>
              <w:t>Expand number of projects</w:t>
            </w:r>
          </w:p>
        </w:tc>
      </w:tr>
      <w:tr>
        <w:tc>
          <w:tcPr>
            <w:tcW w:type="dxa" w:w="3010"/>
          </w:tcPr>
          <w:p>
            <w:pPr>
              <w:jc w:val="left"/>
            </w:pPr>
            <w:r>
              <w:rPr>
                <w:rFonts w:ascii="Arial" w:hAnsi="Arial" w:eastAsia="Arial"/>
              </w:rPr>
              <w:t>Year 5</w:t>
            </w:r>
          </w:p>
        </w:tc>
        <w:tc>
          <w:tcPr>
            <w:tcW w:type="dxa" w:w="3010"/>
          </w:tcPr>
          <w:p>
            <w:pPr>
              <w:jc w:val="left"/>
            </w:pPr>
            <w:r>
              <w:rPr>
                <w:rFonts w:ascii="Arial" w:hAnsi="Arial" w:eastAsia="Arial"/>
              </w:rPr>
              <w:t>25 - 30</w:t>
            </w:r>
          </w:p>
        </w:tc>
        <w:tc>
          <w:tcPr>
            <w:tcW w:type="dxa" w:w="3010"/>
          </w:tcPr>
          <w:p>
            <w:pPr>
              <w:jc w:val="left"/>
            </w:pPr>
            <w:r>
              <w:rPr>
                <w:rFonts w:ascii="Arial" w:hAnsi="Arial" w:eastAsia="Arial"/>
              </w:rPr>
              <w:t>Support portfolio of 10 projects annually</w:t>
            </w:r>
          </w:p>
        </w:tc>
      </w:tr>
    </w:tbl>
    <w:p>
      <w:r>
        <w:br w:type="page"/>
      </w:r>
    </w:p>
    <w:p>
      <w:pPr>
        <w:pStyle w:val="Heading1"/>
        <w:jc w:val="left"/>
      </w:pPr>
      <w:r>
        <w:rPr>
          <w:rFonts w:ascii="Arial" w:hAnsi="Arial" w:eastAsia="Arial"/>
          <w:color w:val="003366"/>
          <w:sz w:val="36"/>
        </w:rPr>
        <w:t>8. Financial Plan</w:t>
      </w:r>
    </w:p>
    <w:p>
      <w:pPr>
        <w:pStyle w:val="Heading2"/>
        <w:jc w:val="left"/>
      </w:pPr>
      <w:r>
        <w:rPr>
          <w:rFonts w:ascii="Arial" w:hAnsi="Arial" w:eastAsia="Arial"/>
          <w:color w:val="D4A853"/>
          <w:sz w:val="28"/>
        </w:rPr>
        <w:t>8.1 Financial Model Assumptions</w:t>
      </w:r>
    </w:p>
    <w:tbl>
      <w:tblPr>
        <w:tblStyle w:val="LightGrid-Accent1"/>
        <w:tblW w:type="auto" w:w="0"/>
        <w:jc w:val="left"/>
        <w:tblLayout w:type="autofit"/>
        <w:tblLook w:firstColumn="1" w:firstRow="1" w:lastColumn="0" w:lastRow="0" w:noHBand="0" w:noVBand="1" w:val="04A0"/>
      </w:tblPr>
      <w:tblGrid>
        <w:gridCol w:w="4514"/>
        <w:gridCol w:w="4514"/>
      </w:tblGrid>
      <w:tr>
        <w:tc>
          <w:tcPr>
            <w:tcW w:type="dxa" w:w="4514"/>
            <w:shd w:fill="0A0F1A"/>
          </w:tcPr>
          <w:p>
            <w:pPr>
              <w:jc w:val="left"/>
            </w:pPr>
            <w:r>
              <w:rPr>
                <w:rFonts w:ascii="Arial" w:hAnsi="Arial" w:eastAsia="Arial"/>
                <w:b/>
                <w:color w:val="FFFFFF"/>
              </w:rPr>
              <w:t>Assumption</w:t>
            </w:r>
          </w:p>
        </w:tc>
        <w:tc>
          <w:tcPr>
            <w:tcW w:type="dxa" w:w="4514"/>
            <w:shd w:fill="0A0F1A"/>
          </w:tcPr>
          <w:p>
            <w:pPr>
              <w:jc w:val="left"/>
            </w:pPr>
            <w:r>
              <w:rPr>
                <w:rFonts w:ascii="Arial" w:hAnsi="Arial" w:eastAsia="Arial"/>
                <w:b/>
                <w:color w:val="FFFFFF"/>
              </w:rPr>
              <w:t>Value</w:t>
            </w:r>
          </w:p>
        </w:tc>
      </w:tr>
      <w:tr>
        <w:tc>
          <w:tcPr>
            <w:tcW w:type="dxa" w:w="4514"/>
          </w:tcPr>
          <w:p>
            <w:pPr>
              <w:jc w:val="left"/>
            </w:pPr>
            <w:r>
              <w:rPr>
                <w:rFonts w:ascii="Arial" w:hAnsi="Arial" w:eastAsia="Arial"/>
              </w:rPr>
              <w:t>Assumption</w:t>
            </w:r>
          </w:p>
        </w:tc>
        <w:tc>
          <w:tcPr>
            <w:tcW w:type="dxa" w:w="4514"/>
          </w:tcPr>
          <w:p>
            <w:pPr>
              <w:jc w:val="left"/>
            </w:pPr>
            <w:r>
              <w:rPr>
                <w:rFonts w:ascii="Arial" w:hAnsi="Arial" w:eastAsia="Arial"/>
              </w:rPr>
              <w:t>Value</w:t>
            </w:r>
          </w:p>
        </w:tc>
      </w:tr>
      <w:tr>
        <w:tc>
          <w:tcPr>
            <w:tcW w:type="dxa" w:w="4514"/>
          </w:tcPr>
          <w:p>
            <w:pPr>
              <w:jc w:val="left"/>
            </w:pPr>
            <w:r>
              <w:rPr>
                <w:rFonts w:ascii="Arial" w:hAnsi="Arial" w:eastAsia="Arial"/>
              </w:rPr>
              <w:t>Average Building Area</w:t>
            </w:r>
          </w:p>
        </w:tc>
        <w:tc>
          <w:tcPr>
            <w:tcW w:type="dxa" w:w="4514"/>
          </w:tcPr>
          <w:p>
            <w:pPr>
              <w:jc w:val="left"/>
            </w:pPr>
            <w:r>
              <w:rPr>
                <w:rFonts w:ascii="Arial" w:hAnsi="Arial" w:eastAsia="Arial"/>
              </w:rPr>
              <w:t>1,500 m²</w:t>
            </w:r>
          </w:p>
        </w:tc>
      </w:tr>
      <w:tr>
        <w:tc>
          <w:tcPr>
            <w:tcW w:type="dxa" w:w="4514"/>
          </w:tcPr>
          <w:p>
            <w:pPr>
              <w:jc w:val="left"/>
            </w:pPr>
            <w:r>
              <w:rPr>
                <w:rFonts w:ascii="Arial" w:hAnsi="Arial" w:eastAsia="Arial"/>
              </w:rPr>
              <w:t>Number of Units per Building</w:t>
            </w:r>
          </w:p>
        </w:tc>
        <w:tc>
          <w:tcPr>
            <w:tcW w:type="dxa" w:w="4514"/>
          </w:tcPr>
          <w:p>
            <w:pPr>
              <w:jc w:val="left"/>
            </w:pPr>
            <w:r>
              <w:rPr>
                <w:rFonts w:ascii="Arial" w:hAnsi="Arial" w:eastAsia="Arial"/>
              </w:rPr>
              <w:t>6 - 8 units</w:t>
            </w:r>
          </w:p>
        </w:tc>
      </w:tr>
      <w:tr>
        <w:tc>
          <w:tcPr>
            <w:tcW w:type="dxa" w:w="4514"/>
          </w:tcPr>
          <w:p>
            <w:pPr>
              <w:jc w:val="left"/>
            </w:pPr>
            <w:r>
              <w:rPr>
                <w:rFonts w:ascii="Arial" w:hAnsi="Arial" w:eastAsia="Arial"/>
              </w:rPr>
              <w:t>Finishing Cost</w:t>
            </w:r>
          </w:p>
        </w:tc>
        <w:tc>
          <w:tcPr>
            <w:tcW w:type="dxa" w:w="4514"/>
          </w:tcPr>
          <w:p>
            <w:pPr>
              <w:jc w:val="left"/>
            </w:pPr>
            <w:r>
              <w:rPr>
                <w:rFonts w:ascii="Arial" w:hAnsi="Arial" w:eastAsia="Arial"/>
              </w:rPr>
              <w:t>SAR 1,200 - 1,800 per m²</w:t>
            </w:r>
          </w:p>
        </w:tc>
      </w:tr>
      <w:tr>
        <w:tc>
          <w:tcPr>
            <w:tcW w:type="dxa" w:w="4514"/>
          </w:tcPr>
          <w:p>
            <w:pPr>
              <w:jc w:val="left"/>
            </w:pPr>
            <w:r>
              <w:rPr>
                <w:rFonts w:ascii="Arial" w:hAnsi="Arial" w:eastAsia="Arial"/>
              </w:rPr>
              <w:t>Selling Price</w:t>
            </w:r>
          </w:p>
        </w:tc>
        <w:tc>
          <w:tcPr>
            <w:tcW w:type="dxa" w:w="4514"/>
          </w:tcPr>
          <w:p>
            <w:pPr>
              <w:jc w:val="left"/>
            </w:pPr>
            <w:r>
              <w:rPr>
                <w:rFonts w:ascii="Arial" w:hAnsi="Arial" w:eastAsia="Arial"/>
              </w:rPr>
              <w:t>SAR 2,500 - 3,500 per m²</w:t>
            </w:r>
          </w:p>
        </w:tc>
      </w:tr>
      <w:tr>
        <w:tc>
          <w:tcPr>
            <w:tcW w:type="dxa" w:w="4514"/>
          </w:tcPr>
          <w:p>
            <w:pPr>
              <w:jc w:val="left"/>
            </w:pPr>
            <w:r>
              <w:rPr>
                <w:rFonts w:ascii="Arial" w:hAnsi="Arial" w:eastAsia="Arial"/>
              </w:rPr>
              <w:t>Company Muhassah Share</w:t>
            </w:r>
          </w:p>
        </w:tc>
        <w:tc>
          <w:tcPr>
            <w:tcW w:type="dxa" w:w="4514"/>
          </w:tcPr>
          <w:p>
            <w:pPr>
              <w:jc w:val="left"/>
            </w:pPr>
            <w:r>
              <w:rPr>
                <w:rFonts w:ascii="Arial" w:hAnsi="Arial" w:eastAsia="Arial"/>
              </w:rPr>
              <w:t>50%</w:t>
            </w:r>
          </w:p>
        </w:tc>
      </w:tr>
    </w:tbl>
    <w:p>
      <w:pPr>
        <w:pStyle w:val="Heading2"/>
        <w:jc w:val="left"/>
      </w:pPr>
      <w:r>
        <w:rPr>
          <w:rFonts w:ascii="Arial" w:hAnsi="Arial" w:eastAsia="Arial"/>
          <w:color w:val="D4A853"/>
          <w:sz w:val="28"/>
        </w:rPr>
        <w:t>8.2 Capital Utilization</w:t>
      </w:r>
    </w:p>
    <w:tbl>
      <w:tblPr>
        <w:tblStyle w:val="LightGrid-Accent1"/>
        <w:tblW w:type="auto" w:w="0"/>
        <w:jc w:val="left"/>
        <w:tblLayout w:type="autofit"/>
        <w:tblLook w:firstColumn="1" w:firstRow="1" w:lastColumn="0" w:lastRow="0" w:noHBand="0" w:noVBand="1" w:val="04A0"/>
      </w:tblPr>
      <w:tblGrid>
        <w:gridCol w:w="3010"/>
        <w:gridCol w:w="3010"/>
        <w:gridCol w:w="3010"/>
      </w:tblGrid>
      <w:tr>
        <w:tc>
          <w:tcPr>
            <w:tcW w:type="dxa" w:w="3010"/>
            <w:shd w:fill="0A0F1A"/>
          </w:tcPr>
          <w:p>
            <w:pPr>
              <w:jc w:val="left"/>
            </w:pPr>
            <w:r>
              <w:rPr>
                <w:rFonts w:ascii="Arial" w:hAnsi="Arial" w:eastAsia="Arial"/>
                <w:b/>
                <w:color w:val="FFFFFF"/>
              </w:rPr>
              <w:t>Use of Funds</w:t>
            </w:r>
          </w:p>
        </w:tc>
        <w:tc>
          <w:tcPr>
            <w:tcW w:type="dxa" w:w="3010"/>
            <w:shd w:fill="0A0F1A"/>
          </w:tcPr>
          <w:p>
            <w:pPr>
              <w:jc w:val="left"/>
            </w:pPr>
            <w:r>
              <w:rPr>
                <w:rFonts w:ascii="Arial" w:hAnsi="Arial" w:eastAsia="Arial"/>
                <w:b/>
                <w:color w:val="FFFFFF"/>
              </w:rPr>
              <w:t>Amount</w:t>
            </w:r>
          </w:p>
        </w:tc>
        <w:tc>
          <w:tcPr>
            <w:tcW w:type="dxa" w:w="3010"/>
            <w:shd w:fill="0A0F1A"/>
          </w:tcPr>
          <w:p>
            <w:pPr>
              <w:jc w:val="left"/>
            </w:pPr>
            <w:r>
              <w:rPr>
                <w:rFonts w:ascii="Arial" w:hAnsi="Arial" w:eastAsia="Arial"/>
                <w:b/>
                <w:color w:val="FFFFFF"/>
              </w:rPr>
              <w:t>Share</w:t>
            </w:r>
          </w:p>
        </w:tc>
      </w:tr>
      <w:tr>
        <w:tc>
          <w:tcPr>
            <w:tcW w:type="dxa" w:w="3010"/>
          </w:tcPr>
          <w:p>
            <w:pPr>
              <w:jc w:val="left"/>
            </w:pPr>
            <w:r>
              <w:rPr>
                <w:rFonts w:ascii="Arial" w:hAnsi="Arial" w:eastAsia="Arial"/>
              </w:rPr>
              <w:t>Use of Funds</w:t>
            </w:r>
          </w:p>
        </w:tc>
        <w:tc>
          <w:tcPr>
            <w:tcW w:type="dxa" w:w="3010"/>
          </w:tcPr>
          <w:p>
            <w:pPr>
              <w:jc w:val="left"/>
            </w:pPr>
            <w:r>
              <w:rPr>
                <w:rFonts w:ascii="Arial" w:hAnsi="Arial" w:eastAsia="Arial"/>
              </w:rPr>
              <w:t>Amount</w:t>
            </w:r>
          </w:p>
        </w:tc>
        <w:tc>
          <w:tcPr>
            <w:tcW w:type="dxa" w:w="3010"/>
          </w:tcPr>
          <w:p>
            <w:pPr>
              <w:jc w:val="left"/>
            </w:pPr>
            <w:r>
              <w:rPr>
                <w:rFonts w:ascii="Arial" w:hAnsi="Arial" w:eastAsia="Arial"/>
              </w:rPr>
              <w:t>Share</w:t>
            </w:r>
          </w:p>
        </w:tc>
      </w:tr>
      <w:tr>
        <w:tc>
          <w:tcPr>
            <w:tcW w:type="dxa" w:w="3010"/>
          </w:tcPr>
          <w:p>
            <w:pPr>
              <w:jc w:val="left"/>
            </w:pPr>
            <w:r>
              <w:rPr>
                <w:rFonts w:ascii="Arial" w:hAnsi="Arial" w:eastAsia="Arial"/>
              </w:rPr>
              <w:t>Project Investments (Purchase + Finishing)</w:t>
            </w:r>
          </w:p>
        </w:tc>
        <w:tc>
          <w:tcPr>
            <w:tcW w:type="dxa" w:w="3010"/>
          </w:tcPr>
          <w:p>
            <w:pPr>
              <w:jc w:val="left"/>
            </w:pPr>
            <w:r>
              <w:rPr>
                <w:rFonts w:ascii="Arial" w:hAnsi="Arial" w:eastAsia="Arial"/>
              </w:rPr>
              <w:t>SAR 150 million</w:t>
            </w:r>
          </w:p>
        </w:tc>
        <w:tc>
          <w:tcPr>
            <w:tcW w:type="dxa" w:w="3010"/>
          </w:tcPr>
          <w:p>
            <w:pPr>
              <w:jc w:val="left"/>
            </w:pPr>
            <w:r>
              <w:rPr>
                <w:rFonts w:ascii="Arial" w:hAnsi="Arial" w:eastAsia="Arial"/>
              </w:rPr>
              <w:t>66%</w:t>
            </w:r>
          </w:p>
        </w:tc>
      </w:tr>
      <w:tr>
        <w:tc>
          <w:tcPr>
            <w:tcW w:type="dxa" w:w="3010"/>
          </w:tcPr>
          <w:p>
            <w:pPr>
              <w:jc w:val="left"/>
            </w:pPr>
            <w:r>
              <w:rPr>
                <w:rFonts w:ascii="Arial" w:hAnsi="Arial" w:eastAsia="Arial"/>
              </w:rPr>
              <w:t>Working Capital</w:t>
            </w:r>
          </w:p>
        </w:tc>
        <w:tc>
          <w:tcPr>
            <w:tcW w:type="dxa" w:w="3010"/>
          </w:tcPr>
          <w:p>
            <w:pPr>
              <w:jc w:val="left"/>
            </w:pPr>
            <w:r>
              <w:rPr>
                <w:rFonts w:ascii="Arial" w:hAnsi="Arial" w:eastAsia="Arial"/>
              </w:rPr>
              <w:t>SAR 40 million</w:t>
            </w:r>
          </w:p>
        </w:tc>
        <w:tc>
          <w:tcPr>
            <w:tcW w:type="dxa" w:w="3010"/>
          </w:tcPr>
          <w:p>
            <w:pPr>
              <w:jc w:val="left"/>
            </w:pPr>
            <w:r>
              <w:rPr>
                <w:rFonts w:ascii="Arial" w:hAnsi="Arial" w:eastAsia="Arial"/>
              </w:rPr>
              <w:t>18%</w:t>
            </w:r>
          </w:p>
        </w:tc>
      </w:tr>
      <w:tr>
        <w:tc>
          <w:tcPr>
            <w:tcW w:type="dxa" w:w="3010"/>
          </w:tcPr>
          <w:p>
            <w:pPr>
              <w:jc w:val="left"/>
            </w:pPr>
            <w:r>
              <w:rPr>
                <w:rFonts w:ascii="Arial" w:hAnsi="Arial" w:eastAsia="Arial"/>
              </w:rPr>
              <w:t>Technology and Systems</w:t>
            </w:r>
          </w:p>
        </w:tc>
        <w:tc>
          <w:tcPr>
            <w:tcW w:type="dxa" w:w="3010"/>
          </w:tcPr>
          <w:p>
            <w:pPr>
              <w:jc w:val="left"/>
            </w:pPr>
            <w:r>
              <w:rPr>
                <w:rFonts w:ascii="Arial" w:hAnsi="Arial" w:eastAsia="Arial"/>
              </w:rPr>
              <w:t>SAR 10 million</w:t>
            </w:r>
          </w:p>
        </w:tc>
        <w:tc>
          <w:tcPr>
            <w:tcW w:type="dxa" w:w="3010"/>
          </w:tcPr>
          <w:p>
            <w:pPr>
              <w:jc w:val="left"/>
            </w:pPr>
            <w:r>
              <w:rPr>
                <w:rFonts w:ascii="Arial" w:hAnsi="Arial" w:eastAsia="Arial"/>
              </w:rPr>
              <w:t>4%</w:t>
            </w:r>
          </w:p>
        </w:tc>
      </w:tr>
      <w:tr>
        <w:tc>
          <w:tcPr>
            <w:tcW w:type="dxa" w:w="3010"/>
          </w:tcPr>
          <w:p>
            <w:pPr>
              <w:jc w:val="left"/>
            </w:pPr>
            <w:r>
              <w:rPr>
                <w:rFonts w:ascii="Arial" w:hAnsi="Arial" w:eastAsia="Arial"/>
              </w:rPr>
              <w:t>Establishment, Marketing, and Relations</w:t>
            </w:r>
          </w:p>
        </w:tc>
        <w:tc>
          <w:tcPr>
            <w:tcW w:type="dxa" w:w="3010"/>
          </w:tcPr>
          <w:p>
            <w:pPr>
              <w:jc w:val="left"/>
            </w:pPr>
            <w:r>
              <w:rPr>
                <w:rFonts w:ascii="Arial" w:hAnsi="Arial" w:eastAsia="Arial"/>
              </w:rPr>
              <w:t>SAR 15 million</w:t>
            </w:r>
          </w:p>
        </w:tc>
        <w:tc>
          <w:tcPr>
            <w:tcW w:type="dxa" w:w="3010"/>
          </w:tcPr>
          <w:p>
            <w:pPr>
              <w:jc w:val="left"/>
            </w:pPr>
            <w:r>
              <w:rPr>
                <w:rFonts w:ascii="Arial" w:hAnsi="Arial" w:eastAsia="Arial"/>
              </w:rPr>
              <w:t>7%</w:t>
            </w:r>
          </w:p>
        </w:tc>
      </w:tr>
      <w:tr>
        <w:tc>
          <w:tcPr>
            <w:tcW w:type="dxa" w:w="3010"/>
          </w:tcPr>
          <w:p>
            <w:pPr>
              <w:jc w:val="left"/>
            </w:pPr>
            <w:r>
              <w:rPr>
                <w:rFonts w:ascii="Arial" w:hAnsi="Arial" w:eastAsia="Arial"/>
              </w:rPr>
              <w:t>Emergency Liquidity Reserve</w:t>
            </w:r>
          </w:p>
        </w:tc>
        <w:tc>
          <w:tcPr>
            <w:tcW w:type="dxa" w:w="3010"/>
          </w:tcPr>
          <w:p>
            <w:pPr>
              <w:jc w:val="left"/>
            </w:pPr>
            <w:r>
              <w:rPr>
                <w:rFonts w:ascii="Arial" w:hAnsi="Arial" w:eastAsia="Arial"/>
              </w:rPr>
              <w:t>SAR 11 million</w:t>
            </w:r>
          </w:p>
        </w:tc>
        <w:tc>
          <w:tcPr>
            <w:tcW w:type="dxa" w:w="3010"/>
          </w:tcPr>
          <w:p>
            <w:pPr>
              <w:jc w:val="left"/>
            </w:pPr>
            <w:r>
              <w:rPr>
                <w:rFonts w:ascii="Arial" w:hAnsi="Arial" w:eastAsia="Arial"/>
              </w:rPr>
              <w:t>5%</w:t>
            </w:r>
          </w:p>
        </w:tc>
      </w:tr>
    </w:tbl>
    <w:p>
      <w:pPr>
        <w:pStyle w:val="Heading2"/>
        <w:jc w:val="left"/>
      </w:pPr>
      <w:r>
        <w:rPr>
          <w:rFonts w:ascii="Arial" w:hAnsi="Arial" w:eastAsia="Arial"/>
          <w:color w:val="D4A853"/>
          <w:sz w:val="28"/>
        </w:rPr>
        <w:t>8.3 Summary of Expected Financial Results</w:t>
      </w:r>
    </w:p>
    <w:tbl>
      <w:tblPr>
        <w:tblStyle w:val="LightGrid-Accent1"/>
        <w:tblW w:type="auto" w:w="0"/>
        <w:jc w:val="left"/>
        <w:tblLayout w:type="autofit"/>
        <w:tblLook w:firstColumn="1" w:firstRow="1" w:lastColumn="0" w:lastRow="0" w:noHBand="0" w:noVBand="1" w:val="04A0"/>
      </w:tblPr>
      <w:tblGrid>
        <w:gridCol w:w="4514"/>
        <w:gridCol w:w="4514"/>
      </w:tblGrid>
      <w:tr>
        <w:tc>
          <w:tcPr>
            <w:tcW w:type="dxa" w:w="4514"/>
            <w:shd w:fill="0A0F1A"/>
          </w:tcPr>
          <w:p>
            <w:pPr>
              <w:jc w:val="left"/>
            </w:pPr>
            <w:r>
              <w:rPr>
                <w:rFonts w:ascii="Arial" w:hAnsi="Arial" w:eastAsia="Arial"/>
                <w:b/>
                <w:color w:val="FFFFFF"/>
              </w:rPr>
              <w:t>Indicator</w:t>
            </w:r>
          </w:p>
        </w:tc>
        <w:tc>
          <w:tcPr>
            <w:tcW w:type="dxa" w:w="4514"/>
            <w:shd w:fill="0A0F1A"/>
          </w:tcPr>
          <w:p>
            <w:pPr>
              <w:jc w:val="left"/>
            </w:pPr>
            <w:r>
              <w:rPr>
                <w:rFonts w:ascii="Arial" w:hAnsi="Arial" w:eastAsia="Arial"/>
                <w:b/>
                <w:color w:val="FFFFFF"/>
              </w:rPr>
              <w:t>Value</w:t>
            </w:r>
          </w:p>
        </w:tc>
      </w:tr>
      <w:tr>
        <w:tc>
          <w:tcPr>
            <w:tcW w:type="dxa" w:w="4514"/>
          </w:tcPr>
          <w:p>
            <w:pPr>
              <w:jc w:val="left"/>
            </w:pPr>
            <w:r>
              <w:rPr>
                <w:rFonts w:ascii="Arial" w:hAnsi="Arial" w:eastAsia="Arial"/>
              </w:rPr>
              <w:t>Indicator</w:t>
            </w:r>
          </w:p>
        </w:tc>
        <w:tc>
          <w:tcPr>
            <w:tcW w:type="dxa" w:w="4514"/>
          </w:tcPr>
          <w:p>
            <w:pPr>
              <w:jc w:val="left"/>
            </w:pPr>
            <w:r>
              <w:rPr>
                <w:rFonts w:ascii="Arial" w:hAnsi="Arial" w:eastAsia="Arial"/>
              </w:rPr>
              <w:t>Value</w:t>
            </w:r>
          </w:p>
        </w:tc>
      </w:tr>
      <w:tr>
        <w:tc>
          <w:tcPr>
            <w:tcW w:type="dxa" w:w="4514"/>
          </w:tcPr>
          <w:p>
            <w:pPr>
              <w:jc w:val="left"/>
            </w:pPr>
            <w:r>
              <w:rPr>
                <w:rFonts w:ascii="Arial" w:hAnsi="Arial" w:eastAsia="Arial"/>
              </w:rPr>
              <w:t>Expected IRR over 10 Years</w:t>
            </w:r>
          </w:p>
        </w:tc>
        <w:tc>
          <w:tcPr>
            <w:tcW w:type="dxa" w:w="4514"/>
          </w:tcPr>
          <w:p>
            <w:pPr>
              <w:jc w:val="left"/>
            </w:pPr>
            <w:r>
              <w:rPr>
                <w:rFonts w:ascii="Arial" w:hAnsi="Arial" w:eastAsia="Arial"/>
              </w:rPr>
              <w:t>19% - 20%</w:t>
            </w:r>
          </w:p>
        </w:tc>
      </w:tr>
      <w:tr>
        <w:tc>
          <w:tcPr>
            <w:tcW w:type="dxa" w:w="4514"/>
          </w:tcPr>
          <w:p>
            <w:pPr>
              <w:jc w:val="left"/>
            </w:pPr>
            <w:r>
              <w:rPr>
                <w:rFonts w:ascii="Arial" w:hAnsi="Arial" w:eastAsia="Arial"/>
              </w:rPr>
              <w:t>Capital Return Multiple at Exit</w:t>
            </w:r>
          </w:p>
        </w:tc>
        <w:tc>
          <w:tcPr>
            <w:tcW w:type="dxa" w:w="4514"/>
          </w:tcPr>
          <w:p>
            <w:pPr>
              <w:jc w:val="left"/>
            </w:pPr>
            <w:r>
              <w:rPr>
                <w:rFonts w:ascii="Arial" w:hAnsi="Arial" w:eastAsia="Arial"/>
              </w:rPr>
              <w:t>2.5x - 4x</w:t>
            </w:r>
          </w:p>
        </w:tc>
      </w:tr>
      <w:tr>
        <w:tc>
          <w:tcPr>
            <w:tcW w:type="dxa" w:w="4514"/>
          </w:tcPr>
          <w:p>
            <w:pPr>
              <w:jc w:val="left"/>
            </w:pPr>
            <w:r>
              <w:rPr>
                <w:rFonts w:ascii="Arial" w:hAnsi="Arial" w:eastAsia="Arial"/>
              </w:rPr>
              <w:t>Payback Period</w:t>
            </w:r>
          </w:p>
        </w:tc>
        <w:tc>
          <w:tcPr>
            <w:tcW w:type="dxa" w:w="4514"/>
          </w:tcPr>
          <w:p>
            <w:pPr>
              <w:jc w:val="left"/>
            </w:pPr>
            <w:r>
              <w:rPr>
                <w:rFonts w:ascii="Arial" w:hAnsi="Arial" w:eastAsia="Arial"/>
              </w:rPr>
              <w:t>5.5 years</w:t>
            </w:r>
          </w:p>
        </w:tc>
      </w:tr>
      <w:tr>
        <w:tc>
          <w:tcPr>
            <w:tcW w:type="dxa" w:w="4514"/>
          </w:tcPr>
          <w:p>
            <w:pPr>
              <w:jc w:val="left"/>
            </w:pPr>
            <w:r>
              <w:rPr>
                <w:rFonts w:ascii="Arial" w:hAnsi="Arial" w:eastAsia="Arial"/>
              </w:rPr>
              <w:t>Expected Net Profit in Year 5</w:t>
            </w:r>
          </w:p>
        </w:tc>
        <w:tc>
          <w:tcPr>
            <w:tcW w:type="dxa" w:w="4514"/>
          </w:tcPr>
          <w:p>
            <w:pPr>
              <w:jc w:val="left"/>
            </w:pPr>
            <w:r>
              <w:rPr>
                <w:rFonts w:ascii="Arial" w:hAnsi="Arial" w:eastAsia="Arial"/>
              </w:rPr>
              <w:t>SAR 9.8 million</w:t>
            </w:r>
          </w:p>
        </w:tc>
      </w:tr>
      <w:tr>
        <w:tc>
          <w:tcPr>
            <w:tcW w:type="dxa" w:w="4514"/>
          </w:tcPr>
          <w:p>
            <w:pPr>
              <w:jc w:val="left"/>
            </w:pPr>
            <w:r>
              <w:rPr>
                <w:rFonts w:ascii="Arial" w:hAnsi="Arial" w:eastAsia="Arial"/>
              </w:rPr>
              <w:t>Expected Market Value after 5 Years</w:t>
            </w:r>
          </w:p>
        </w:tc>
        <w:tc>
          <w:tcPr>
            <w:tcW w:type="dxa" w:w="4514"/>
          </w:tcPr>
          <w:p>
            <w:pPr>
              <w:jc w:val="left"/>
            </w:pPr>
            <w:r>
              <w:rPr>
                <w:rFonts w:ascii="Arial" w:hAnsi="Arial" w:eastAsia="Arial"/>
              </w:rPr>
              <w:t>SAR 120 - 155 million</w:t>
            </w:r>
          </w:p>
        </w:tc>
      </w:tr>
    </w:tbl>
    <w:p>
      <w:pPr>
        <w:pStyle w:val="Heading2"/>
        <w:jc w:val="left"/>
      </w:pPr>
      <w:r>
        <w:rPr>
          <w:rFonts w:ascii="Arial" w:hAnsi="Arial" w:eastAsia="Arial"/>
          <w:color w:val="D4A853"/>
          <w:sz w:val="28"/>
        </w:rPr>
        <w:t>8.4 Capital Drawdown Mechanism</w:t>
      </w:r>
    </w:p>
    <w:p>
      <w:pPr>
        <w:jc w:val="left"/>
      </w:pPr>
      <w:r>
        <w:rPr>
          <w:rFonts w:ascii="Arial" w:hAnsi="Arial" w:eastAsia="Arial"/>
          <w:b w:val="0"/>
          <w:i w:val="0"/>
          <w:color w:val="000000"/>
          <w:sz w:val="24"/>
        </w:rPr>
        <w:t>Capital is not injected in a single payment, but drawn in four phases linked to achieving specific milestones:</w:t>
      </w:r>
    </w:p>
    <w:p>
      <w:pPr>
        <w:pStyle w:val="ListBullet"/>
        <w:jc w:val="left"/>
      </w:pPr>
      <w:r>
        <w:rPr>
          <w:rFonts w:ascii="Arial" w:hAnsi="Arial" w:eastAsia="Arial"/>
          <w:sz w:val="22"/>
        </w:rPr>
        <w:t>First Tranche (30%): Establishment and purchase of 3 - 5 initial buildings.</w:t>
      </w:r>
    </w:p>
    <w:p>
      <w:pPr>
        <w:pStyle w:val="ListBullet"/>
        <w:jc w:val="left"/>
      </w:pPr>
      <w:r>
        <w:rPr>
          <w:rFonts w:ascii="Arial" w:hAnsi="Arial" w:eastAsia="Arial"/>
          <w:sz w:val="22"/>
        </w:rPr>
        <w:t>Second Tranche (30%): Completion of first two projects and realization of initial revenues.</w:t>
      </w:r>
    </w:p>
    <w:p>
      <w:pPr>
        <w:pStyle w:val="ListBullet"/>
        <w:jc w:val="left"/>
      </w:pPr>
      <w:r>
        <w:rPr>
          <w:rFonts w:ascii="Arial" w:hAnsi="Arial" w:eastAsia="Arial"/>
          <w:sz w:val="22"/>
        </w:rPr>
        <w:t>Third Tranche (25%): Reaching 6 active projects and achieving operational break-even.</w:t>
      </w:r>
    </w:p>
    <w:p>
      <w:pPr>
        <w:pStyle w:val="ListBullet"/>
        <w:jc w:val="left"/>
      </w:pPr>
      <w:r>
        <w:rPr>
          <w:rFonts w:ascii="Arial" w:hAnsi="Arial" w:eastAsia="Arial"/>
          <w:sz w:val="22"/>
        </w:rPr>
        <w:t>Fourth Tranche (15%): Flexible reserve to be released as needed or returned to shareholders.</w:t>
      </w:r>
    </w:p>
    <w:p>
      <w:r>
        <w:br w:type="page"/>
      </w:r>
    </w:p>
    <w:p>
      <w:pPr>
        <w:pStyle w:val="Heading1"/>
        <w:jc w:val="left"/>
      </w:pPr>
      <w:r>
        <w:rPr>
          <w:rFonts w:ascii="Arial" w:hAnsi="Arial" w:eastAsia="Arial"/>
          <w:color w:val="003366"/>
          <w:sz w:val="36"/>
        </w:rPr>
        <w:t>9. Risk Analysis and Mitigation</w:t>
      </w:r>
    </w:p>
    <w:p>
      <w:pPr>
        <w:pStyle w:val="Heading2"/>
        <w:jc w:val="left"/>
      </w:pPr>
      <w:r>
        <w:rPr>
          <w:rFonts w:ascii="Arial" w:hAnsi="Arial" w:eastAsia="Arial"/>
          <w:color w:val="D4A853"/>
          <w:sz w:val="28"/>
        </w:rPr>
        <w:t>9.1 Risks and Mitigation Measures</w:t>
      </w:r>
    </w:p>
    <w:tbl>
      <w:tblPr>
        <w:tblStyle w:val="LightGrid-Accent1"/>
        <w:tblW w:type="auto" w:w="0"/>
        <w:jc w:val="left"/>
        <w:tblLayout w:type="autofit"/>
        <w:tblLook w:firstColumn="1" w:firstRow="1" w:lastColumn="0" w:lastRow="0" w:noHBand="0" w:noVBand="1" w:val="04A0"/>
      </w:tblPr>
      <w:tblGrid>
        <w:gridCol w:w="2257"/>
        <w:gridCol w:w="2257"/>
        <w:gridCol w:w="2257"/>
        <w:gridCol w:w="2257"/>
      </w:tblGrid>
      <w:tr>
        <w:tc>
          <w:tcPr>
            <w:tcW w:type="dxa" w:w="2257"/>
            <w:shd w:fill="0A0F1A"/>
          </w:tcPr>
          <w:p>
            <w:pPr>
              <w:jc w:val="left"/>
            </w:pPr>
            <w:r>
              <w:rPr>
                <w:rFonts w:ascii="Arial" w:hAnsi="Arial" w:eastAsia="Arial"/>
                <w:b/>
                <w:color w:val="FFFFFF"/>
              </w:rPr>
              <w:t>Risk</w:t>
            </w:r>
          </w:p>
        </w:tc>
        <w:tc>
          <w:tcPr>
            <w:tcW w:type="dxa" w:w="2257"/>
            <w:shd w:fill="0A0F1A"/>
          </w:tcPr>
          <w:p>
            <w:pPr>
              <w:jc w:val="left"/>
            </w:pPr>
            <w:r>
              <w:rPr>
                <w:rFonts w:ascii="Arial" w:hAnsi="Arial" w:eastAsia="Arial"/>
                <w:b/>
                <w:color w:val="FFFFFF"/>
              </w:rPr>
              <w:t>Probability</w:t>
            </w:r>
          </w:p>
        </w:tc>
        <w:tc>
          <w:tcPr>
            <w:tcW w:type="dxa" w:w="2257"/>
            <w:shd w:fill="0A0F1A"/>
          </w:tcPr>
          <w:p>
            <w:pPr>
              <w:jc w:val="left"/>
            </w:pPr>
            <w:r>
              <w:rPr>
                <w:rFonts w:ascii="Arial" w:hAnsi="Arial" w:eastAsia="Arial"/>
                <w:b/>
                <w:color w:val="FFFFFF"/>
              </w:rPr>
              <w:t>Impact</w:t>
            </w:r>
          </w:p>
        </w:tc>
        <w:tc>
          <w:tcPr>
            <w:tcW w:type="dxa" w:w="2257"/>
            <w:shd w:fill="0A0F1A"/>
          </w:tcPr>
          <w:p>
            <w:pPr>
              <w:jc w:val="left"/>
            </w:pPr>
            <w:r>
              <w:rPr>
                <w:rFonts w:ascii="Arial" w:hAnsi="Arial" w:eastAsia="Arial"/>
                <w:b/>
                <w:color w:val="FFFFFF"/>
              </w:rPr>
              <w:t>Mitigation</w:t>
            </w:r>
          </w:p>
        </w:tc>
      </w:tr>
      <w:tr>
        <w:tc>
          <w:tcPr>
            <w:tcW w:type="dxa" w:w="2257"/>
          </w:tcPr>
          <w:p>
            <w:pPr>
              <w:jc w:val="left"/>
            </w:pPr>
            <w:r>
              <w:rPr>
                <w:rFonts w:ascii="Arial" w:hAnsi="Arial" w:eastAsia="Arial"/>
              </w:rPr>
              <w:t>Risk</w:t>
            </w:r>
          </w:p>
        </w:tc>
        <w:tc>
          <w:tcPr>
            <w:tcW w:type="dxa" w:w="2257"/>
          </w:tcPr>
          <w:p>
            <w:pPr>
              <w:jc w:val="left"/>
            </w:pPr>
            <w:r>
              <w:rPr>
                <w:rFonts w:ascii="Arial" w:hAnsi="Arial" w:eastAsia="Arial"/>
              </w:rPr>
              <w:t>Probability</w:t>
            </w:r>
          </w:p>
        </w:tc>
        <w:tc>
          <w:tcPr>
            <w:tcW w:type="dxa" w:w="2257"/>
          </w:tcPr>
          <w:p>
            <w:pPr>
              <w:jc w:val="left"/>
            </w:pPr>
            <w:r>
              <w:rPr>
                <w:rFonts w:ascii="Arial" w:hAnsi="Arial" w:eastAsia="Arial"/>
              </w:rPr>
              <w:t>Impact</w:t>
            </w:r>
          </w:p>
        </w:tc>
        <w:tc>
          <w:tcPr>
            <w:tcW w:type="dxa" w:w="2257"/>
          </w:tcPr>
          <w:p>
            <w:pPr>
              <w:jc w:val="left"/>
            </w:pPr>
            <w:r>
              <w:rPr>
                <w:rFonts w:ascii="Arial" w:hAnsi="Arial" w:eastAsia="Arial"/>
              </w:rPr>
              <w:t>Mitigation</w:t>
            </w:r>
          </w:p>
        </w:tc>
      </w:tr>
      <w:tr>
        <w:tc>
          <w:tcPr>
            <w:tcW w:type="dxa" w:w="2257"/>
          </w:tcPr>
          <w:p>
            <w:pPr>
              <w:jc w:val="left"/>
            </w:pPr>
            <w:r>
              <w:rPr>
                <w:rFonts w:ascii="Arial" w:hAnsi="Arial" w:eastAsia="Arial"/>
              </w:rPr>
              <w:t>Difficulty acquiring quality assets</w:t>
            </w:r>
          </w:p>
        </w:tc>
        <w:tc>
          <w:tcPr>
            <w:tcW w:type="dxa" w:w="2257"/>
          </w:tcPr>
          <w:p>
            <w:pPr>
              <w:jc w:val="left"/>
            </w:pPr>
            <w:r>
              <w:rPr>
                <w:rFonts w:ascii="Arial" w:hAnsi="Arial" w:eastAsia="Arial"/>
              </w:rPr>
              <w:t>High</w:t>
            </w:r>
          </w:p>
        </w:tc>
        <w:tc>
          <w:tcPr>
            <w:tcW w:type="dxa" w:w="2257"/>
          </w:tcPr>
          <w:p>
            <w:pPr>
              <w:jc w:val="left"/>
            </w:pPr>
            <w:r>
              <w:rPr>
                <w:rFonts w:ascii="Arial" w:hAnsi="Arial" w:eastAsia="Arial"/>
              </w:rPr>
              <w:t>Growth stagnation</w:t>
            </w:r>
          </w:p>
        </w:tc>
        <w:tc>
          <w:tcPr>
            <w:tcW w:type="dxa" w:w="2257"/>
          </w:tcPr>
          <w:p>
            <w:pPr>
              <w:jc w:val="left"/>
            </w:pPr>
            <w:r>
              <w:rPr>
                <w:rFonts w:ascii="Arial" w:hAnsi="Arial" w:eastAsia="Arial"/>
              </w:rPr>
              <w:t>Build network, database, and partnerships with appraisers</w:t>
            </w:r>
          </w:p>
        </w:tc>
      </w:tr>
      <w:tr>
        <w:tc>
          <w:tcPr>
            <w:tcW w:type="dxa" w:w="2257"/>
          </w:tcPr>
          <w:p>
            <w:pPr>
              <w:jc w:val="left"/>
            </w:pPr>
            <w:r>
              <w:rPr>
                <w:rFonts w:ascii="Arial" w:hAnsi="Arial" w:eastAsia="Arial"/>
              </w:rPr>
              <w:t>Hidden structural defects</w:t>
            </w:r>
          </w:p>
        </w:tc>
        <w:tc>
          <w:tcPr>
            <w:tcW w:type="dxa" w:w="2257"/>
          </w:tcPr>
          <w:p>
            <w:pPr>
              <w:jc w:val="left"/>
            </w:pPr>
            <w:r>
              <w:rPr>
                <w:rFonts w:ascii="Arial" w:hAnsi="Arial" w:eastAsia="Arial"/>
              </w:rPr>
              <w:t>High</w:t>
            </w:r>
          </w:p>
        </w:tc>
        <w:tc>
          <w:tcPr>
            <w:tcW w:type="dxa" w:w="2257"/>
          </w:tcPr>
          <w:p>
            <w:pPr>
              <w:jc w:val="left"/>
            </w:pPr>
            <w:r>
              <w:rPr>
                <w:rFonts w:ascii="Arial" w:hAnsi="Arial" w:eastAsia="Arial"/>
              </w:rPr>
              <w:t>Major financial loss</w:t>
            </w:r>
          </w:p>
        </w:tc>
        <w:tc>
          <w:tcPr>
            <w:tcW w:type="dxa" w:w="2257"/>
          </w:tcPr>
          <w:p>
            <w:pPr>
              <w:jc w:val="left"/>
            </w:pPr>
            <w:r>
              <w:rPr>
                <w:rFonts w:ascii="Arial" w:hAnsi="Arial" w:eastAsia="Arial"/>
              </w:rPr>
              <w:t>Thorough engineering inspection + insurance + 10% reserve</w:t>
            </w:r>
          </w:p>
        </w:tc>
      </w:tr>
      <w:tr>
        <w:tc>
          <w:tcPr>
            <w:tcW w:type="dxa" w:w="2257"/>
          </w:tcPr>
          <w:p>
            <w:pPr>
              <w:jc w:val="left"/>
            </w:pPr>
            <w:r>
              <w:rPr>
                <w:rFonts w:ascii="Arial" w:hAnsi="Arial" w:eastAsia="Arial"/>
              </w:rPr>
              <w:t>Delayed unit sales</w:t>
            </w:r>
          </w:p>
        </w:tc>
        <w:tc>
          <w:tcPr>
            <w:tcW w:type="dxa" w:w="2257"/>
          </w:tcPr>
          <w:p>
            <w:pPr>
              <w:jc w:val="left"/>
            </w:pPr>
            <w:r>
              <w:rPr>
                <w:rFonts w:ascii="Arial" w:hAnsi="Arial" w:eastAsia="Arial"/>
              </w:rPr>
              <w:t>Medium</w:t>
            </w:r>
          </w:p>
        </w:tc>
        <w:tc>
          <w:tcPr>
            <w:tcW w:type="dxa" w:w="2257"/>
          </w:tcPr>
          <w:p>
            <w:pPr>
              <w:jc w:val="left"/>
            </w:pPr>
            <w:r>
              <w:rPr>
                <w:rFonts w:ascii="Arial" w:hAnsi="Arial" w:eastAsia="Arial"/>
              </w:rPr>
              <w:t>Carrying cost burden</w:t>
            </w:r>
          </w:p>
        </w:tc>
        <w:tc>
          <w:tcPr>
            <w:tcW w:type="dxa" w:w="2257"/>
          </w:tcPr>
          <w:p>
            <w:pPr>
              <w:jc w:val="left"/>
            </w:pPr>
            <w:r>
              <w:rPr>
                <w:rFonts w:ascii="Arial" w:hAnsi="Arial" w:eastAsia="Arial"/>
              </w:rPr>
              <w:t>Competitive pricing + pre-sale contracts</w:t>
            </w:r>
          </w:p>
        </w:tc>
      </w:tr>
      <w:tr>
        <w:tc>
          <w:tcPr>
            <w:tcW w:type="dxa" w:w="2257"/>
          </w:tcPr>
          <w:p>
            <w:pPr>
              <w:jc w:val="left"/>
            </w:pPr>
            <w:r>
              <w:rPr>
                <w:rFonts w:ascii="Arial" w:hAnsi="Arial" w:eastAsia="Arial"/>
              </w:rPr>
              <w:t>Contractor delay</w:t>
            </w:r>
          </w:p>
        </w:tc>
        <w:tc>
          <w:tcPr>
            <w:tcW w:type="dxa" w:w="2257"/>
          </w:tcPr>
          <w:p>
            <w:pPr>
              <w:jc w:val="left"/>
            </w:pPr>
            <w:r>
              <w:rPr>
                <w:rFonts w:ascii="Arial" w:hAnsi="Arial" w:eastAsia="Arial"/>
              </w:rPr>
              <w:t>Medium</w:t>
            </w:r>
          </w:p>
        </w:tc>
        <w:tc>
          <w:tcPr>
            <w:tcW w:type="dxa" w:w="2257"/>
          </w:tcPr>
          <w:p>
            <w:pPr>
              <w:jc w:val="left"/>
            </w:pPr>
            <w:r>
              <w:rPr>
                <w:rFonts w:ascii="Arial" w:hAnsi="Arial" w:eastAsia="Arial"/>
              </w:rPr>
              <w:t>Additional costs</w:t>
            </w:r>
          </w:p>
        </w:tc>
        <w:tc>
          <w:tcPr>
            <w:tcW w:type="dxa" w:w="2257"/>
          </w:tcPr>
          <w:p>
            <w:pPr>
              <w:jc w:val="left"/>
            </w:pPr>
            <w:r>
              <w:rPr>
                <w:rFonts w:ascii="Arial" w:hAnsi="Arial" w:eastAsia="Arial"/>
              </w:rPr>
              <w:t>Bank guarantee + contractual delay penalties</w:t>
            </w:r>
          </w:p>
        </w:tc>
      </w:tr>
      <w:tr>
        <w:tc>
          <w:tcPr>
            <w:tcW w:type="dxa" w:w="2257"/>
          </w:tcPr>
          <w:p>
            <w:pPr>
              <w:jc w:val="left"/>
            </w:pPr>
            <w:r>
              <w:rPr>
                <w:rFonts w:ascii="Arial" w:hAnsi="Arial" w:eastAsia="Arial"/>
              </w:rPr>
              <w:t>Construction material price changes</w:t>
            </w:r>
          </w:p>
        </w:tc>
        <w:tc>
          <w:tcPr>
            <w:tcW w:type="dxa" w:w="2257"/>
          </w:tcPr>
          <w:p>
            <w:pPr>
              <w:jc w:val="left"/>
            </w:pPr>
            <w:r>
              <w:rPr>
                <w:rFonts w:ascii="Arial" w:hAnsi="Arial" w:eastAsia="Arial"/>
              </w:rPr>
              <w:t>Medium</w:t>
            </w:r>
          </w:p>
        </w:tc>
        <w:tc>
          <w:tcPr>
            <w:tcW w:type="dxa" w:w="2257"/>
          </w:tcPr>
          <w:p>
            <w:pPr>
              <w:jc w:val="left"/>
            </w:pPr>
            <w:r>
              <w:rPr>
                <w:rFonts w:ascii="Arial" w:hAnsi="Arial" w:eastAsia="Arial"/>
              </w:rPr>
              <w:t>Cost increases</w:t>
            </w:r>
          </w:p>
        </w:tc>
        <w:tc>
          <w:tcPr>
            <w:tcW w:type="dxa" w:w="2257"/>
          </w:tcPr>
          <w:p>
            <w:pPr>
              <w:jc w:val="left"/>
            </w:pPr>
            <w:r>
              <w:rPr>
                <w:rFonts w:ascii="Arial" w:hAnsi="Arial" w:eastAsia="Arial"/>
              </w:rPr>
              <w:t>Fixed-price contracts with reliable contractors</w:t>
            </w:r>
          </w:p>
        </w:tc>
      </w:tr>
      <w:tr>
        <w:tc>
          <w:tcPr>
            <w:tcW w:type="dxa" w:w="2257"/>
          </w:tcPr>
          <w:p>
            <w:pPr>
              <w:jc w:val="left"/>
            </w:pPr>
            <w:r>
              <w:rPr>
                <w:rFonts w:ascii="Arial" w:hAnsi="Arial" w:eastAsia="Arial"/>
              </w:rPr>
              <w:t>Legal disputes with owners</w:t>
            </w:r>
          </w:p>
        </w:tc>
        <w:tc>
          <w:tcPr>
            <w:tcW w:type="dxa" w:w="2257"/>
          </w:tcPr>
          <w:p>
            <w:pPr>
              <w:jc w:val="left"/>
            </w:pPr>
            <w:r>
              <w:rPr>
                <w:rFonts w:ascii="Arial" w:hAnsi="Arial" w:eastAsia="Arial"/>
              </w:rPr>
              <w:t>Medium</w:t>
            </w:r>
          </w:p>
        </w:tc>
        <w:tc>
          <w:tcPr>
            <w:tcW w:type="dxa" w:w="2257"/>
          </w:tcPr>
          <w:p>
            <w:pPr>
              <w:jc w:val="left"/>
            </w:pPr>
            <w:r>
              <w:rPr>
                <w:rFonts w:ascii="Arial" w:hAnsi="Arial" w:eastAsia="Arial"/>
              </w:rPr>
              <w:t>Project stoppage</w:t>
            </w:r>
          </w:p>
        </w:tc>
        <w:tc>
          <w:tcPr>
            <w:tcW w:type="dxa" w:w="2257"/>
          </w:tcPr>
          <w:p>
            <w:pPr>
              <w:jc w:val="left"/>
            </w:pPr>
            <w:r>
              <w:rPr>
                <w:rFonts w:ascii="Arial" w:hAnsi="Arial" w:eastAsia="Arial"/>
              </w:rPr>
              <w:t>Clear contracts + binding arbitration clause</w:t>
            </w:r>
          </w:p>
        </w:tc>
      </w:tr>
      <w:tr>
        <w:tc>
          <w:tcPr>
            <w:tcW w:type="dxa" w:w="2257"/>
          </w:tcPr>
          <w:p>
            <w:pPr>
              <w:jc w:val="left"/>
            </w:pPr>
            <w:r>
              <w:rPr>
                <w:rFonts w:ascii="Arial" w:hAnsi="Arial" w:eastAsia="Arial"/>
              </w:rPr>
              <w:t>Real estate price decline</w:t>
            </w:r>
          </w:p>
        </w:tc>
        <w:tc>
          <w:tcPr>
            <w:tcW w:type="dxa" w:w="2257"/>
          </w:tcPr>
          <w:p>
            <w:pPr>
              <w:jc w:val="left"/>
            </w:pPr>
            <w:r>
              <w:rPr>
                <w:rFonts w:ascii="Arial" w:hAnsi="Arial" w:eastAsia="Arial"/>
              </w:rPr>
              <w:t>Low to Medium</w:t>
            </w:r>
          </w:p>
        </w:tc>
        <w:tc>
          <w:tcPr>
            <w:tcW w:type="dxa" w:w="2257"/>
          </w:tcPr>
          <w:p>
            <w:pPr>
              <w:jc w:val="left"/>
            </w:pPr>
            <w:r>
              <w:rPr>
                <w:rFonts w:ascii="Arial" w:hAnsi="Arial" w:eastAsia="Arial"/>
              </w:rPr>
              <w:t>Margin compression</w:t>
            </w:r>
          </w:p>
        </w:tc>
        <w:tc>
          <w:tcPr>
            <w:tcW w:type="dxa" w:w="2257"/>
          </w:tcPr>
          <w:p>
            <w:pPr>
              <w:jc w:val="left"/>
            </w:pPr>
            <w:r>
              <w:rPr>
                <w:rFonts w:ascii="Arial" w:hAnsi="Arial" w:eastAsia="Arial"/>
              </w:rPr>
              <w:t>Geographic diversification and multiple target segments</w:t>
            </w:r>
          </w:p>
        </w:tc>
      </w:tr>
    </w:tbl>
    <w:p>
      <w:pPr>
        <w:pStyle w:val="Heading2"/>
        <w:jc w:val="left"/>
      </w:pPr>
      <w:r>
        <w:rPr>
          <w:rFonts w:ascii="Arial" w:hAnsi="Arial" w:eastAsia="Arial"/>
          <w:color w:val="D4A853"/>
          <w:sz w:val="28"/>
        </w:rPr>
        <w:t>9.2 Insurance Policy</w:t>
      </w:r>
    </w:p>
    <w:p>
      <w:pPr>
        <w:pStyle w:val="ListBullet"/>
        <w:jc w:val="left"/>
      </w:pPr>
      <w:r>
        <w:rPr>
          <w:rFonts w:ascii="Arial" w:hAnsi="Arial" w:eastAsia="Arial"/>
          <w:sz w:val="22"/>
        </w:rPr>
        <w:t>Contractors All Risk (CAR) insurance for each project.</w:t>
      </w:r>
    </w:p>
    <w:p>
      <w:pPr>
        <w:pStyle w:val="ListBullet"/>
        <w:jc w:val="left"/>
      </w:pPr>
      <w:r>
        <w:rPr>
          <w:rFonts w:ascii="Arial" w:hAnsi="Arial" w:eastAsia="Arial"/>
          <w:sz w:val="22"/>
        </w:rPr>
        <w:t>General public liability insurance for the company.</w:t>
      </w:r>
    </w:p>
    <w:p>
      <w:pPr>
        <w:pStyle w:val="ListBullet"/>
        <w:jc w:val="left"/>
      </w:pPr>
      <w:r>
        <w:rPr>
          <w:rFonts w:ascii="Arial" w:hAnsi="Arial" w:eastAsia="Arial"/>
          <w:sz w:val="22"/>
        </w:rPr>
        <w:t>Hidden defects insurance for incomplete buildings.</w:t>
      </w:r>
    </w:p>
    <w:p>
      <w:pPr>
        <w:pStyle w:val="ListBullet"/>
        <w:jc w:val="left"/>
      </w:pPr>
      <w:r>
        <w:rPr>
          <w:rFonts w:ascii="Arial" w:hAnsi="Arial" w:eastAsia="Arial"/>
          <w:sz w:val="22"/>
        </w:rPr>
        <w:t>Professional liability insurance for engineers and consultants.</w:t>
      </w:r>
    </w:p>
    <w:p>
      <w:pPr>
        <w:pStyle w:val="ListBullet"/>
        <w:jc w:val="left"/>
      </w:pPr>
      <w:r>
        <w:rPr>
          <w:rFonts w:ascii="Arial" w:hAnsi="Arial" w:eastAsia="Arial"/>
          <w:sz w:val="22"/>
        </w:rPr>
        <w:t>Insurance for company headquarters and fixed assets.</w:t>
      </w:r>
    </w:p>
    <w:p>
      <w:pPr>
        <w:pStyle w:val="Heading2"/>
        <w:jc w:val="left"/>
      </w:pPr>
      <w:r>
        <w:rPr>
          <w:rFonts w:ascii="Arial" w:hAnsi="Arial" w:eastAsia="Arial"/>
          <w:color w:val="D4A853"/>
          <w:sz w:val="28"/>
        </w:rPr>
        <w:t>9.3 Compliance with Saudi Codes</w:t>
      </w:r>
    </w:p>
    <w:p>
      <w:pPr>
        <w:pStyle w:val="ListBullet"/>
        <w:jc w:val="left"/>
      </w:pPr>
      <w:r>
        <w:rPr>
          <w:rFonts w:ascii="Arial" w:hAnsi="Arial" w:eastAsia="Arial"/>
          <w:sz w:val="22"/>
        </w:rPr>
        <w:t>Saudi Building Code (SBC) - construction and safety standards.</w:t>
      </w:r>
    </w:p>
    <w:p>
      <w:pPr>
        <w:pStyle w:val="ListBullet"/>
        <w:jc w:val="left"/>
      </w:pPr>
      <w:r>
        <w:rPr>
          <w:rFonts w:ascii="Arial" w:hAnsi="Arial" w:eastAsia="Arial"/>
          <w:sz w:val="22"/>
        </w:rPr>
        <w:t>Municipal requirements - licensing and periodic inspection.</w:t>
      </w:r>
    </w:p>
    <w:p>
      <w:pPr>
        <w:pStyle w:val="ListBullet"/>
        <w:jc w:val="left"/>
      </w:pPr>
      <w:r>
        <w:rPr>
          <w:rFonts w:ascii="Arial" w:hAnsi="Arial" w:eastAsia="Arial"/>
          <w:sz w:val="22"/>
        </w:rPr>
        <w:t>Civil Defense requirements - fire safety.</w:t>
      </w:r>
    </w:p>
    <w:p>
      <w:pPr>
        <w:pStyle w:val="ListBullet"/>
        <w:jc w:val="left"/>
      </w:pPr>
      <w:r>
        <w:rPr>
          <w:rFonts w:ascii="Arial" w:hAnsi="Arial" w:eastAsia="Arial"/>
          <w:sz w:val="22"/>
        </w:rPr>
        <w:t>Real Estate General Authority (REGA) requirements.</w:t>
      </w:r>
    </w:p>
    <w:p>
      <w:r>
        <w:br w:type="page"/>
      </w:r>
    </w:p>
    <w:p>
      <w:pPr>
        <w:pStyle w:val="Heading1"/>
        <w:jc w:val="left"/>
      </w:pPr>
      <w:r>
        <w:rPr>
          <w:rFonts w:ascii="Arial" w:hAnsi="Arial" w:eastAsia="Arial"/>
          <w:color w:val="003366"/>
          <w:sz w:val="36"/>
        </w:rPr>
        <w:t>10. Implementation Plan and Timeline</w:t>
      </w:r>
    </w:p>
    <w:p>
      <w:pPr>
        <w:pStyle w:val="Heading2"/>
        <w:jc w:val="left"/>
      </w:pPr>
      <w:r>
        <w:rPr>
          <w:rFonts w:ascii="Arial" w:hAnsi="Arial" w:eastAsia="Arial"/>
          <w:color w:val="D4A853"/>
          <w:sz w:val="28"/>
        </w:rPr>
        <w:t>10.1 Phase 1: Proof of Concept (Year 1 - 2)</w:t>
      </w:r>
    </w:p>
    <w:p>
      <w:pPr>
        <w:pStyle w:val="ListBullet"/>
        <w:jc w:val="left"/>
      </w:pPr>
      <w:r>
        <w:rPr>
          <w:rFonts w:ascii="Arial" w:hAnsi="Arial" w:eastAsia="Arial"/>
          <w:sz w:val="22"/>
        </w:rPr>
        <w:t>Complete legal establishment and obtain necessary licenses.</w:t>
      </w:r>
    </w:p>
    <w:p>
      <w:pPr>
        <w:pStyle w:val="ListBullet"/>
        <w:jc w:val="left"/>
      </w:pPr>
      <w:r>
        <w:rPr>
          <w:rFonts w:ascii="Arial" w:hAnsi="Arial" w:eastAsia="Arial"/>
          <w:sz w:val="22"/>
        </w:rPr>
        <w:t>Inject SAR 25 million as initial investment for the pilot phase.</w:t>
      </w:r>
    </w:p>
    <w:p>
      <w:pPr>
        <w:pStyle w:val="ListBullet"/>
        <w:jc w:val="left"/>
      </w:pPr>
      <w:r>
        <w:rPr>
          <w:rFonts w:ascii="Arial" w:hAnsi="Arial" w:eastAsia="Arial"/>
          <w:sz w:val="22"/>
        </w:rPr>
        <w:t>Execute 3 - 5 benchmark projects to prove model viability.</w:t>
      </w:r>
    </w:p>
    <w:p>
      <w:pPr>
        <w:pStyle w:val="ListBullet"/>
        <w:jc w:val="left"/>
      </w:pPr>
      <w:r>
        <w:rPr>
          <w:rFonts w:ascii="Arial" w:hAnsi="Arial" w:eastAsia="Arial"/>
          <w:sz w:val="22"/>
        </w:rPr>
        <w:t>Build a core operational team of 10 - 15 employees.</w:t>
      </w:r>
    </w:p>
    <w:p>
      <w:pPr>
        <w:pStyle w:val="ListBullet"/>
        <w:jc w:val="left"/>
      </w:pPr>
      <w:r>
        <w:rPr>
          <w:rFonts w:ascii="Arial" w:hAnsi="Arial" w:eastAsia="Arial"/>
          <w:sz w:val="22"/>
        </w:rPr>
        <w:t>Establish a comprehensive database of incomplete assets.</w:t>
      </w:r>
    </w:p>
    <w:p>
      <w:pPr>
        <w:pStyle w:val="Heading2"/>
        <w:jc w:val="left"/>
      </w:pPr>
      <w:r>
        <w:rPr>
          <w:rFonts w:ascii="Arial" w:hAnsi="Arial" w:eastAsia="Arial"/>
          <w:color w:val="D4A853"/>
          <w:sz w:val="28"/>
        </w:rPr>
        <w:t>10.2 Phase 2: Growth and Replication (Year 3 - 5)</w:t>
      </w:r>
    </w:p>
    <w:p>
      <w:pPr>
        <w:pStyle w:val="ListBullet"/>
        <w:jc w:val="left"/>
      </w:pPr>
      <w:r>
        <w:rPr>
          <w:rFonts w:ascii="Arial" w:hAnsi="Arial" w:eastAsia="Arial"/>
          <w:sz w:val="22"/>
        </w:rPr>
        <w:t>Gradually increase called-up capital according to portfolio growth.</w:t>
      </w:r>
    </w:p>
    <w:p>
      <w:pPr>
        <w:pStyle w:val="ListBullet"/>
        <w:jc w:val="left"/>
      </w:pPr>
      <w:r>
        <w:rPr>
          <w:rFonts w:ascii="Arial" w:hAnsi="Arial" w:eastAsia="Arial"/>
          <w:sz w:val="22"/>
        </w:rPr>
        <w:t>Reach 6 - 10 projects annually.</w:t>
      </w:r>
    </w:p>
    <w:p>
      <w:pPr>
        <w:pStyle w:val="ListBullet"/>
        <w:jc w:val="left"/>
      </w:pPr>
      <w:r>
        <w:rPr>
          <w:rFonts w:ascii="Arial" w:hAnsi="Arial" w:eastAsia="Arial"/>
          <w:sz w:val="22"/>
        </w:rPr>
        <w:t>Achieve sustainable operational profitability.</w:t>
      </w:r>
    </w:p>
    <w:p>
      <w:pPr>
        <w:pStyle w:val="ListBullet"/>
        <w:jc w:val="left"/>
      </w:pPr>
      <w:r>
        <w:rPr>
          <w:rFonts w:ascii="Arial" w:hAnsi="Arial" w:eastAsia="Arial"/>
          <w:sz w:val="22"/>
        </w:rPr>
        <w:t>Develop ERP system and automate operational processes.</w:t>
      </w:r>
    </w:p>
    <w:p>
      <w:pPr>
        <w:pStyle w:val="ListBullet"/>
        <w:jc w:val="left"/>
      </w:pPr>
      <w:r>
        <w:rPr>
          <w:rFonts w:ascii="Arial" w:hAnsi="Arial" w:eastAsia="Arial"/>
          <w:sz w:val="22"/>
        </w:rPr>
        <w:t>Focus on Riyadh and Jeddah as primary markets.</w:t>
      </w:r>
    </w:p>
    <w:p>
      <w:pPr>
        <w:pStyle w:val="Heading2"/>
        <w:jc w:val="left"/>
      </w:pPr>
      <w:r>
        <w:rPr>
          <w:rFonts w:ascii="Arial" w:hAnsi="Arial" w:eastAsia="Arial"/>
          <w:color w:val="D4A853"/>
          <w:sz w:val="28"/>
        </w:rPr>
        <w:t>10.3 Phase 3: Strategic Exit (Year 5 - 7)</w:t>
      </w:r>
    </w:p>
    <w:p>
      <w:pPr>
        <w:pStyle w:val="ListBullet"/>
        <w:jc w:val="left"/>
      </w:pPr>
      <w:r>
        <w:rPr>
          <w:rFonts w:ascii="Arial" w:hAnsi="Arial" w:eastAsia="Arial"/>
          <w:sz w:val="22"/>
        </w:rPr>
        <w:t>Sell controlling stake to a real estate investment fund or major developer.</w:t>
      </w:r>
    </w:p>
    <w:p>
      <w:pPr>
        <w:pStyle w:val="ListBullet"/>
        <w:jc w:val="left"/>
      </w:pPr>
      <w:r>
        <w:rPr>
          <w:rFonts w:ascii="Arial" w:hAnsi="Arial" w:eastAsia="Arial"/>
          <w:sz w:val="22"/>
        </w:rPr>
        <w:t>Or conduct partial IPO on the Saudi Stock Exchange (Tadawul).</w:t>
      </w:r>
    </w:p>
    <w:p>
      <w:pPr>
        <w:pStyle w:val="ListBullet"/>
        <w:jc w:val="left"/>
      </w:pPr>
      <w:r>
        <w:rPr>
          <w:rFonts w:ascii="Arial" w:hAnsi="Arial" w:eastAsia="Arial"/>
          <w:sz w:val="22"/>
        </w:rPr>
        <w:t>Or gradually buy back shares from shareholders using profits.</w:t>
      </w:r>
    </w:p>
    <w:p>
      <w:pPr>
        <w:pStyle w:val="Heading2"/>
        <w:jc w:val="left"/>
      </w:pPr>
      <w:r>
        <w:rPr>
          <w:rFonts w:ascii="Arial" w:hAnsi="Arial" w:eastAsia="Arial"/>
          <w:color w:val="D4A853"/>
          <w:sz w:val="28"/>
        </w:rPr>
        <w:t>10.4 Main Timeline</w:t>
      </w:r>
    </w:p>
    <w:tbl>
      <w:tblPr>
        <w:tblStyle w:val="LightGrid-Accent1"/>
        <w:tblW w:type="auto" w:w="0"/>
        <w:jc w:val="left"/>
        <w:tblLayout w:type="autofit"/>
        <w:tblLook w:firstColumn="1" w:firstRow="1" w:lastColumn="0" w:lastRow="0" w:noHBand="0" w:noVBand="1" w:val="04A0"/>
      </w:tblPr>
      <w:tblGrid>
        <w:gridCol w:w="3010"/>
        <w:gridCol w:w="3010"/>
        <w:gridCol w:w="3010"/>
      </w:tblGrid>
      <w:tr>
        <w:tc>
          <w:tcPr>
            <w:tcW w:type="dxa" w:w="3010"/>
            <w:shd w:fill="0A0F1A"/>
          </w:tcPr>
          <w:p>
            <w:pPr>
              <w:jc w:val="left"/>
            </w:pPr>
            <w:r>
              <w:rPr>
                <w:rFonts w:ascii="Arial" w:hAnsi="Arial" w:eastAsia="Arial"/>
                <w:b/>
                <w:color w:val="FFFFFF"/>
              </w:rPr>
              <w:t>Phase</w:t>
            </w:r>
          </w:p>
        </w:tc>
        <w:tc>
          <w:tcPr>
            <w:tcW w:type="dxa" w:w="3010"/>
            <w:shd w:fill="0A0F1A"/>
          </w:tcPr>
          <w:p>
            <w:pPr>
              <w:jc w:val="left"/>
            </w:pPr>
            <w:r>
              <w:rPr>
                <w:rFonts w:ascii="Arial" w:hAnsi="Arial" w:eastAsia="Arial"/>
                <w:b/>
                <w:color w:val="FFFFFF"/>
              </w:rPr>
              <w:t>Duration</w:t>
            </w:r>
          </w:p>
        </w:tc>
        <w:tc>
          <w:tcPr>
            <w:tcW w:type="dxa" w:w="3010"/>
            <w:shd w:fill="0A0F1A"/>
          </w:tcPr>
          <w:p>
            <w:pPr>
              <w:jc w:val="left"/>
            </w:pPr>
            <w:r>
              <w:rPr>
                <w:rFonts w:ascii="Arial" w:hAnsi="Arial" w:eastAsia="Arial"/>
                <w:b/>
                <w:color w:val="FFFFFF"/>
              </w:rPr>
              <w:t>Key Milestones</w:t>
            </w:r>
          </w:p>
        </w:tc>
      </w:tr>
      <w:tr>
        <w:tc>
          <w:tcPr>
            <w:tcW w:type="dxa" w:w="3010"/>
          </w:tcPr>
          <w:p>
            <w:pPr>
              <w:jc w:val="left"/>
            </w:pPr>
            <w:r>
              <w:rPr>
                <w:rFonts w:ascii="Arial" w:hAnsi="Arial" w:eastAsia="Arial"/>
              </w:rPr>
              <w:t>Phase</w:t>
            </w:r>
          </w:p>
        </w:tc>
        <w:tc>
          <w:tcPr>
            <w:tcW w:type="dxa" w:w="3010"/>
          </w:tcPr>
          <w:p>
            <w:pPr>
              <w:jc w:val="left"/>
            </w:pPr>
            <w:r>
              <w:rPr>
                <w:rFonts w:ascii="Arial" w:hAnsi="Arial" w:eastAsia="Arial"/>
              </w:rPr>
              <w:t>Duration</w:t>
            </w:r>
          </w:p>
        </w:tc>
        <w:tc>
          <w:tcPr>
            <w:tcW w:type="dxa" w:w="3010"/>
          </w:tcPr>
          <w:p>
            <w:pPr>
              <w:jc w:val="left"/>
            </w:pPr>
            <w:r>
              <w:rPr>
                <w:rFonts w:ascii="Arial" w:hAnsi="Arial" w:eastAsia="Arial"/>
              </w:rPr>
              <w:t>Key Milestones</w:t>
            </w:r>
          </w:p>
        </w:tc>
      </w:tr>
      <w:tr>
        <w:tc>
          <w:tcPr>
            <w:tcW w:type="dxa" w:w="3010"/>
          </w:tcPr>
          <w:p>
            <w:pPr>
              <w:jc w:val="left"/>
            </w:pPr>
            <w:r>
              <w:rPr>
                <w:rFonts w:ascii="Arial" w:hAnsi="Arial" w:eastAsia="Arial"/>
              </w:rPr>
              <w:t>Establishment</w:t>
            </w:r>
          </w:p>
        </w:tc>
        <w:tc>
          <w:tcPr>
            <w:tcW w:type="dxa" w:w="3010"/>
          </w:tcPr>
          <w:p>
            <w:pPr>
              <w:jc w:val="left"/>
            </w:pPr>
            <w:r>
              <w:rPr>
                <w:rFonts w:ascii="Arial" w:hAnsi="Arial" w:eastAsia="Arial"/>
              </w:rPr>
              <w:t>0 - 6 months</w:t>
            </w:r>
          </w:p>
        </w:tc>
        <w:tc>
          <w:tcPr>
            <w:tcW w:type="dxa" w:w="3010"/>
          </w:tcPr>
          <w:p>
            <w:pPr>
              <w:jc w:val="left"/>
            </w:pPr>
            <w:r>
              <w:rPr>
                <w:rFonts w:ascii="Arial" w:hAnsi="Arial" w:eastAsia="Arial"/>
              </w:rPr>
              <w:t>Obtain licenses, set up office, assemble core team</w:t>
            </w:r>
          </w:p>
        </w:tc>
      </w:tr>
      <w:tr>
        <w:tc>
          <w:tcPr>
            <w:tcW w:type="dxa" w:w="3010"/>
          </w:tcPr>
          <w:p>
            <w:pPr>
              <w:jc w:val="left"/>
            </w:pPr>
            <w:r>
              <w:rPr>
                <w:rFonts w:ascii="Arial" w:hAnsi="Arial" w:eastAsia="Arial"/>
              </w:rPr>
              <w:t>Launch</w:t>
            </w:r>
          </w:p>
        </w:tc>
        <w:tc>
          <w:tcPr>
            <w:tcW w:type="dxa" w:w="3010"/>
          </w:tcPr>
          <w:p>
            <w:pPr>
              <w:jc w:val="left"/>
            </w:pPr>
            <w:r>
              <w:rPr>
                <w:rFonts w:ascii="Arial" w:hAnsi="Arial" w:eastAsia="Arial"/>
              </w:rPr>
              <w:t>6 - 12 months</w:t>
            </w:r>
          </w:p>
        </w:tc>
        <w:tc>
          <w:tcPr>
            <w:tcW w:type="dxa" w:w="3010"/>
          </w:tcPr>
          <w:p>
            <w:pPr>
              <w:jc w:val="left"/>
            </w:pPr>
            <w:r>
              <w:rPr>
                <w:rFonts w:ascii="Arial" w:hAnsi="Arial" w:eastAsia="Arial"/>
              </w:rPr>
              <w:t>Execute first 3 projects, achieve initial revenues</w:t>
            </w:r>
          </w:p>
        </w:tc>
      </w:tr>
      <w:tr>
        <w:tc>
          <w:tcPr>
            <w:tcW w:type="dxa" w:w="3010"/>
          </w:tcPr>
          <w:p>
            <w:pPr>
              <w:jc w:val="left"/>
            </w:pPr>
            <w:r>
              <w:rPr>
                <w:rFonts w:ascii="Arial" w:hAnsi="Arial" w:eastAsia="Arial"/>
              </w:rPr>
              <w:t>Growth</w:t>
            </w:r>
          </w:p>
        </w:tc>
        <w:tc>
          <w:tcPr>
            <w:tcW w:type="dxa" w:w="3010"/>
          </w:tcPr>
          <w:p>
            <w:pPr>
              <w:jc w:val="left"/>
            </w:pPr>
            <w:r>
              <w:rPr>
                <w:rFonts w:ascii="Arial" w:hAnsi="Arial" w:eastAsia="Arial"/>
              </w:rPr>
              <w:t>Year 2 - 3</w:t>
            </w:r>
          </w:p>
        </w:tc>
        <w:tc>
          <w:tcPr>
            <w:tcW w:type="dxa" w:w="3010"/>
          </w:tcPr>
          <w:p>
            <w:pPr>
              <w:jc w:val="left"/>
            </w:pPr>
            <w:r>
              <w:rPr>
                <w:rFonts w:ascii="Arial" w:hAnsi="Arial" w:eastAsia="Arial"/>
              </w:rPr>
              <w:t>6 projects annually, reach operational break-even</w:t>
            </w:r>
          </w:p>
        </w:tc>
      </w:tr>
      <w:tr>
        <w:tc>
          <w:tcPr>
            <w:tcW w:type="dxa" w:w="3010"/>
          </w:tcPr>
          <w:p>
            <w:pPr>
              <w:jc w:val="left"/>
            </w:pPr>
            <w:r>
              <w:rPr>
                <w:rFonts w:ascii="Arial" w:hAnsi="Arial" w:eastAsia="Arial"/>
              </w:rPr>
              <w:t>Expansion</w:t>
            </w:r>
          </w:p>
        </w:tc>
        <w:tc>
          <w:tcPr>
            <w:tcW w:type="dxa" w:w="3010"/>
          </w:tcPr>
          <w:p>
            <w:pPr>
              <w:jc w:val="left"/>
            </w:pPr>
            <w:r>
              <w:rPr>
                <w:rFonts w:ascii="Arial" w:hAnsi="Arial" w:eastAsia="Arial"/>
              </w:rPr>
              <w:t>Year 4 - 5</w:t>
            </w:r>
          </w:p>
        </w:tc>
        <w:tc>
          <w:tcPr>
            <w:tcW w:type="dxa" w:w="3010"/>
          </w:tcPr>
          <w:p>
            <w:pPr>
              <w:jc w:val="left"/>
            </w:pPr>
            <w:r>
              <w:rPr>
                <w:rFonts w:ascii="Arial" w:hAnsi="Arial" w:eastAsia="Arial"/>
              </w:rPr>
              <w:t>10 projects annually, sustainable profits</w:t>
            </w:r>
          </w:p>
        </w:tc>
      </w:tr>
      <w:tr>
        <w:tc>
          <w:tcPr>
            <w:tcW w:type="dxa" w:w="3010"/>
          </w:tcPr>
          <w:p>
            <w:pPr>
              <w:jc w:val="left"/>
            </w:pPr>
            <w:r>
              <w:rPr>
                <w:rFonts w:ascii="Arial" w:hAnsi="Arial" w:eastAsia="Arial"/>
              </w:rPr>
              <w:t>Exit</w:t>
            </w:r>
          </w:p>
        </w:tc>
        <w:tc>
          <w:tcPr>
            <w:tcW w:type="dxa" w:w="3010"/>
          </w:tcPr>
          <w:p>
            <w:pPr>
              <w:jc w:val="left"/>
            </w:pPr>
            <w:r>
              <w:rPr>
                <w:rFonts w:ascii="Arial" w:hAnsi="Arial" w:eastAsia="Arial"/>
              </w:rPr>
              <w:t>Year 5 - 7</w:t>
            </w:r>
          </w:p>
        </w:tc>
        <w:tc>
          <w:tcPr>
            <w:tcW w:type="dxa" w:w="3010"/>
          </w:tcPr>
          <w:p>
            <w:pPr>
              <w:jc w:val="left"/>
            </w:pPr>
            <w:r>
              <w:rPr>
                <w:rFonts w:ascii="Arial" w:hAnsi="Arial" w:eastAsia="Arial"/>
              </w:rPr>
              <w:t>Strategic sale or partial IPO</w:t>
            </w:r>
          </w:p>
        </w:tc>
      </w:tr>
    </w:tbl>
    <w:p>
      <w:r>
        <w:br w:type="page"/>
      </w:r>
    </w:p>
    <w:p>
      <w:pPr>
        <w:pStyle w:val="Heading1"/>
        <w:jc w:val="left"/>
      </w:pPr>
      <w:r>
        <w:rPr>
          <w:rFonts w:ascii="Arial" w:hAnsi="Arial" w:eastAsia="Arial"/>
          <w:color w:val="003366"/>
          <w:sz w:val="36"/>
        </w:rPr>
        <w:t>11. Conclusion and Recommendations</w:t>
      </w:r>
    </w:p>
    <w:p>
      <w:pPr>
        <w:jc w:val="left"/>
      </w:pPr>
      <w:r>
        <w:rPr>
          <w:rFonts w:ascii="Arial" w:hAnsi="Arial" w:eastAsia="Arial"/>
          <w:b w:val="0"/>
          <w:i w:val="0"/>
          <w:color w:val="000000"/>
          <w:sz w:val="24"/>
        </w:rPr>
        <w:t>The Real Estate Asset Revitalization Company offers a unique investment opportunity in the Saudi real estate market. The business model relies on Muhassah partnerships with owners of incomplete assets, eliminating the need to purchase land and reducing the initial capital required.</w:t>
      </w:r>
    </w:p>
    <w:p>
      <w:pPr>
        <w:jc w:val="left"/>
      </w:pPr>
      <w:r>
        <w:rPr>
          <w:rFonts w:ascii="Arial" w:hAnsi="Arial" w:eastAsia="Arial"/>
          <w:b w:val="0"/>
          <w:i w:val="0"/>
          <w:color w:val="000000"/>
          <w:sz w:val="24"/>
        </w:rPr>
        <w:t>Thanks to self-funding by founding shareholders, compliance with the Saudi Building Code, and comprehensive insurance coverage, the company enjoys calculated risks and attractive returns reaching 19 - 20% expected IRR over a 10-year horizon.</w:t>
      </w:r>
    </w:p>
    <w:p>
      <w:pPr>
        <w:pStyle w:val="Heading2"/>
        <w:jc w:val="left"/>
      </w:pPr>
      <w:r>
        <w:rPr>
          <w:rFonts w:ascii="Arial" w:hAnsi="Arial" w:eastAsia="Arial"/>
          <w:color w:val="D4A853"/>
          <w:sz w:val="28"/>
        </w:rPr>
        <w:t>Key Recommendations</w:t>
      </w:r>
    </w:p>
    <w:p>
      <w:pPr>
        <w:pStyle w:val="ListBullet"/>
        <w:jc w:val="left"/>
      </w:pPr>
      <w:r>
        <w:rPr>
          <w:rFonts w:ascii="Arial" w:hAnsi="Arial" w:eastAsia="Arial"/>
          <w:sz w:val="22"/>
        </w:rPr>
        <w:t>Start with a pilot phase of SAR 25 million and execute 3 - 5 benchmark projects.</w:t>
      </w:r>
    </w:p>
    <w:p>
      <w:pPr>
        <w:pStyle w:val="ListBullet"/>
        <w:jc w:val="left"/>
      </w:pPr>
      <w:r>
        <w:rPr>
          <w:rFonts w:ascii="Arial" w:hAnsi="Arial" w:eastAsia="Arial"/>
          <w:sz w:val="22"/>
        </w:rPr>
        <w:t>Focus on one city (Riyadh or Jeddah) in the early years to avoid spreading efforts.</w:t>
      </w:r>
    </w:p>
    <w:p>
      <w:pPr>
        <w:pStyle w:val="ListBullet"/>
        <w:jc w:val="left"/>
      </w:pPr>
      <w:r>
        <w:rPr>
          <w:rFonts w:ascii="Arial" w:hAnsi="Arial" w:eastAsia="Arial"/>
          <w:sz w:val="22"/>
        </w:rPr>
        <w:t>Build a database of incomplete assets before official launch.</w:t>
      </w:r>
    </w:p>
    <w:p>
      <w:pPr>
        <w:pStyle w:val="ListBullet"/>
        <w:jc w:val="left"/>
      </w:pPr>
      <w:r>
        <w:rPr>
          <w:rFonts w:ascii="Arial" w:hAnsi="Arial" w:eastAsia="Arial"/>
          <w:sz w:val="22"/>
        </w:rPr>
        <w:t>Partner with certified contractors who provide bank guarantees for their work.</w:t>
      </w:r>
    </w:p>
    <w:p>
      <w:pPr>
        <w:pStyle w:val="ListBullet"/>
        <w:jc w:val="left"/>
      </w:pPr>
      <w:r>
        <w:rPr>
          <w:rFonts w:ascii="Arial" w:hAnsi="Arial" w:eastAsia="Arial"/>
          <w:sz w:val="22"/>
        </w:rPr>
        <w:t>Include binding arbitration clauses in all Muhassah contracts.</w:t>
      </w:r>
    </w:p>
    <w:p>
      <w:pPr>
        <w:pStyle w:val="ListBullet"/>
        <w:jc w:val="left"/>
      </w:pPr>
      <w:r>
        <w:rPr>
          <w:rFonts w:ascii="Arial" w:hAnsi="Arial" w:eastAsia="Arial"/>
          <w:sz w:val="22"/>
        </w:rPr>
        <w:t>Develop an ERP system to manage the portfolio and cash flows.</w:t>
      </w:r>
    </w:p>
    <w:p>
      <w:pPr>
        <w:pStyle w:val="ListBullet"/>
        <w:jc w:val="left"/>
      </w:pPr>
      <w:r>
        <w:rPr>
          <w:rFonts w:ascii="Arial" w:hAnsi="Arial" w:eastAsia="Arial"/>
          <w:sz w:val="22"/>
        </w:rPr>
        <w:t>Prepare a standardized Muhassah contract that protects both the company and the owner.</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t xml:space="preserve">Bonds Financial Management &amp; Consulting  |  </w:t>
    </w:r>
    <w:r>
      <w:rPr>
        <w:rFonts w:ascii="Arial" w:hAnsi="Arial" w:eastAsia="Arial"/>
        <w:color w:val="D4A853"/>
        <w:sz w:val="18"/>
      </w:rPr>
      <w:t>www.bonds-global.com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