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28800" cy="1219200"/>
            <wp:docPr id="1" name="Picture 1"/>
            <wp:cNvGraphicFramePr>
              <a:graphicFrameLocks noChangeAspect="1"/>
            </wp:cNvGraphicFramePr>
            <a:graphic>
              <a:graphicData uri="http://schemas.openxmlformats.org/drawingml/2006/picture">
                <pic:pic>
                  <pic:nvPicPr>
                    <pic:cNvPr id="0" name="bonds-logo.png"/>
                    <pic:cNvPicPr/>
                  </pic:nvPicPr>
                  <pic:blipFill>
                    <a:blip r:embed="rId10"/>
                    <a:stretch>
                      <a:fillRect/>
                    </a:stretch>
                  </pic:blipFill>
                  <pic:spPr>
                    <a:xfrm>
                      <a:off x="0" y="0"/>
                      <a:ext cx="1828800" cy="1219200"/>
                    </a:xfrm>
                    <a:prstGeom prst="rect"/>
                  </pic:spPr>
                </pic:pic>
              </a:graphicData>
            </a:graphic>
          </wp:inline>
        </w:drawing>
      </w:r>
    </w:p>
    <w:p/>
    <w:p/>
    <w:p>
      <w:pPr>
        <w:jc w:val="center"/>
      </w:pPr>
      <w:r>
        <w:rPr>
          <w:rFonts w:ascii="Arial" w:hAnsi="Arial" w:eastAsia="Arial"/>
          <w:b/>
          <w:color w:val="003366"/>
          <w:sz w:val="80"/>
        </w:rPr>
        <w:t>خطة عمل</w:t>
      </w:r>
    </w:p>
    <w:p>
      <w:pPr>
        <w:jc w:val="center"/>
      </w:pPr>
      <w:r>
        <w:rPr>
          <w:rFonts w:ascii="Arial" w:hAnsi="Arial" w:eastAsia="Arial"/>
          <w:b/>
          <w:color w:val="D4A853"/>
          <w:sz w:val="52"/>
        </w:rPr>
        <w:t>شركة إحياء الأصول غير المكتملة العقارية</w:t>
      </w:r>
    </w:p>
    <w:p/>
    <w:p>
      <w:pPr>
        <w:jc w:val="center"/>
      </w:pPr>
      <w:r>
        <w:rPr>
          <w:rFonts w:ascii="Arial" w:hAnsi="Arial" w:eastAsia="Arial"/>
          <w:b/>
          <w:color w:val="0A0F1A"/>
          <w:sz w:val="32"/>
        </w:rPr>
        <w:t>شركة مساهمة مقفلة</w:t>
      </w:r>
    </w:p>
    <w:p>
      <w:pPr>
        <w:jc w:val="center"/>
      </w:pPr>
      <w:r>
        <w:rPr>
          <w:rFonts w:ascii="Arial" w:hAnsi="Arial" w:eastAsia="Arial"/>
          <w:color w:val="666666"/>
          <w:sz w:val="28"/>
        </w:rPr>
        <w:t>المملكة العربية السعودية</w:t>
      </w:r>
    </w:p>
    <w:p/>
    <w:p>
      <w:pPr>
        <w:jc w:val="center"/>
      </w:pPr>
      <w:r>
        <w:rPr>
          <w:rFonts w:ascii="Arial" w:hAnsi="Arial" w:eastAsia="Arial"/>
          <w:b/>
          <w:color w:val="D4A853"/>
          <w:sz w:val="28"/>
        </w:rPr>
        <w:t>المستشار المالي</w:t>
      </w:r>
    </w:p>
    <w:p>
      <w:pPr>
        <w:jc w:val="center"/>
      </w:pPr>
      <w:r>
        <w:rPr>
          <w:rFonts w:ascii="Arial" w:hAnsi="Arial" w:eastAsia="Arial"/>
          <w:b/>
          <w:sz w:val="32"/>
        </w:rPr>
        <w:t>د. طلال بن حسن الزهراني</w:t>
      </w:r>
    </w:p>
    <w:p>
      <w:pPr>
        <w:jc w:val="center"/>
      </w:pPr>
      <w:r>
        <w:rPr>
          <w:rFonts w:ascii="Arial" w:hAnsi="Arial" w:eastAsia="Arial"/>
          <w:sz w:val="24"/>
        </w:rPr>
        <w:t>+966 56 756 6616</w:t>
      </w:r>
    </w:p>
    <w:p>
      <w:pPr>
        <w:jc w:val="center"/>
      </w:pPr>
      <w:r>
        <w:rPr>
          <w:rFonts w:ascii="Arial" w:hAnsi="Arial" w:eastAsia="Arial"/>
          <w:color w:val="D4A853"/>
          <w:sz w:val="24"/>
        </w:rPr>
        <w:t>info@bonds-global.com</w:t>
      </w:r>
    </w:p>
    <w:p>
      <w:pPr>
        <w:jc w:val="center"/>
      </w:pPr>
      <w:r>
        <w:drawing>
          <wp:inline xmlns:a="http://schemas.openxmlformats.org/drawingml/2006/main" xmlns:pic="http://schemas.openxmlformats.org/drawingml/2006/picture">
            <wp:extent cx="914400" cy="914400"/>
            <wp:docPr id="2" name="Picture 2"/>
            <wp:cNvGraphicFramePr>
              <a:graphicFrameLocks noChangeAspect="1"/>
            </wp:cNvGraphicFramePr>
            <a:graphic>
              <a:graphicData uri="http://schemas.openxmlformats.org/drawingml/2006/picture">
                <pic:pic>
                  <pic:nvPicPr>
                    <pic:cNvPr id="0" name="bonds-qr-code.png"/>
                    <pic:cNvPicPr/>
                  </pic:nvPicPr>
                  <pic:blipFill>
                    <a:blip r:embed="rId11"/>
                    <a:stretch>
                      <a:fillRect/>
                    </a:stretch>
                  </pic:blipFill>
                  <pic:spPr>
                    <a:xfrm>
                      <a:off x="0" y="0"/>
                      <a:ext cx="914400" cy="914400"/>
                    </a:xfrm>
                    <a:prstGeom prst="rect"/>
                  </pic:spPr>
                </pic:pic>
              </a:graphicData>
            </a:graphic>
          </wp:inline>
        </w:drawing>
      </w:r>
    </w:p>
    <w:p>
      <w:pPr>
        <w:jc w:val="center"/>
      </w:pPr>
      <w:r>
        <w:rPr>
          <w:rFonts w:ascii="Arial" w:hAnsi="Arial" w:eastAsia="Arial"/>
          <w:color w:val="666666"/>
          <w:sz w:val="20"/>
        </w:rPr>
        <w:t>www.bonds-global.com</w:t>
      </w:r>
    </w:p>
    <w:p>
      <w:r>
        <w:br w:type="page"/>
      </w:r>
    </w:p>
    <w:p>
      <w:pPr>
        <w:pStyle w:val="Heading1"/>
        <w:jc w:val="right"/>
      </w:pPr>
      <w:r>
        <w:rPr>
          <w:rFonts w:ascii="Arial" w:hAnsi="Arial" w:eastAsia="Arial"/>
          <w:color w:val="003366"/>
          <w:sz w:val="36"/>
        </w:rPr>
        <w:t>ملخص تنفيذي</w:t>
      </w:r>
    </w:p>
    <w:p>
      <w:pPr>
        <w:jc w:val="right"/>
      </w:pPr>
      <w:r>
        <w:rPr>
          <w:rFonts w:ascii="Arial" w:hAnsi="Arial" w:eastAsia="Arial"/>
          <w:b w:val="0"/>
          <w:i w:val="0"/>
          <w:color w:val="000000"/>
          <w:sz w:val="24"/>
        </w:rPr>
        <w:t>تأسست شركة إحياء الأصول غير المكتملة العقارية كنموذج استثماري متخصص، يهدف إلى إحياء العقارات غير المكتملة في المملكة العربية السعودية من خلال شراكات محاصة مع مالكيها، دون الحاجة إلى شراء الأراضي أو الاعتماد على التمويل الخارجي.</w:t>
      </w:r>
    </w:p>
    <w:p>
      <w:pPr>
        <w:jc w:val="right"/>
      </w:pPr>
      <w:r>
        <w:rPr>
          <w:rFonts w:ascii="Arial" w:hAnsi="Arial" w:eastAsia="Arial"/>
          <w:b w:val="0"/>
          <w:i w:val="0"/>
          <w:color w:val="000000"/>
          <w:sz w:val="24"/>
        </w:rPr>
        <w:t>تعمل الشركة بصورة قانونية كنظام مساهمة مقفلة، ممولة بالكامل من المساهمين المؤسسين، وتلتزم بأعلى معايير الكود السعودي للبناء والتشطيب، مع تغطية تأمينية شاملة لجميع المشاريع.</w:t>
      </w:r>
    </w:p>
    <w:p>
      <w:pPr>
        <w:pStyle w:val="Heading2"/>
        <w:jc w:val="right"/>
      </w:pPr>
      <w:r>
        <w:rPr>
          <w:rFonts w:ascii="Arial" w:hAnsi="Arial" w:eastAsia="Arial"/>
          <w:color w:val="D4A853"/>
          <w:sz w:val="28"/>
        </w:rPr>
        <w:t>أبرز المؤشرات المالية</w:t>
      </w:r>
    </w:p>
    <w:tbl>
      <w:tblPr>
        <w:tblStyle w:val="LightGrid-Accent1"/>
        <w:tblW w:type="auto" w:w="0"/>
        <w:jc w:val="right"/>
        <w:tblLayout w:type="autofit"/>
        <w:tblLook w:firstColumn="1" w:firstRow="1" w:lastColumn="0" w:lastRow="0" w:noHBand="0" w:noVBand="1" w:val="04A0"/>
      </w:tblPr>
      <w:tblGrid>
        <w:gridCol w:w="4514"/>
        <w:gridCol w:w="4514"/>
      </w:tblGrid>
      <w:tr>
        <w:tc>
          <w:tcPr>
            <w:tcW w:type="dxa" w:w="4514"/>
            <w:shd w:fill="0A0F1A"/>
          </w:tcPr>
          <w:p>
            <w:pPr>
              <w:jc w:val="right"/>
            </w:pPr>
            <w:r>
              <w:rPr>
                <w:rFonts w:ascii="Arial" w:hAnsi="Arial" w:eastAsia="Arial"/>
                <w:b/>
                <w:color w:val="FFFFFF"/>
              </w:rPr>
              <w:t>المؤشر</w:t>
            </w:r>
          </w:p>
        </w:tc>
        <w:tc>
          <w:tcPr>
            <w:tcW w:type="dxa" w:w="4514"/>
            <w:shd w:fill="0A0F1A"/>
          </w:tcPr>
          <w:p>
            <w:pPr>
              <w:jc w:val="right"/>
            </w:pPr>
            <w:r>
              <w:rPr>
                <w:rFonts w:ascii="Arial" w:hAnsi="Arial" w:eastAsia="Arial"/>
                <w:b/>
                <w:color w:val="FFFFFF"/>
              </w:rPr>
              <w:t>القيمة</w:t>
            </w:r>
          </w:p>
        </w:tc>
      </w:tr>
      <w:tr>
        <w:tc>
          <w:tcPr>
            <w:tcW w:type="dxa" w:w="4514"/>
          </w:tcPr>
          <w:p>
            <w:pPr>
              <w:jc w:val="right"/>
            </w:pPr>
            <w:r>
              <w:rPr>
                <w:rFonts w:ascii="Arial" w:hAnsi="Arial" w:eastAsia="Arial"/>
              </w:rPr>
              <w:t>رأس المال المصرح</w:t>
            </w:r>
          </w:p>
        </w:tc>
        <w:tc>
          <w:tcPr>
            <w:tcW w:type="dxa" w:w="4514"/>
          </w:tcPr>
          <w:p>
            <w:pPr>
              <w:jc w:val="right"/>
            </w:pPr>
            <w:r>
              <w:rPr>
                <w:rFonts w:ascii="Arial" w:hAnsi="Arial" w:eastAsia="Arial"/>
              </w:rPr>
              <w:t>200 مليون ريال</w:t>
            </w:r>
          </w:p>
        </w:tc>
      </w:tr>
      <w:tr>
        <w:tc>
          <w:tcPr>
            <w:tcW w:type="dxa" w:w="4514"/>
          </w:tcPr>
          <w:p>
            <w:pPr>
              <w:jc w:val="right"/>
            </w:pPr>
            <w:r>
              <w:rPr>
                <w:rFonts w:ascii="Arial" w:hAnsi="Arial" w:eastAsia="Arial"/>
              </w:rPr>
              <w:t>إجمالي الاستثمار المستهدف</w:t>
            </w:r>
          </w:p>
        </w:tc>
        <w:tc>
          <w:tcPr>
            <w:tcW w:type="dxa" w:w="4514"/>
          </w:tcPr>
          <w:p>
            <w:pPr>
              <w:jc w:val="right"/>
            </w:pPr>
            <w:r>
              <w:rPr>
                <w:rFonts w:ascii="Arial" w:hAnsi="Arial" w:eastAsia="Arial"/>
              </w:rPr>
              <w:t>226 مليون ريال</w:t>
            </w:r>
          </w:p>
        </w:tc>
      </w:tr>
      <w:tr>
        <w:tc>
          <w:tcPr>
            <w:tcW w:type="dxa" w:w="4514"/>
          </w:tcPr>
          <w:p>
            <w:pPr>
              <w:jc w:val="right"/>
            </w:pPr>
            <w:r>
              <w:rPr>
                <w:rFonts w:ascii="Arial" w:hAnsi="Arial" w:eastAsia="Arial"/>
              </w:rPr>
              <w:t>الاستثمار الفعلي المبدئي</w:t>
            </w:r>
          </w:p>
        </w:tc>
        <w:tc>
          <w:tcPr>
            <w:tcW w:type="dxa" w:w="4514"/>
          </w:tcPr>
          <w:p>
            <w:pPr>
              <w:jc w:val="right"/>
            </w:pPr>
            <w:r>
              <w:rPr>
                <w:rFonts w:ascii="Arial" w:hAnsi="Arial" w:eastAsia="Arial"/>
              </w:rPr>
              <w:t>25 مليون ريال</w:t>
            </w:r>
          </w:p>
        </w:tc>
      </w:tr>
      <w:tr>
        <w:tc>
          <w:tcPr>
            <w:tcW w:type="dxa" w:w="4514"/>
          </w:tcPr>
          <w:p>
            <w:pPr>
              <w:jc w:val="right"/>
            </w:pPr>
            <w:r>
              <w:rPr>
                <w:rFonts w:ascii="Arial" w:hAnsi="Arial" w:eastAsia="Arial"/>
              </w:rPr>
              <w:t>العائد الداخلي المتوقع (IRR)</w:t>
            </w:r>
          </w:p>
        </w:tc>
        <w:tc>
          <w:tcPr>
            <w:tcW w:type="dxa" w:w="4514"/>
          </w:tcPr>
          <w:p>
            <w:pPr>
              <w:jc w:val="right"/>
            </w:pPr>
            <w:r>
              <w:rPr>
                <w:rFonts w:ascii="Arial" w:hAnsi="Arial" w:eastAsia="Arial"/>
              </w:rPr>
              <w:t>19% - 20%</w:t>
            </w:r>
          </w:p>
        </w:tc>
      </w:tr>
      <w:tr>
        <w:tc>
          <w:tcPr>
            <w:tcW w:type="dxa" w:w="4514"/>
          </w:tcPr>
          <w:p>
            <w:pPr>
              <w:jc w:val="right"/>
            </w:pPr>
            <w:r>
              <w:rPr>
                <w:rFonts w:ascii="Arial" w:hAnsi="Arial" w:eastAsia="Arial"/>
              </w:rPr>
              <w:t>مضاعفة رأس المال عند الخروج</w:t>
            </w:r>
          </w:p>
        </w:tc>
        <w:tc>
          <w:tcPr>
            <w:tcW w:type="dxa" w:w="4514"/>
          </w:tcPr>
          <w:p>
            <w:pPr>
              <w:jc w:val="right"/>
            </w:pPr>
            <w:r>
              <w:rPr>
                <w:rFonts w:ascii="Arial" w:hAnsi="Arial" w:eastAsia="Arial"/>
              </w:rPr>
              <w:t>2.5x - 4x</w:t>
            </w:r>
          </w:p>
        </w:tc>
      </w:tr>
      <w:tr>
        <w:tc>
          <w:tcPr>
            <w:tcW w:type="dxa" w:w="4514"/>
          </w:tcPr>
          <w:p>
            <w:pPr>
              <w:jc w:val="right"/>
            </w:pPr>
            <w:r>
              <w:rPr>
                <w:rFonts w:ascii="Arial" w:hAnsi="Arial" w:eastAsia="Arial"/>
              </w:rPr>
              <w:t>فترة استرداد رأس المال</w:t>
            </w:r>
          </w:p>
        </w:tc>
        <w:tc>
          <w:tcPr>
            <w:tcW w:type="dxa" w:w="4514"/>
          </w:tcPr>
          <w:p>
            <w:pPr>
              <w:jc w:val="right"/>
            </w:pPr>
            <w:r>
              <w:rPr>
                <w:rFonts w:ascii="Arial" w:hAnsi="Arial" w:eastAsia="Arial"/>
              </w:rPr>
              <w:t>5.5 سنة</w:t>
            </w:r>
          </w:p>
        </w:tc>
      </w:tr>
    </w:tbl>
    <w:p>
      <w:pPr>
        <w:pStyle w:val="Heading2"/>
        <w:jc w:val="right"/>
      </w:pPr>
      <w:r>
        <w:rPr>
          <w:rFonts w:ascii="Arial" w:hAnsi="Arial" w:eastAsia="Arial"/>
          <w:color w:val="D4A853"/>
          <w:sz w:val="28"/>
        </w:rPr>
        <w:t>الفرصة السوقية</w:t>
      </w:r>
    </w:p>
    <w:p>
      <w:pPr>
        <w:pStyle w:val="ListBullet"/>
        <w:jc w:val="right"/>
      </w:pPr>
      <w:r>
        <w:rPr>
          <w:rFonts w:ascii="Arial" w:hAnsi="Arial" w:eastAsia="Arial"/>
          <w:sz w:val="22"/>
        </w:rPr>
        <w:t>السعودية تشهد نمواً عقارياً غير مسبوق بفضل رؤية 2030.</w:t>
      </w:r>
    </w:p>
    <w:p>
      <w:pPr>
        <w:pStyle w:val="ListBullet"/>
        <w:jc w:val="right"/>
      </w:pPr>
      <w:r>
        <w:rPr>
          <w:rFonts w:ascii="Arial" w:hAnsi="Arial" w:eastAsia="Arial"/>
          <w:sz w:val="22"/>
        </w:rPr>
        <w:t>آلاف العقارات غير المكتملة متاحة بسبب نقص السيولة أو الخبرة التنفيذية.</w:t>
      </w:r>
    </w:p>
    <w:p>
      <w:pPr>
        <w:pStyle w:val="ListBullet"/>
        <w:jc w:val="right"/>
      </w:pPr>
      <w:r>
        <w:rPr>
          <w:rFonts w:ascii="Arial" w:hAnsi="Arial" w:eastAsia="Arial"/>
          <w:sz w:val="22"/>
        </w:rPr>
        <w:t>الطلب على الوحدات الجاهزة يفوق العرض في المدن الرئيسية.</w:t>
      </w:r>
    </w:p>
    <w:p>
      <w:pPr>
        <w:pStyle w:val="ListBullet"/>
        <w:jc w:val="right"/>
      </w:pPr>
      <w:r>
        <w:rPr>
          <w:rFonts w:ascii="Arial" w:hAnsi="Arial" w:eastAsia="Arial"/>
          <w:sz w:val="22"/>
        </w:rPr>
        <w:t>عوائد إيجارية مرتفعة في الرياض (8.89%) وجدة (7.89%).</w:t>
      </w:r>
    </w:p>
    <w:p>
      <w:pPr>
        <w:pStyle w:val="Heading2"/>
        <w:jc w:val="right"/>
      </w:pPr>
      <w:r>
        <w:rPr>
          <w:rFonts w:ascii="Arial" w:hAnsi="Arial" w:eastAsia="Arial"/>
          <w:color w:val="D4A853"/>
          <w:sz w:val="28"/>
        </w:rPr>
        <w:t>نموذج العمل</w:t>
      </w:r>
    </w:p>
    <w:p>
      <w:pPr>
        <w:pStyle w:val="ListBullet"/>
        <w:jc w:val="right"/>
      </w:pPr>
      <w:r>
        <w:rPr>
          <w:rFonts w:ascii="Arial" w:hAnsi="Arial" w:eastAsia="Arial"/>
          <w:sz w:val="22"/>
        </w:rPr>
        <w:t>الشراكة بالمحاصة مع مالك العقار غير المكتمل.</w:t>
      </w:r>
    </w:p>
    <w:p>
      <w:pPr>
        <w:pStyle w:val="ListBullet"/>
        <w:jc w:val="right"/>
      </w:pPr>
      <w:r>
        <w:rPr>
          <w:rFonts w:ascii="Arial" w:hAnsi="Arial" w:eastAsia="Arial"/>
          <w:sz w:val="22"/>
        </w:rPr>
        <w:t>الشركة تتحمل تكاليف التشطيب والتسويق والبيع.</w:t>
      </w:r>
    </w:p>
    <w:p>
      <w:pPr>
        <w:pStyle w:val="ListBullet"/>
        <w:jc w:val="right"/>
      </w:pPr>
      <w:r>
        <w:rPr>
          <w:rFonts w:ascii="Arial" w:hAnsi="Arial" w:eastAsia="Arial"/>
          <w:sz w:val="22"/>
        </w:rPr>
        <w:t>المالك يحتفظ بملكية عقاره طوال فترة المشروع.</w:t>
      </w:r>
    </w:p>
    <w:p>
      <w:pPr>
        <w:pStyle w:val="ListBullet"/>
        <w:jc w:val="right"/>
      </w:pPr>
      <w:r>
        <w:rPr>
          <w:rFonts w:ascii="Arial" w:hAnsi="Arial" w:eastAsia="Arial"/>
          <w:sz w:val="22"/>
        </w:rPr>
        <w:t>يتم توزيع الأرباح بين الشركة والمالك وفقاً للعقد الموقع.</w:t>
      </w:r>
    </w:p>
    <w:p>
      <w:r>
        <w:br w:type="page"/>
      </w:r>
    </w:p>
    <w:p>
      <w:pPr>
        <w:pStyle w:val="Heading1"/>
        <w:jc w:val="right"/>
      </w:pPr>
      <w:r>
        <w:rPr>
          <w:rFonts w:ascii="Arial" w:hAnsi="Arial" w:eastAsia="Arial"/>
          <w:color w:val="003366"/>
          <w:sz w:val="36"/>
        </w:rPr>
        <w:t>1. نظرة عامة على الشركة</w:t>
      </w:r>
    </w:p>
    <w:p>
      <w:pPr>
        <w:pStyle w:val="Heading2"/>
        <w:jc w:val="right"/>
      </w:pPr>
      <w:r>
        <w:rPr>
          <w:rFonts w:ascii="Arial" w:hAnsi="Arial" w:eastAsia="Arial"/>
          <w:color w:val="D4A853"/>
          <w:sz w:val="28"/>
        </w:rPr>
        <w:t>1.1 الرؤية</w:t>
      </w:r>
    </w:p>
    <w:p>
      <w:pPr>
        <w:jc w:val="right"/>
      </w:pPr>
      <w:r>
        <w:rPr>
          <w:rFonts w:ascii="Arial" w:hAnsi="Arial" w:eastAsia="Arial"/>
          <w:b w:val="0"/>
          <w:i w:val="0"/>
          <w:color w:val="000000"/>
          <w:sz w:val="24"/>
        </w:rPr>
        <w:t>أن نكون الشريك الاستراتيجي المفضل لمالكي العقارات غير المكتملة في المملكة العربية السعودية.</w:t>
      </w:r>
    </w:p>
    <w:p>
      <w:pPr>
        <w:pStyle w:val="Heading2"/>
        <w:jc w:val="right"/>
      </w:pPr>
      <w:r>
        <w:rPr>
          <w:rFonts w:ascii="Arial" w:hAnsi="Arial" w:eastAsia="Arial"/>
          <w:color w:val="D4A853"/>
          <w:sz w:val="28"/>
        </w:rPr>
        <w:t>1.2 الرسالة</w:t>
      </w:r>
    </w:p>
    <w:p>
      <w:pPr>
        <w:jc w:val="right"/>
      </w:pPr>
      <w:r>
        <w:rPr>
          <w:rFonts w:ascii="Arial" w:hAnsi="Arial" w:eastAsia="Arial"/>
          <w:b w:val="0"/>
          <w:i w:val="0"/>
          <w:color w:val="000000"/>
          <w:sz w:val="24"/>
        </w:rPr>
        <w:t>إحياء العقارات غير المكتملة بمعايير عالية من الجودة والالتزام، وبنموذج مالي مستدام.</w:t>
      </w:r>
    </w:p>
    <w:p>
      <w:pPr>
        <w:pStyle w:val="Heading2"/>
        <w:jc w:val="right"/>
      </w:pPr>
      <w:r>
        <w:rPr>
          <w:rFonts w:ascii="Arial" w:hAnsi="Arial" w:eastAsia="Arial"/>
          <w:color w:val="D4A853"/>
          <w:sz w:val="28"/>
        </w:rPr>
        <w:t>1.3 القيم الأساسية</w:t>
      </w:r>
    </w:p>
    <w:p>
      <w:pPr>
        <w:pStyle w:val="ListBullet"/>
        <w:jc w:val="right"/>
      </w:pPr>
      <w:r>
        <w:rPr>
          <w:rFonts w:ascii="Arial" w:hAnsi="Arial" w:eastAsia="Arial"/>
          <w:sz w:val="22"/>
        </w:rPr>
        <w:t>الاحترام، الجودة، الشفافية، الاستدامة، الابتكار.</w:t>
      </w:r>
    </w:p>
    <w:p>
      <w:pPr>
        <w:pStyle w:val="Heading2"/>
        <w:jc w:val="right"/>
      </w:pPr>
      <w:r>
        <w:rPr>
          <w:rFonts w:ascii="Arial" w:hAnsi="Arial" w:eastAsia="Arial"/>
          <w:color w:val="D4A853"/>
          <w:sz w:val="28"/>
        </w:rPr>
        <w:t>1.4 الشكل القانوني</w:t>
      </w:r>
    </w:p>
    <w:p>
      <w:pPr>
        <w:jc w:val="right"/>
      </w:pPr>
      <w:r>
        <w:rPr>
          <w:rFonts w:ascii="Arial" w:hAnsi="Arial" w:eastAsia="Arial"/>
          <w:b w:val="0"/>
          <w:i w:val="0"/>
          <w:color w:val="000000"/>
          <w:sz w:val="24"/>
        </w:rPr>
        <w:t>شركة مساهمة مقفلة مرخصة من وزارة التجارة وهيئة العقار (REGA).</w:t>
      </w:r>
    </w:p>
    <w:p>
      <w:pPr>
        <w:pStyle w:val="Heading2"/>
        <w:jc w:val="right"/>
      </w:pPr>
      <w:r>
        <w:rPr>
          <w:rFonts w:ascii="Arial" w:hAnsi="Arial" w:eastAsia="Arial"/>
          <w:color w:val="D4A853"/>
          <w:sz w:val="28"/>
        </w:rPr>
        <w:t>1.5 رأس المال وهيكل الملكية</w:t>
      </w:r>
    </w:p>
    <w:tbl>
      <w:tblPr>
        <w:tblStyle w:val="LightGrid-Accent1"/>
        <w:tblW w:type="auto" w:w="0"/>
        <w:jc w:val="right"/>
        <w:tblLayout w:type="autofit"/>
        <w:tblLook w:firstColumn="1" w:firstRow="1" w:lastColumn="0" w:lastRow="0" w:noHBand="0" w:noVBand="1" w:val="04A0"/>
      </w:tblPr>
      <w:tblGrid>
        <w:gridCol w:w="4514"/>
        <w:gridCol w:w="4514"/>
      </w:tblGrid>
      <w:tr>
        <w:tc>
          <w:tcPr>
            <w:tcW w:type="dxa" w:w="4514"/>
            <w:shd w:fill="0A0F1A"/>
          </w:tcPr>
          <w:p>
            <w:pPr>
              <w:jc w:val="right"/>
            </w:pPr>
            <w:r>
              <w:rPr>
                <w:rFonts w:ascii="Arial" w:hAnsi="Arial" w:eastAsia="Arial"/>
                <w:b/>
                <w:color w:val="FFFFFF"/>
              </w:rPr>
              <w:t>البند</w:t>
            </w:r>
          </w:p>
        </w:tc>
        <w:tc>
          <w:tcPr>
            <w:tcW w:type="dxa" w:w="4514"/>
            <w:shd w:fill="0A0F1A"/>
          </w:tcPr>
          <w:p>
            <w:pPr>
              <w:jc w:val="right"/>
            </w:pPr>
            <w:r>
              <w:rPr>
                <w:rFonts w:ascii="Arial" w:hAnsi="Arial" w:eastAsia="Arial"/>
                <w:b/>
                <w:color w:val="FFFFFF"/>
              </w:rPr>
              <w:t>القيمة</w:t>
            </w:r>
          </w:p>
        </w:tc>
      </w:tr>
      <w:tr>
        <w:tc>
          <w:tcPr>
            <w:tcW w:type="dxa" w:w="4514"/>
          </w:tcPr>
          <w:p>
            <w:pPr>
              <w:jc w:val="right"/>
            </w:pPr>
            <w:r>
              <w:rPr>
                <w:rFonts w:ascii="Arial" w:hAnsi="Arial" w:eastAsia="Arial"/>
              </w:rPr>
              <w:t>رأس المال المصرح</w:t>
            </w:r>
          </w:p>
        </w:tc>
        <w:tc>
          <w:tcPr>
            <w:tcW w:type="dxa" w:w="4514"/>
          </w:tcPr>
          <w:p>
            <w:pPr>
              <w:jc w:val="right"/>
            </w:pPr>
            <w:r>
              <w:rPr>
                <w:rFonts w:ascii="Arial" w:hAnsi="Arial" w:eastAsia="Arial"/>
              </w:rPr>
              <w:t>200,000,000 ريال سعودي</w:t>
            </w:r>
          </w:p>
        </w:tc>
      </w:tr>
      <w:tr>
        <w:tc>
          <w:tcPr>
            <w:tcW w:type="dxa" w:w="4514"/>
          </w:tcPr>
          <w:p>
            <w:pPr>
              <w:jc w:val="right"/>
            </w:pPr>
            <w:r>
              <w:rPr>
                <w:rFonts w:ascii="Arial" w:hAnsi="Arial" w:eastAsia="Arial"/>
              </w:rPr>
              <w:t>عدد الأسهم</w:t>
            </w:r>
          </w:p>
        </w:tc>
        <w:tc>
          <w:tcPr>
            <w:tcW w:type="dxa" w:w="4514"/>
          </w:tcPr>
          <w:p>
            <w:pPr>
              <w:jc w:val="right"/>
            </w:pPr>
            <w:r>
              <w:rPr>
                <w:rFonts w:ascii="Arial" w:hAnsi="Arial" w:eastAsia="Arial"/>
              </w:rPr>
              <w:t>40,000 سهم</w:t>
            </w:r>
          </w:p>
        </w:tc>
      </w:tr>
      <w:tr>
        <w:tc>
          <w:tcPr>
            <w:tcW w:type="dxa" w:w="4514"/>
          </w:tcPr>
          <w:p>
            <w:pPr>
              <w:jc w:val="right"/>
            </w:pPr>
            <w:r>
              <w:rPr>
                <w:rFonts w:ascii="Arial" w:hAnsi="Arial" w:eastAsia="Arial"/>
              </w:rPr>
              <w:t>القيمة الاسمية للسهم</w:t>
            </w:r>
          </w:p>
        </w:tc>
        <w:tc>
          <w:tcPr>
            <w:tcW w:type="dxa" w:w="4514"/>
          </w:tcPr>
          <w:p>
            <w:pPr>
              <w:jc w:val="right"/>
            </w:pPr>
            <w:r>
              <w:rPr>
                <w:rFonts w:ascii="Arial" w:hAnsi="Arial" w:eastAsia="Arial"/>
              </w:rPr>
              <w:t>5,000 ريال</w:t>
            </w:r>
          </w:p>
        </w:tc>
      </w:tr>
      <w:tr>
        <w:tc>
          <w:tcPr>
            <w:tcW w:type="dxa" w:w="4514"/>
          </w:tcPr>
          <w:p>
            <w:pPr>
              <w:jc w:val="right"/>
            </w:pPr>
            <w:r>
              <w:rPr>
                <w:rFonts w:ascii="Arial" w:hAnsi="Arial" w:eastAsia="Arial"/>
              </w:rPr>
              <w:t>القيمة الفعلية للسهم</w:t>
            </w:r>
          </w:p>
        </w:tc>
        <w:tc>
          <w:tcPr>
            <w:tcW w:type="dxa" w:w="4514"/>
          </w:tcPr>
          <w:p>
            <w:pPr>
              <w:jc w:val="right"/>
            </w:pPr>
            <w:r>
              <w:rPr>
                <w:rFonts w:ascii="Arial" w:hAnsi="Arial" w:eastAsia="Arial"/>
              </w:rPr>
              <w:t>5,650 ريال</w:t>
            </w:r>
          </w:p>
        </w:tc>
      </w:tr>
      <w:tr>
        <w:tc>
          <w:tcPr>
            <w:tcW w:type="dxa" w:w="4514"/>
          </w:tcPr>
          <w:p>
            <w:pPr>
              <w:jc w:val="right"/>
            </w:pPr>
            <w:r>
              <w:rPr>
                <w:rFonts w:ascii="Arial" w:hAnsi="Arial" w:eastAsia="Arial"/>
              </w:rPr>
              <w:t>إجمالي الاستثمار المستهدف</w:t>
            </w:r>
          </w:p>
        </w:tc>
        <w:tc>
          <w:tcPr>
            <w:tcW w:type="dxa" w:w="4514"/>
          </w:tcPr>
          <w:p>
            <w:pPr>
              <w:jc w:val="right"/>
            </w:pPr>
            <w:r>
              <w:rPr>
                <w:rFonts w:ascii="Arial" w:hAnsi="Arial" w:eastAsia="Arial"/>
              </w:rPr>
              <w:t>226,000,000 ريال سعودي</w:t>
            </w:r>
          </w:p>
        </w:tc>
      </w:tr>
    </w:tbl>
    <w:p>
      <w:r>
        <w:br w:type="page"/>
      </w:r>
    </w:p>
    <w:p>
      <w:pPr>
        <w:pStyle w:val="Heading1"/>
        <w:jc w:val="right"/>
      </w:pPr>
      <w:r>
        <w:rPr>
          <w:rFonts w:ascii="Arial" w:hAnsi="Arial" w:eastAsia="Arial"/>
          <w:color w:val="003366"/>
          <w:sz w:val="36"/>
        </w:rPr>
        <w:t>2. تحليل السوق</w:t>
      </w:r>
    </w:p>
    <w:p>
      <w:pPr>
        <w:jc w:val="right"/>
      </w:pPr>
      <w:r>
        <w:rPr>
          <w:rFonts w:ascii="Arial" w:hAnsi="Arial" w:eastAsia="Arial"/>
          <w:b w:val="0"/>
          <w:i w:val="0"/>
          <w:color w:val="000000"/>
          <w:sz w:val="24"/>
        </w:rPr>
        <w:t>يشهد قطاع الاستثمار والتطوير العقاري في المملكة تحولاً جذرياً مدفوعاً برؤية 2030.</w:t>
      </w:r>
    </w:p>
    <w:p>
      <w:pPr>
        <w:pStyle w:val="Heading2"/>
        <w:jc w:val="right"/>
      </w:pPr>
      <w:r>
        <w:rPr>
          <w:rFonts w:ascii="Arial" w:hAnsi="Arial" w:eastAsia="Arial"/>
          <w:color w:val="D4A853"/>
          <w:sz w:val="28"/>
        </w:rPr>
        <w:t>2.1 المؤشرات الرئيسية</w:t>
      </w:r>
    </w:p>
    <w:tbl>
      <w:tblPr>
        <w:tblStyle w:val="LightGrid-Accent1"/>
        <w:tblW w:type="auto" w:w="0"/>
        <w:jc w:val="right"/>
        <w:tblLayout w:type="autofit"/>
        <w:tblLook w:firstColumn="1" w:firstRow="1" w:lastColumn="0" w:lastRow="0" w:noHBand="0" w:noVBand="1" w:val="04A0"/>
      </w:tblPr>
      <w:tblGrid>
        <w:gridCol w:w="4514"/>
        <w:gridCol w:w="4514"/>
      </w:tblGrid>
      <w:tr>
        <w:tc>
          <w:tcPr>
            <w:tcW w:type="dxa" w:w="4514"/>
            <w:shd w:fill="0A0F1A"/>
          </w:tcPr>
          <w:p>
            <w:pPr>
              <w:jc w:val="right"/>
            </w:pPr>
            <w:r>
              <w:rPr>
                <w:rFonts w:ascii="Arial" w:hAnsi="Arial" w:eastAsia="Arial"/>
                <w:b/>
                <w:color w:val="FFFFFF"/>
              </w:rPr>
              <w:t>المؤشر</w:t>
            </w:r>
          </w:p>
        </w:tc>
        <w:tc>
          <w:tcPr>
            <w:tcW w:type="dxa" w:w="4514"/>
            <w:shd w:fill="0A0F1A"/>
          </w:tcPr>
          <w:p>
            <w:pPr>
              <w:jc w:val="right"/>
            </w:pPr>
            <w:r>
              <w:rPr>
                <w:rFonts w:ascii="Arial" w:hAnsi="Arial" w:eastAsia="Arial"/>
                <w:b/>
                <w:color w:val="FFFFFF"/>
              </w:rPr>
              <w:t>القيمة</w:t>
            </w:r>
          </w:p>
        </w:tc>
      </w:tr>
      <w:tr>
        <w:tc>
          <w:tcPr>
            <w:tcW w:type="dxa" w:w="4514"/>
          </w:tcPr>
          <w:p>
            <w:pPr>
              <w:jc w:val="right"/>
            </w:pPr>
            <w:r>
              <w:rPr>
                <w:rFonts w:ascii="Arial" w:hAnsi="Arial" w:eastAsia="Arial"/>
              </w:rPr>
              <w:t>العائد الإيجاري في الرياض</w:t>
            </w:r>
          </w:p>
        </w:tc>
        <w:tc>
          <w:tcPr>
            <w:tcW w:type="dxa" w:w="4514"/>
          </w:tcPr>
          <w:p>
            <w:pPr>
              <w:jc w:val="right"/>
            </w:pPr>
            <w:r>
              <w:rPr>
                <w:rFonts w:ascii="Arial" w:hAnsi="Arial" w:eastAsia="Arial"/>
              </w:rPr>
              <w:t>8.89%</w:t>
            </w:r>
          </w:p>
        </w:tc>
      </w:tr>
      <w:tr>
        <w:tc>
          <w:tcPr>
            <w:tcW w:type="dxa" w:w="4514"/>
          </w:tcPr>
          <w:p>
            <w:pPr>
              <w:jc w:val="right"/>
            </w:pPr>
            <w:r>
              <w:rPr>
                <w:rFonts w:ascii="Arial" w:hAnsi="Arial" w:eastAsia="Arial"/>
              </w:rPr>
              <w:t>العائد الإيجاري في جدة</w:t>
            </w:r>
          </w:p>
        </w:tc>
        <w:tc>
          <w:tcPr>
            <w:tcW w:type="dxa" w:w="4514"/>
          </w:tcPr>
          <w:p>
            <w:pPr>
              <w:jc w:val="right"/>
            </w:pPr>
            <w:r>
              <w:rPr>
                <w:rFonts w:ascii="Arial" w:hAnsi="Arial" w:eastAsia="Arial"/>
              </w:rPr>
              <w:t>7.89%</w:t>
            </w:r>
          </w:p>
        </w:tc>
      </w:tr>
      <w:tr>
        <w:tc>
          <w:tcPr>
            <w:tcW w:type="dxa" w:w="4514"/>
          </w:tcPr>
          <w:p>
            <w:pPr>
              <w:jc w:val="right"/>
            </w:pPr>
            <w:r>
              <w:rPr>
                <w:rFonts w:ascii="Arial" w:hAnsi="Arial" w:eastAsia="Arial"/>
              </w:rPr>
              <w:t>نمو الصفقات العقارية</w:t>
            </w:r>
          </w:p>
        </w:tc>
        <w:tc>
          <w:tcPr>
            <w:tcW w:type="dxa" w:w="4514"/>
          </w:tcPr>
          <w:p>
            <w:pPr>
              <w:jc w:val="right"/>
            </w:pPr>
            <w:r>
              <w:rPr>
                <w:rFonts w:ascii="Arial" w:hAnsi="Arial" w:eastAsia="Arial"/>
              </w:rPr>
              <w:t>+14.2%</w:t>
            </w:r>
          </w:p>
        </w:tc>
      </w:tr>
      <w:tr>
        <w:tc>
          <w:tcPr>
            <w:tcW w:type="dxa" w:w="4514"/>
          </w:tcPr>
          <w:p>
            <w:pPr>
              <w:jc w:val="right"/>
            </w:pPr>
            <w:r>
              <w:rPr>
                <w:rFonts w:ascii="Arial" w:hAnsi="Arial" w:eastAsia="Arial"/>
              </w:rPr>
              <w:t>حجم التمويل العقاري</w:t>
            </w:r>
          </w:p>
        </w:tc>
        <w:tc>
          <w:tcPr>
            <w:tcW w:type="dxa" w:w="4514"/>
          </w:tcPr>
          <w:p>
            <w:pPr>
              <w:jc w:val="right"/>
            </w:pPr>
            <w:r>
              <w:rPr>
                <w:rFonts w:ascii="Arial" w:hAnsi="Arial" w:eastAsia="Arial"/>
              </w:rPr>
              <w:t>730 مليار ريال</w:t>
            </w:r>
          </w:p>
        </w:tc>
      </w:tr>
      <w:tr>
        <w:tc>
          <w:tcPr>
            <w:tcW w:type="dxa" w:w="4514"/>
          </w:tcPr>
          <w:p>
            <w:pPr>
              <w:jc w:val="right"/>
            </w:pPr>
            <w:r>
              <w:rPr>
                <w:rFonts w:ascii="Arial" w:hAnsi="Arial" w:eastAsia="Arial"/>
              </w:rPr>
              <w:t>فجوة السعر/الطلب</w:t>
            </w:r>
          </w:p>
        </w:tc>
        <w:tc>
          <w:tcPr>
            <w:tcW w:type="dxa" w:w="4514"/>
          </w:tcPr>
          <w:p>
            <w:pPr>
              <w:jc w:val="right"/>
            </w:pPr>
            <w:r>
              <w:rPr>
                <w:rFonts w:ascii="Arial" w:hAnsi="Arial" w:eastAsia="Arial"/>
              </w:rPr>
              <w:t>6%</w:t>
            </w:r>
          </w:p>
        </w:tc>
      </w:tr>
    </w:tbl>
    <w:p>
      <w:pPr>
        <w:pStyle w:val="Heading2"/>
        <w:jc w:val="right"/>
      </w:pPr>
      <w:r>
        <w:rPr>
          <w:rFonts w:ascii="Arial" w:hAnsi="Arial" w:eastAsia="Arial"/>
          <w:color w:val="D4A853"/>
          <w:sz w:val="28"/>
        </w:rPr>
        <w:t>2.2 المناطق المستهدفة</w:t>
      </w:r>
    </w:p>
    <w:p>
      <w:pPr>
        <w:jc w:val="right"/>
      </w:pPr>
      <w:r>
        <w:rPr>
          <w:rFonts w:ascii="Arial" w:hAnsi="Arial" w:eastAsia="Arial"/>
          <w:b w:val="0"/>
          <w:i w:val="0"/>
          <w:color w:val="000000"/>
          <w:sz w:val="24"/>
        </w:rPr>
        <w:t>الرياض: الشمال الفاخر، الشمال الشرقي.</w:t>
      </w:r>
    </w:p>
    <w:p>
      <w:pPr>
        <w:jc w:val="right"/>
      </w:pPr>
      <w:r>
        <w:rPr>
          <w:rFonts w:ascii="Arial" w:hAnsi="Arial" w:eastAsia="Arial"/>
          <w:b w:val="0"/>
          <w:i w:val="0"/>
          <w:color w:val="000000"/>
          <w:sz w:val="24"/>
        </w:rPr>
        <w:t>جدة: الساحل الشمالي، الوسط الحيوي.</w:t>
      </w:r>
    </w:p>
    <w:p>
      <w:r>
        <w:br w:type="page"/>
      </w:r>
    </w:p>
    <w:p>
      <w:pPr>
        <w:pStyle w:val="Heading1"/>
        <w:jc w:val="right"/>
      </w:pPr>
      <w:r>
        <w:rPr>
          <w:rFonts w:ascii="Arial" w:hAnsi="Arial" w:eastAsia="Arial"/>
          <w:color w:val="003366"/>
          <w:sz w:val="36"/>
        </w:rPr>
        <w:t>3. الخدمات والحلول</w:t>
      </w:r>
    </w:p>
    <w:p>
      <w:pPr>
        <w:pStyle w:val="ListBullet"/>
        <w:jc w:val="right"/>
      </w:pPr>
      <w:r>
        <w:rPr>
          <w:rFonts w:ascii="Arial" w:hAnsi="Arial" w:eastAsia="Arial"/>
          <w:sz w:val="22"/>
        </w:rPr>
        <w:t>التقييم الهندسي والقانوني الشامل.</w:t>
      </w:r>
    </w:p>
    <w:p>
      <w:pPr>
        <w:pStyle w:val="ListBullet"/>
        <w:jc w:val="right"/>
      </w:pPr>
      <w:r>
        <w:rPr>
          <w:rFonts w:ascii="Arial" w:hAnsi="Arial" w:eastAsia="Arial"/>
          <w:sz w:val="22"/>
        </w:rPr>
        <w:t>إعداد التصاميم المعمارية والإنشائية.</w:t>
      </w:r>
    </w:p>
    <w:p>
      <w:pPr>
        <w:pStyle w:val="ListBullet"/>
        <w:jc w:val="right"/>
      </w:pPr>
      <w:r>
        <w:rPr>
          <w:rFonts w:ascii="Arial" w:hAnsi="Arial" w:eastAsia="Arial"/>
          <w:sz w:val="22"/>
        </w:rPr>
        <w:t>إدارة التشطيب والإشراف اليومي.</w:t>
      </w:r>
    </w:p>
    <w:p>
      <w:pPr>
        <w:pStyle w:val="ListBullet"/>
        <w:jc w:val="right"/>
      </w:pPr>
      <w:r>
        <w:rPr>
          <w:rFonts w:ascii="Arial" w:hAnsi="Arial" w:eastAsia="Arial"/>
          <w:sz w:val="22"/>
        </w:rPr>
        <w:t>التسويق والبيع الاحترافي.</w:t>
      </w:r>
    </w:p>
    <w:p>
      <w:pPr>
        <w:pStyle w:val="ListBullet"/>
        <w:jc w:val="right"/>
      </w:pPr>
      <w:r>
        <w:rPr>
          <w:rFonts w:ascii="Arial" w:hAnsi="Arial" w:eastAsia="Arial"/>
          <w:sz w:val="22"/>
        </w:rPr>
        <w:t>التسليم ونقل الملكية.</w:t>
      </w:r>
    </w:p>
    <w:p>
      <w:pPr>
        <w:pStyle w:val="Heading2"/>
        <w:jc w:val="right"/>
      </w:pPr>
      <w:r>
        <w:rPr>
          <w:rFonts w:ascii="Arial" w:hAnsi="Arial" w:eastAsia="Arial"/>
          <w:color w:val="D4A853"/>
          <w:sz w:val="28"/>
        </w:rPr>
        <w:t>3.2 نماذج الشراكة</w:t>
      </w:r>
    </w:p>
    <w:tbl>
      <w:tblPr>
        <w:tblStyle w:val="LightGrid-Accent1"/>
        <w:tblW w:type="auto" w:w="0"/>
        <w:jc w:val="right"/>
        <w:tblLayout w:type="autofit"/>
        <w:tblLook w:firstColumn="1" w:firstRow="1" w:lastColumn="0" w:lastRow="0" w:noHBand="0" w:noVBand="1" w:val="04A0"/>
      </w:tblPr>
      <w:tblGrid>
        <w:gridCol w:w="4514"/>
        <w:gridCol w:w="4514"/>
      </w:tblGrid>
      <w:tr>
        <w:tc>
          <w:tcPr>
            <w:tcW w:type="dxa" w:w="4514"/>
            <w:shd w:fill="0A0F1A"/>
          </w:tcPr>
          <w:p>
            <w:pPr>
              <w:jc w:val="right"/>
            </w:pPr>
            <w:r>
              <w:rPr>
                <w:rFonts w:ascii="Arial" w:hAnsi="Arial" w:eastAsia="Arial"/>
                <w:b/>
                <w:color w:val="FFFFFF"/>
              </w:rPr>
              <w:t>النموذج</w:t>
            </w:r>
          </w:p>
        </w:tc>
        <w:tc>
          <w:tcPr>
            <w:tcW w:type="dxa" w:w="4514"/>
            <w:shd w:fill="0A0F1A"/>
          </w:tcPr>
          <w:p>
            <w:pPr>
              <w:jc w:val="right"/>
            </w:pPr>
            <w:r>
              <w:rPr>
                <w:rFonts w:ascii="Arial" w:hAnsi="Arial" w:eastAsia="Arial"/>
                <w:b/>
                <w:color w:val="FFFFFF"/>
              </w:rPr>
              <w:t>الوصف</w:t>
            </w:r>
          </w:p>
        </w:tc>
      </w:tr>
      <w:tr>
        <w:tc>
          <w:tcPr>
            <w:tcW w:type="dxa" w:w="4514"/>
          </w:tcPr>
          <w:p>
            <w:pPr>
              <w:jc w:val="right"/>
            </w:pPr>
            <w:r>
              <w:rPr>
                <w:rFonts w:ascii="Arial" w:hAnsi="Arial" w:eastAsia="Arial"/>
              </w:rPr>
              <w:t>النموذج</w:t>
            </w:r>
          </w:p>
        </w:tc>
        <w:tc>
          <w:tcPr>
            <w:tcW w:type="dxa" w:w="4514"/>
          </w:tcPr>
          <w:p>
            <w:pPr>
              <w:jc w:val="right"/>
            </w:pPr>
            <w:r>
              <w:rPr>
                <w:rFonts w:ascii="Arial" w:hAnsi="Arial" w:eastAsia="Arial"/>
              </w:rPr>
              <w:t>الوصف</w:t>
            </w:r>
          </w:p>
        </w:tc>
      </w:tr>
      <w:tr>
        <w:tc>
          <w:tcPr>
            <w:tcW w:type="dxa" w:w="4514"/>
          </w:tcPr>
          <w:p>
            <w:pPr>
              <w:jc w:val="right"/>
            </w:pPr>
            <w:r>
              <w:rPr>
                <w:rFonts w:ascii="Arial" w:hAnsi="Arial" w:eastAsia="Arial"/>
              </w:rPr>
              <w:t>المحاصة الكاملة</w:t>
            </w:r>
          </w:p>
        </w:tc>
        <w:tc>
          <w:tcPr>
            <w:tcW w:type="dxa" w:w="4514"/>
          </w:tcPr>
          <w:p>
            <w:pPr>
              <w:jc w:val="right"/>
            </w:pPr>
            <w:r>
              <w:rPr>
                <w:rFonts w:ascii="Arial" w:hAnsi="Arial" w:eastAsia="Arial"/>
              </w:rPr>
              <w:t>تتولى الشركة التشطيب والتسويق مقابل نسبة من الأرباح</w:t>
            </w:r>
          </w:p>
        </w:tc>
      </w:tr>
      <w:tr>
        <w:tc>
          <w:tcPr>
            <w:tcW w:type="dxa" w:w="4514"/>
          </w:tcPr>
          <w:p>
            <w:pPr>
              <w:jc w:val="right"/>
            </w:pPr>
            <w:r>
              <w:rPr>
                <w:rFonts w:ascii="Arial" w:hAnsi="Arial" w:eastAsia="Arial"/>
              </w:rPr>
              <w:t>الشراء الجزئي</w:t>
            </w:r>
          </w:p>
        </w:tc>
        <w:tc>
          <w:tcPr>
            <w:tcW w:type="dxa" w:w="4514"/>
          </w:tcPr>
          <w:p>
            <w:pPr>
              <w:jc w:val="right"/>
            </w:pPr>
            <w:r>
              <w:rPr>
                <w:rFonts w:ascii="Arial" w:hAnsi="Arial" w:eastAsia="Arial"/>
              </w:rPr>
              <w:t>تشتري الشركة جزءاً من الوحدات بعد التشطيب</w:t>
            </w:r>
          </w:p>
        </w:tc>
      </w:tr>
      <w:tr>
        <w:tc>
          <w:tcPr>
            <w:tcW w:type="dxa" w:w="4514"/>
          </w:tcPr>
          <w:p>
            <w:pPr>
              <w:jc w:val="right"/>
            </w:pPr>
            <w:r>
              <w:rPr>
                <w:rFonts w:ascii="Arial" w:hAnsi="Arial" w:eastAsia="Arial"/>
              </w:rPr>
              <w:t>رسوم الإدارة</w:t>
            </w:r>
          </w:p>
        </w:tc>
        <w:tc>
          <w:tcPr>
            <w:tcW w:type="dxa" w:w="4514"/>
          </w:tcPr>
          <w:p>
            <w:pPr>
              <w:jc w:val="right"/>
            </w:pPr>
            <w:r>
              <w:rPr>
                <w:rFonts w:ascii="Arial" w:hAnsi="Arial" w:eastAsia="Arial"/>
              </w:rPr>
              <w:t>رسوم ثابتة مقابل التشطيب والتسويق</w:t>
            </w:r>
          </w:p>
        </w:tc>
      </w:tr>
      <w:tr>
        <w:tc>
          <w:tcPr>
            <w:tcW w:type="dxa" w:w="4514"/>
          </w:tcPr>
          <w:p>
            <w:pPr>
              <w:jc w:val="right"/>
            </w:pPr>
            <w:r>
              <w:rPr>
                <w:rFonts w:ascii="Arial" w:hAnsi="Arial" w:eastAsia="Arial"/>
              </w:rPr>
              <w:t>النموذج المختلط</w:t>
            </w:r>
          </w:p>
        </w:tc>
        <w:tc>
          <w:tcPr>
            <w:tcW w:type="dxa" w:w="4514"/>
          </w:tcPr>
          <w:p>
            <w:pPr>
              <w:jc w:val="right"/>
            </w:pPr>
            <w:r>
              <w:rPr>
                <w:rFonts w:ascii="Arial" w:hAnsi="Arial" w:eastAsia="Arial"/>
              </w:rPr>
              <w:t>مزيج من المحاصة والشراء ورسوم الإدارة</w:t>
            </w:r>
          </w:p>
        </w:tc>
      </w:tr>
    </w:tbl>
    <w:p>
      <w:r>
        <w:br w:type="page"/>
      </w:r>
    </w:p>
    <w:p>
      <w:pPr>
        <w:pStyle w:val="Heading1"/>
        <w:jc w:val="right"/>
      </w:pPr>
      <w:r>
        <w:rPr>
          <w:rFonts w:ascii="Arial" w:hAnsi="Arial" w:eastAsia="Arial"/>
          <w:color w:val="003366"/>
          <w:sz w:val="36"/>
        </w:rPr>
        <w:t>4. النموذج التجاري</w:t>
      </w:r>
    </w:p>
    <w:p>
      <w:pPr>
        <w:pStyle w:val="ListBullet"/>
        <w:jc w:val="right"/>
      </w:pPr>
      <w:r>
        <w:rPr>
          <w:rFonts w:ascii="Arial" w:hAnsi="Arial" w:eastAsia="Arial"/>
          <w:sz w:val="22"/>
        </w:rPr>
        <w:t>البحث عن العقارات غير المكتملة.</w:t>
      </w:r>
    </w:p>
    <w:p>
      <w:pPr>
        <w:pStyle w:val="ListBullet"/>
        <w:jc w:val="right"/>
      </w:pPr>
      <w:r>
        <w:rPr>
          <w:rFonts w:ascii="Arial" w:hAnsi="Arial" w:eastAsia="Arial"/>
          <w:sz w:val="22"/>
        </w:rPr>
        <w:t>التقييم الهندسي والقانوني والمالي.</w:t>
      </w:r>
    </w:p>
    <w:p>
      <w:pPr>
        <w:pStyle w:val="ListBullet"/>
        <w:jc w:val="right"/>
      </w:pPr>
      <w:r>
        <w:rPr>
          <w:rFonts w:ascii="Arial" w:hAnsi="Arial" w:eastAsia="Arial"/>
          <w:sz w:val="22"/>
        </w:rPr>
        <w:t>التعاقد مع المالك.</w:t>
      </w:r>
    </w:p>
    <w:p>
      <w:pPr>
        <w:pStyle w:val="ListBullet"/>
        <w:jc w:val="right"/>
      </w:pPr>
      <w:r>
        <w:rPr>
          <w:rFonts w:ascii="Arial" w:hAnsi="Arial" w:eastAsia="Arial"/>
          <w:sz w:val="22"/>
        </w:rPr>
        <w:t>التشطيب وفق الكود السعودي.</w:t>
      </w:r>
    </w:p>
    <w:p>
      <w:pPr>
        <w:pStyle w:val="ListBullet"/>
        <w:jc w:val="right"/>
      </w:pPr>
      <w:r>
        <w:rPr>
          <w:rFonts w:ascii="Arial" w:hAnsi="Arial" w:eastAsia="Arial"/>
          <w:sz w:val="22"/>
        </w:rPr>
        <w:t>التسويق والبيع.</w:t>
      </w:r>
    </w:p>
    <w:p>
      <w:pPr>
        <w:pStyle w:val="ListBullet"/>
        <w:jc w:val="right"/>
      </w:pPr>
      <w:r>
        <w:rPr>
          <w:rFonts w:ascii="Arial" w:hAnsi="Arial" w:eastAsia="Arial"/>
          <w:sz w:val="22"/>
        </w:rPr>
        <w:t>توزيع الأرباح.</w:t>
      </w:r>
    </w:p>
    <w:p>
      <w:pPr>
        <w:pStyle w:val="Heading2"/>
        <w:jc w:val="right"/>
      </w:pPr>
      <w:r>
        <w:rPr>
          <w:rFonts w:ascii="Arial" w:hAnsi="Arial" w:eastAsia="Arial"/>
          <w:color w:val="D4A853"/>
          <w:sz w:val="28"/>
        </w:rPr>
        <w:t>4.2 مصادر الإيرادات</w:t>
      </w:r>
    </w:p>
    <w:tbl>
      <w:tblPr>
        <w:tblStyle w:val="LightGrid-Accent1"/>
        <w:tblW w:type="auto" w:w="0"/>
        <w:jc w:val="right"/>
        <w:tblLayout w:type="autofit"/>
        <w:tblLook w:firstColumn="1" w:firstRow="1" w:lastColumn="0" w:lastRow="0" w:noHBand="0" w:noVBand="1" w:val="04A0"/>
      </w:tblPr>
      <w:tblGrid>
        <w:gridCol w:w="4514"/>
        <w:gridCol w:w="4514"/>
      </w:tblGrid>
      <w:tr>
        <w:tc>
          <w:tcPr>
            <w:tcW w:type="dxa" w:w="4514"/>
            <w:shd w:fill="0A0F1A"/>
          </w:tcPr>
          <w:p>
            <w:pPr>
              <w:jc w:val="right"/>
            </w:pPr>
            <w:r>
              <w:rPr>
                <w:rFonts w:ascii="Arial" w:hAnsi="Arial" w:eastAsia="Arial"/>
                <w:b/>
                <w:color w:val="FFFFFF"/>
              </w:rPr>
              <w:t>المصدر</w:t>
            </w:r>
          </w:p>
        </w:tc>
        <w:tc>
          <w:tcPr>
            <w:tcW w:type="dxa" w:w="4514"/>
            <w:shd w:fill="0A0F1A"/>
          </w:tcPr>
          <w:p>
            <w:pPr>
              <w:jc w:val="right"/>
            </w:pPr>
            <w:r>
              <w:rPr>
                <w:rFonts w:ascii="Arial" w:hAnsi="Arial" w:eastAsia="Arial"/>
                <w:b/>
                <w:color w:val="FFFFFF"/>
              </w:rPr>
              <w:t>النسبة</w:t>
            </w:r>
          </w:p>
        </w:tc>
      </w:tr>
      <w:tr>
        <w:tc>
          <w:tcPr>
            <w:tcW w:type="dxa" w:w="4514"/>
          </w:tcPr>
          <w:p>
            <w:pPr>
              <w:jc w:val="right"/>
            </w:pPr>
            <w:r>
              <w:rPr>
                <w:rFonts w:ascii="Arial" w:hAnsi="Arial" w:eastAsia="Arial"/>
              </w:rPr>
              <w:t>مصدر الإيراد</w:t>
            </w:r>
          </w:p>
        </w:tc>
        <w:tc>
          <w:tcPr>
            <w:tcW w:type="dxa" w:w="4514"/>
          </w:tcPr>
          <w:p>
            <w:pPr>
              <w:jc w:val="right"/>
            </w:pPr>
            <w:r>
              <w:rPr>
                <w:rFonts w:ascii="Arial" w:hAnsi="Arial" w:eastAsia="Arial"/>
              </w:rPr>
              <w:t>النسبة</w:t>
            </w:r>
          </w:p>
        </w:tc>
      </w:tr>
      <w:tr>
        <w:tc>
          <w:tcPr>
            <w:tcW w:type="dxa" w:w="4514"/>
          </w:tcPr>
          <w:p>
            <w:pPr>
              <w:jc w:val="right"/>
            </w:pPr>
            <w:r>
              <w:rPr>
                <w:rFonts w:ascii="Arial" w:hAnsi="Arial" w:eastAsia="Arial"/>
              </w:rPr>
              <w:t>المحاصة</w:t>
            </w:r>
          </w:p>
        </w:tc>
        <w:tc>
          <w:tcPr>
            <w:tcW w:type="dxa" w:w="4514"/>
          </w:tcPr>
          <w:p>
            <w:pPr>
              <w:jc w:val="right"/>
            </w:pPr>
            <w:r>
              <w:rPr>
                <w:rFonts w:ascii="Arial" w:hAnsi="Arial" w:eastAsia="Arial"/>
              </w:rPr>
              <w:t>60%</w:t>
            </w:r>
          </w:p>
        </w:tc>
      </w:tr>
      <w:tr>
        <w:tc>
          <w:tcPr>
            <w:tcW w:type="dxa" w:w="4514"/>
          </w:tcPr>
          <w:p>
            <w:pPr>
              <w:jc w:val="right"/>
            </w:pPr>
            <w:r>
              <w:rPr>
                <w:rFonts w:ascii="Arial" w:hAnsi="Arial" w:eastAsia="Arial"/>
              </w:rPr>
              <w:t>إعادة البيع</w:t>
            </w:r>
          </w:p>
        </w:tc>
        <w:tc>
          <w:tcPr>
            <w:tcW w:type="dxa" w:w="4514"/>
          </w:tcPr>
          <w:p>
            <w:pPr>
              <w:jc w:val="right"/>
            </w:pPr>
            <w:r>
              <w:rPr>
                <w:rFonts w:ascii="Arial" w:hAnsi="Arial" w:eastAsia="Arial"/>
              </w:rPr>
              <w:t>25%</w:t>
            </w:r>
          </w:p>
        </w:tc>
      </w:tr>
      <w:tr>
        <w:tc>
          <w:tcPr>
            <w:tcW w:type="dxa" w:w="4514"/>
          </w:tcPr>
          <w:p>
            <w:pPr>
              <w:jc w:val="right"/>
            </w:pPr>
            <w:r>
              <w:rPr>
                <w:rFonts w:ascii="Arial" w:hAnsi="Arial" w:eastAsia="Arial"/>
              </w:rPr>
              <w:t>رسوم الإدارة</w:t>
            </w:r>
          </w:p>
        </w:tc>
        <w:tc>
          <w:tcPr>
            <w:tcW w:type="dxa" w:w="4514"/>
          </w:tcPr>
          <w:p>
            <w:pPr>
              <w:jc w:val="right"/>
            </w:pPr>
            <w:r>
              <w:rPr>
                <w:rFonts w:ascii="Arial" w:hAnsi="Arial" w:eastAsia="Arial"/>
              </w:rPr>
              <w:t>10%</w:t>
            </w:r>
          </w:p>
        </w:tc>
      </w:tr>
      <w:tr>
        <w:tc>
          <w:tcPr>
            <w:tcW w:type="dxa" w:w="4514"/>
          </w:tcPr>
          <w:p>
            <w:pPr>
              <w:jc w:val="right"/>
            </w:pPr>
            <w:r>
              <w:rPr>
                <w:rFonts w:ascii="Arial" w:hAnsi="Arial" w:eastAsia="Arial"/>
              </w:rPr>
              <w:t>خدمات استشارية</w:t>
            </w:r>
          </w:p>
        </w:tc>
        <w:tc>
          <w:tcPr>
            <w:tcW w:type="dxa" w:w="4514"/>
          </w:tcPr>
          <w:p>
            <w:pPr>
              <w:jc w:val="right"/>
            </w:pPr>
            <w:r>
              <w:rPr>
                <w:rFonts w:ascii="Arial" w:hAnsi="Arial" w:eastAsia="Arial"/>
              </w:rPr>
              <w:t>5%</w:t>
            </w:r>
          </w:p>
        </w:tc>
      </w:tr>
    </w:tbl>
    <w:p>
      <w:r>
        <w:br w:type="page"/>
      </w:r>
    </w:p>
    <w:p>
      <w:pPr>
        <w:pStyle w:val="Heading1"/>
        <w:jc w:val="right"/>
      </w:pPr>
      <w:r>
        <w:rPr>
          <w:rFonts w:ascii="Arial" w:hAnsi="Arial" w:eastAsia="Arial"/>
          <w:color w:val="003366"/>
          <w:sz w:val="36"/>
        </w:rPr>
        <w:t>5. استراتيجية التسويق والمبيعات</w:t>
      </w:r>
    </w:p>
    <w:tbl>
      <w:tblPr>
        <w:tblStyle w:val="LightGrid-Accent1"/>
        <w:tblW w:type="auto" w:w="0"/>
        <w:jc w:val="right"/>
        <w:tblLayout w:type="autofit"/>
        <w:tblLook w:firstColumn="1" w:firstRow="1" w:lastColumn="0" w:lastRow="0" w:noHBand="0" w:noVBand="1" w:val="04A0"/>
      </w:tblPr>
      <w:tblGrid>
        <w:gridCol w:w="4514"/>
        <w:gridCol w:w="4514"/>
      </w:tblGrid>
      <w:tr>
        <w:tc>
          <w:tcPr>
            <w:tcW w:type="dxa" w:w="4514"/>
            <w:shd w:fill="0A0F1A"/>
          </w:tcPr>
          <w:p>
            <w:pPr>
              <w:jc w:val="right"/>
            </w:pPr>
            <w:r>
              <w:rPr>
                <w:rFonts w:ascii="Arial" w:hAnsi="Arial" w:eastAsia="Arial"/>
                <w:b/>
                <w:color w:val="FFFFFF"/>
              </w:rPr>
              <w:t>القناة</w:t>
            </w:r>
          </w:p>
        </w:tc>
        <w:tc>
          <w:tcPr>
            <w:tcW w:type="dxa" w:w="4514"/>
            <w:shd w:fill="0A0F1A"/>
          </w:tcPr>
          <w:p>
            <w:pPr>
              <w:jc w:val="right"/>
            </w:pPr>
            <w:r>
              <w:rPr>
                <w:rFonts w:ascii="Arial" w:hAnsi="Arial" w:eastAsia="Arial"/>
                <w:b/>
                <w:color w:val="FFFFFF"/>
              </w:rPr>
              <w:t>الميزانية</w:t>
            </w:r>
          </w:p>
        </w:tc>
      </w:tr>
      <w:tr>
        <w:tc>
          <w:tcPr>
            <w:tcW w:type="dxa" w:w="4514"/>
          </w:tcPr>
          <w:p>
            <w:pPr>
              <w:jc w:val="right"/>
            </w:pPr>
            <w:r>
              <w:rPr>
                <w:rFonts w:ascii="Arial" w:hAnsi="Arial" w:eastAsia="Arial"/>
              </w:rPr>
              <w:t>القناة</w:t>
            </w:r>
          </w:p>
        </w:tc>
        <w:tc>
          <w:tcPr>
            <w:tcW w:type="dxa" w:w="4514"/>
          </w:tcPr>
          <w:p>
            <w:pPr>
              <w:jc w:val="right"/>
            </w:pPr>
            <w:r>
              <w:rPr>
                <w:rFonts w:ascii="Arial" w:hAnsi="Arial" w:eastAsia="Arial"/>
              </w:rPr>
              <w:t>الميزانية الشهرية</w:t>
            </w:r>
          </w:p>
        </w:tc>
      </w:tr>
      <w:tr>
        <w:tc>
          <w:tcPr>
            <w:tcW w:type="dxa" w:w="4514"/>
          </w:tcPr>
          <w:p>
            <w:pPr>
              <w:jc w:val="right"/>
            </w:pPr>
            <w:r>
              <w:rPr>
                <w:rFonts w:ascii="Arial" w:hAnsi="Arial" w:eastAsia="Arial"/>
              </w:rPr>
              <w:t>Google Ads</w:t>
            </w:r>
          </w:p>
        </w:tc>
        <w:tc>
          <w:tcPr>
            <w:tcW w:type="dxa" w:w="4514"/>
          </w:tcPr>
          <w:p>
            <w:pPr>
              <w:jc w:val="right"/>
            </w:pPr>
            <w:r>
              <w:rPr>
                <w:rFonts w:ascii="Arial" w:hAnsi="Arial" w:eastAsia="Arial"/>
              </w:rPr>
              <w:t>10,000 ريال</w:t>
            </w:r>
          </w:p>
        </w:tc>
      </w:tr>
      <w:tr>
        <w:tc>
          <w:tcPr>
            <w:tcW w:type="dxa" w:w="4514"/>
          </w:tcPr>
          <w:p>
            <w:pPr>
              <w:jc w:val="right"/>
            </w:pPr>
            <w:r>
              <w:rPr>
                <w:rFonts w:ascii="Arial" w:hAnsi="Arial" w:eastAsia="Arial"/>
              </w:rPr>
              <w:t>Snapchat Ads</w:t>
            </w:r>
          </w:p>
        </w:tc>
        <w:tc>
          <w:tcPr>
            <w:tcW w:type="dxa" w:w="4514"/>
          </w:tcPr>
          <w:p>
            <w:pPr>
              <w:jc w:val="right"/>
            </w:pPr>
            <w:r>
              <w:rPr>
                <w:rFonts w:ascii="Arial" w:hAnsi="Arial" w:eastAsia="Arial"/>
              </w:rPr>
              <w:t>8,000 ريال</w:t>
            </w:r>
          </w:p>
        </w:tc>
      </w:tr>
      <w:tr>
        <w:tc>
          <w:tcPr>
            <w:tcW w:type="dxa" w:w="4514"/>
          </w:tcPr>
          <w:p>
            <w:pPr>
              <w:jc w:val="right"/>
            </w:pPr>
            <w:r>
              <w:rPr>
                <w:rFonts w:ascii="Arial" w:hAnsi="Arial" w:eastAsia="Arial"/>
              </w:rPr>
              <w:t>Instagram / TikTok</w:t>
            </w:r>
          </w:p>
        </w:tc>
        <w:tc>
          <w:tcPr>
            <w:tcW w:type="dxa" w:w="4514"/>
          </w:tcPr>
          <w:p>
            <w:pPr>
              <w:jc w:val="right"/>
            </w:pPr>
            <w:r>
              <w:rPr>
                <w:rFonts w:ascii="Arial" w:hAnsi="Arial" w:eastAsia="Arial"/>
              </w:rPr>
              <w:t>5,000 ريال</w:t>
            </w:r>
          </w:p>
        </w:tc>
      </w:tr>
      <w:tr>
        <w:tc>
          <w:tcPr>
            <w:tcW w:type="dxa" w:w="4514"/>
          </w:tcPr>
          <w:p>
            <w:pPr>
              <w:jc w:val="right"/>
            </w:pPr>
            <w:r>
              <w:rPr>
                <w:rFonts w:ascii="Arial" w:hAnsi="Arial" w:eastAsia="Arial"/>
              </w:rPr>
              <w:t>SEO</w:t>
            </w:r>
          </w:p>
        </w:tc>
        <w:tc>
          <w:tcPr>
            <w:tcW w:type="dxa" w:w="4514"/>
          </w:tcPr>
          <w:p>
            <w:pPr>
              <w:jc w:val="right"/>
            </w:pPr>
            <w:r>
              <w:rPr>
                <w:rFonts w:ascii="Arial" w:hAnsi="Arial" w:eastAsia="Arial"/>
              </w:rPr>
              <w:t>3,000 ريال</w:t>
            </w:r>
          </w:p>
        </w:tc>
      </w:tr>
      <w:tr>
        <w:tc>
          <w:tcPr>
            <w:tcW w:type="dxa" w:w="4514"/>
          </w:tcPr>
          <w:p>
            <w:pPr>
              <w:jc w:val="right"/>
            </w:pPr>
            <w:r>
              <w:rPr>
                <w:rFonts w:ascii="Arial" w:hAnsi="Arial" w:eastAsia="Arial"/>
              </w:rPr>
              <w:t>LinkedIn</w:t>
            </w:r>
          </w:p>
        </w:tc>
        <w:tc>
          <w:tcPr>
            <w:tcW w:type="dxa" w:w="4514"/>
          </w:tcPr>
          <w:p>
            <w:pPr>
              <w:jc w:val="right"/>
            </w:pPr>
            <w:r>
              <w:rPr>
                <w:rFonts w:ascii="Arial" w:hAnsi="Arial" w:eastAsia="Arial"/>
              </w:rPr>
              <w:t>2,000 ريال</w:t>
            </w:r>
          </w:p>
        </w:tc>
      </w:tr>
    </w:tbl>
    <w:p>
      <w:r>
        <w:br w:type="page"/>
      </w:r>
    </w:p>
    <w:p>
      <w:pPr>
        <w:pStyle w:val="Heading1"/>
        <w:jc w:val="right"/>
      </w:pPr>
      <w:r>
        <w:rPr>
          <w:rFonts w:ascii="Arial" w:hAnsi="Arial" w:eastAsia="Arial"/>
          <w:color w:val="003366"/>
          <w:sz w:val="36"/>
        </w:rPr>
        <w:t>6. الخطة التشغيلية</w:t>
      </w:r>
    </w:p>
    <w:tbl>
      <w:tblPr>
        <w:tblStyle w:val="LightGrid-Accent1"/>
        <w:tblW w:type="auto" w:w="0"/>
        <w:jc w:val="right"/>
        <w:tblLayout w:type="autofit"/>
        <w:tblLook w:firstColumn="1" w:firstRow="1" w:lastColumn="0" w:lastRow="0" w:noHBand="0" w:noVBand="1" w:val="04A0"/>
      </w:tblPr>
      <w:tblGrid>
        <w:gridCol w:w="4514"/>
        <w:gridCol w:w="4514"/>
      </w:tblGrid>
      <w:tr>
        <w:tc>
          <w:tcPr>
            <w:tcW w:type="dxa" w:w="4514"/>
            <w:shd w:fill="0A0F1A"/>
          </w:tcPr>
          <w:p>
            <w:pPr>
              <w:jc w:val="right"/>
            </w:pPr>
            <w:r>
              <w:rPr>
                <w:rFonts w:ascii="Arial" w:hAnsi="Arial" w:eastAsia="Arial"/>
                <w:b/>
                <w:color w:val="FFFFFF"/>
              </w:rPr>
              <w:t>المرحلة</w:t>
            </w:r>
          </w:p>
        </w:tc>
        <w:tc>
          <w:tcPr>
            <w:tcW w:type="dxa" w:w="4514"/>
            <w:shd w:fill="0A0F1A"/>
          </w:tcPr>
          <w:p>
            <w:pPr>
              <w:jc w:val="right"/>
            </w:pPr>
            <w:r>
              <w:rPr>
                <w:rFonts w:ascii="Arial" w:hAnsi="Arial" w:eastAsia="Arial"/>
                <w:b/>
                <w:color w:val="FFFFFF"/>
              </w:rPr>
              <w:t>المدة</w:t>
            </w:r>
          </w:p>
        </w:tc>
      </w:tr>
      <w:tr>
        <w:tc>
          <w:tcPr>
            <w:tcW w:type="dxa" w:w="4514"/>
          </w:tcPr>
          <w:p>
            <w:pPr>
              <w:jc w:val="right"/>
            </w:pPr>
            <w:r>
              <w:rPr>
                <w:rFonts w:ascii="Arial" w:hAnsi="Arial" w:eastAsia="Arial"/>
              </w:rPr>
              <w:t>المرحلة</w:t>
            </w:r>
          </w:p>
        </w:tc>
        <w:tc>
          <w:tcPr>
            <w:tcW w:type="dxa" w:w="4514"/>
          </w:tcPr>
          <w:p>
            <w:pPr>
              <w:jc w:val="right"/>
            </w:pPr>
            <w:r>
              <w:rPr>
                <w:rFonts w:ascii="Arial" w:hAnsi="Arial" w:eastAsia="Arial"/>
              </w:rPr>
              <w:t>المدة</w:t>
            </w:r>
          </w:p>
        </w:tc>
      </w:tr>
      <w:tr>
        <w:tc>
          <w:tcPr>
            <w:tcW w:type="dxa" w:w="4514"/>
          </w:tcPr>
          <w:p>
            <w:pPr>
              <w:jc w:val="right"/>
            </w:pPr>
            <w:r>
              <w:rPr>
                <w:rFonts w:ascii="Arial" w:hAnsi="Arial" w:eastAsia="Arial"/>
              </w:rPr>
              <w:t>التقييم</w:t>
            </w:r>
          </w:p>
        </w:tc>
        <w:tc>
          <w:tcPr>
            <w:tcW w:type="dxa" w:w="4514"/>
          </w:tcPr>
          <w:p>
            <w:pPr>
              <w:jc w:val="right"/>
            </w:pPr>
            <w:r>
              <w:rPr>
                <w:rFonts w:ascii="Arial" w:hAnsi="Arial" w:eastAsia="Arial"/>
              </w:rPr>
              <w:t>4 أسابيع</w:t>
            </w:r>
          </w:p>
        </w:tc>
      </w:tr>
      <w:tr>
        <w:tc>
          <w:tcPr>
            <w:tcW w:type="dxa" w:w="4514"/>
          </w:tcPr>
          <w:p>
            <w:pPr>
              <w:jc w:val="right"/>
            </w:pPr>
            <w:r>
              <w:rPr>
                <w:rFonts w:ascii="Arial" w:hAnsi="Arial" w:eastAsia="Arial"/>
              </w:rPr>
              <w:t>التعاقد</w:t>
            </w:r>
          </w:p>
        </w:tc>
        <w:tc>
          <w:tcPr>
            <w:tcW w:type="dxa" w:w="4514"/>
          </w:tcPr>
          <w:p>
            <w:pPr>
              <w:jc w:val="right"/>
            </w:pPr>
            <w:r>
              <w:rPr>
                <w:rFonts w:ascii="Arial" w:hAnsi="Arial" w:eastAsia="Arial"/>
              </w:rPr>
              <w:t>2-4 أسابيع</w:t>
            </w:r>
          </w:p>
        </w:tc>
      </w:tr>
      <w:tr>
        <w:tc>
          <w:tcPr>
            <w:tcW w:type="dxa" w:w="4514"/>
          </w:tcPr>
          <w:p>
            <w:pPr>
              <w:jc w:val="right"/>
            </w:pPr>
            <w:r>
              <w:rPr>
                <w:rFonts w:ascii="Arial" w:hAnsi="Arial" w:eastAsia="Arial"/>
              </w:rPr>
              <w:t>التصميم</w:t>
            </w:r>
          </w:p>
        </w:tc>
        <w:tc>
          <w:tcPr>
            <w:tcW w:type="dxa" w:w="4514"/>
          </w:tcPr>
          <w:p>
            <w:pPr>
              <w:jc w:val="right"/>
            </w:pPr>
            <w:r>
              <w:rPr>
                <w:rFonts w:ascii="Arial" w:hAnsi="Arial" w:eastAsia="Arial"/>
              </w:rPr>
              <w:t>4-8 أسابيع</w:t>
            </w:r>
          </w:p>
        </w:tc>
      </w:tr>
      <w:tr>
        <w:tc>
          <w:tcPr>
            <w:tcW w:type="dxa" w:w="4514"/>
          </w:tcPr>
          <w:p>
            <w:pPr>
              <w:jc w:val="right"/>
            </w:pPr>
            <w:r>
              <w:rPr>
                <w:rFonts w:ascii="Arial" w:hAnsi="Arial" w:eastAsia="Arial"/>
              </w:rPr>
              <w:t>التشطيب</w:t>
            </w:r>
          </w:p>
        </w:tc>
        <w:tc>
          <w:tcPr>
            <w:tcW w:type="dxa" w:w="4514"/>
          </w:tcPr>
          <w:p>
            <w:pPr>
              <w:jc w:val="right"/>
            </w:pPr>
            <w:r>
              <w:rPr>
                <w:rFonts w:ascii="Arial" w:hAnsi="Arial" w:eastAsia="Arial"/>
              </w:rPr>
              <w:t>16-24 أسبوع</w:t>
            </w:r>
          </w:p>
        </w:tc>
      </w:tr>
      <w:tr>
        <w:tc>
          <w:tcPr>
            <w:tcW w:type="dxa" w:w="4514"/>
          </w:tcPr>
          <w:p>
            <w:pPr>
              <w:jc w:val="right"/>
            </w:pPr>
            <w:r>
              <w:rPr>
                <w:rFonts w:ascii="Arial" w:hAnsi="Arial" w:eastAsia="Arial"/>
              </w:rPr>
              <w:t>التسويق والبيع</w:t>
            </w:r>
          </w:p>
        </w:tc>
        <w:tc>
          <w:tcPr>
            <w:tcW w:type="dxa" w:w="4514"/>
          </w:tcPr>
          <w:p>
            <w:pPr>
              <w:jc w:val="right"/>
            </w:pPr>
            <w:r>
              <w:rPr>
                <w:rFonts w:ascii="Arial" w:hAnsi="Arial" w:eastAsia="Arial"/>
              </w:rPr>
              <w:t>12-24 أسبوع</w:t>
            </w:r>
          </w:p>
        </w:tc>
      </w:tr>
      <w:tr>
        <w:tc>
          <w:tcPr>
            <w:tcW w:type="dxa" w:w="4514"/>
          </w:tcPr>
          <w:p>
            <w:pPr>
              <w:jc w:val="right"/>
            </w:pPr>
            <w:r>
              <w:rPr>
                <w:rFonts w:ascii="Arial" w:hAnsi="Arial" w:eastAsia="Arial"/>
              </w:rPr>
              <w:t>التسليم</w:t>
            </w:r>
          </w:p>
        </w:tc>
        <w:tc>
          <w:tcPr>
            <w:tcW w:type="dxa" w:w="4514"/>
          </w:tcPr>
          <w:p>
            <w:pPr>
              <w:jc w:val="right"/>
            </w:pPr>
            <w:r>
              <w:rPr>
                <w:rFonts w:ascii="Arial" w:hAnsi="Arial" w:eastAsia="Arial"/>
              </w:rPr>
              <w:t>4-8 أسابيع</w:t>
            </w:r>
          </w:p>
        </w:tc>
      </w:tr>
    </w:tbl>
    <w:p>
      <w:r>
        <w:br w:type="page"/>
      </w:r>
    </w:p>
    <w:p>
      <w:pPr>
        <w:pStyle w:val="Heading1"/>
        <w:jc w:val="right"/>
      </w:pPr>
      <w:r>
        <w:rPr>
          <w:rFonts w:ascii="Arial" w:hAnsi="Arial" w:eastAsia="Arial"/>
          <w:color w:val="003366"/>
          <w:sz w:val="36"/>
        </w:rPr>
        <w:t>7. الخطة المالية</w:t>
      </w:r>
    </w:p>
    <w:tbl>
      <w:tblPr>
        <w:tblStyle w:val="LightGrid-Accent1"/>
        <w:tblW w:type="auto" w:w="0"/>
        <w:jc w:val="right"/>
        <w:tblLayout w:type="autofit"/>
        <w:tblLook w:firstColumn="1" w:firstRow="1" w:lastColumn="0" w:lastRow="0" w:noHBand="0" w:noVBand="1" w:val="04A0"/>
      </w:tblPr>
      <w:tblGrid>
        <w:gridCol w:w="4514"/>
        <w:gridCol w:w="4514"/>
      </w:tblGrid>
      <w:tr>
        <w:tc>
          <w:tcPr>
            <w:tcW w:type="dxa" w:w="4514"/>
            <w:shd w:fill="0A0F1A"/>
          </w:tcPr>
          <w:p>
            <w:pPr>
              <w:jc w:val="right"/>
            </w:pPr>
            <w:r>
              <w:rPr>
                <w:rFonts w:ascii="Arial" w:hAnsi="Arial" w:eastAsia="Arial"/>
                <w:b/>
                <w:color w:val="FFFFFF"/>
              </w:rPr>
              <w:t>المؤشر</w:t>
            </w:r>
          </w:p>
        </w:tc>
        <w:tc>
          <w:tcPr>
            <w:tcW w:type="dxa" w:w="4514"/>
            <w:shd w:fill="0A0F1A"/>
          </w:tcPr>
          <w:p>
            <w:pPr>
              <w:jc w:val="right"/>
            </w:pPr>
            <w:r>
              <w:rPr>
                <w:rFonts w:ascii="Arial" w:hAnsi="Arial" w:eastAsia="Arial"/>
                <w:b/>
                <w:color w:val="FFFFFF"/>
              </w:rPr>
              <w:t>القيمة</w:t>
            </w:r>
          </w:p>
        </w:tc>
      </w:tr>
      <w:tr>
        <w:tc>
          <w:tcPr>
            <w:tcW w:type="dxa" w:w="4514"/>
          </w:tcPr>
          <w:p>
            <w:pPr>
              <w:jc w:val="right"/>
            </w:pPr>
            <w:r>
              <w:rPr>
                <w:rFonts w:ascii="Arial" w:hAnsi="Arial" w:eastAsia="Arial"/>
              </w:rPr>
              <w:t>المؤشر</w:t>
            </w:r>
          </w:p>
        </w:tc>
        <w:tc>
          <w:tcPr>
            <w:tcW w:type="dxa" w:w="4514"/>
          </w:tcPr>
          <w:p>
            <w:pPr>
              <w:jc w:val="right"/>
            </w:pPr>
            <w:r>
              <w:rPr>
                <w:rFonts w:ascii="Arial" w:hAnsi="Arial" w:eastAsia="Arial"/>
              </w:rPr>
              <w:t>القيمة</w:t>
            </w:r>
          </w:p>
        </w:tc>
      </w:tr>
      <w:tr>
        <w:tc>
          <w:tcPr>
            <w:tcW w:type="dxa" w:w="4514"/>
          </w:tcPr>
          <w:p>
            <w:pPr>
              <w:jc w:val="right"/>
            </w:pPr>
            <w:r>
              <w:rPr>
                <w:rFonts w:ascii="Arial" w:hAnsi="Arial" w:eastAsia="Arial"/>
              </w:rPr>
              <w:t>IRR</w:t>
            </w:r>
          </w:p>
        </w:tc>
        <w:tc>
          <w:tcPr>
            <w:tcW w:type="dxa" w:w="4514"/>
          </w:tcPr>
          <w:p>
            <w:pPr>
              <w:jc w:val="right"/>
            </w:pPr>
            <w:r>
              <w:rPr>
                <w:rFonts w:ascii="Arial" w:hAnsi="Arial" w:eastAsia="Arial"/>
              </w:rPr>
              <w:t>19% - 20%</w:t>
            </w:r>
          </w:p>
        </w:tc>
      </w:tr>
      <w:tr>
        <w:tc>
          <w:tcPr>
            <w:tcW w:type="dxa" w:w="4514"/>
          </w:tcPr>
          <w:p>
            <w:pPr>
              <w:jc w:val="right"/>
            </w:pPr>
            <w:r>
              <w:rPr>
                <w:rFonts w:ascii="Arial" w:hAnsi="Arial" w:eastAsia="Arial"/>
              </w:rPr>
              <w:t>عائد الخروج</w:t>
            </w:r>
          </w:p>
        </w:tc>
        <w:tc>
          <w:tcPr>
            <w:tcW w:type="dxa" w:w="4514"/>
          </w:tcPr>
          <w:p>
            <w:pPr>
              <w:jc w:val="right"/>
            </w:pPr>
            <w:r>
              <w:rPr>
                <w:rFonts w:ascii="Arial" w:hAnsi="Arial" w:eastAsia="Arial"/>
              </w:rPr>
              <w:t>2.5x - 4x</w:t>
            </w:r>
          </w:p>
        </w:tc>
      </w:tr>
      <w:tr>
        <w:tc>
          <w:tcPr>
            <w:tcW w:type="dxa" w:w="4514"/>
          </w:tcPr>
          <w:p>
            <w:pPr>
              <w:jc w:val="right"/>
            </w:pPr>
            <w:r>
              <w:rPr>
                <w:rFonts w:ascii="Arial" w:hAnsi="Arial" w:eastAsia="Arial"/>
              </w:rPr>
              <w:t>فترة الاسترداد</w:t>
            </w:r>
          </w:p>
        </w:tc>
        <w:tc>
          <w:tcPr>
            <w:tcW w:type="dxa" w:w="4514"/>
          </w:tcPr>
          <w:p>
            <w:pPr>
              <w:jc w:val="right"/>
            </w:pPr>
            <w:r>
              <w:rPr>
                <w:rFonts w:ascii="Arial" w:hAnsi="Arial" w:eastAsia="Arial"/>
              </w:rPr>
              <w:t>5.5 سنة</w:t>
            </w:r>
          </w:p>
        </w:tc>
      </w:tr>
      <w:tr>
        <w:tc>
          <w:tcPr>
            <w:tcW w:type="dxa" w:w="4514"/>
          </w:tcPr>
          <w:p>
            <w:pPr>
              <w:jc w:val="right"/>
            </w:pPr>
            <w:r>
              <w:rPr>
                <w:rFonts w:ascii="Arial" w:hAnsi="Arial" w:eastAsia="Arial"/>
              </w:rPr>
              <w:t>صافي الربح السنة 5</w:t>
            </w:r>
          </w:p>
        </w:tc>
        <w:tc>
          <w:tcPr>
            <w:tcW w:type="dxa" w:w="4514"/>
          </w:tcPr>
          <w:p>
            <w:pPr>
              <w:jc w:val="right"/>
            </w:pPr>
            <w:r>
              <w:rPr>
                <w:rFonts w:ascii="Arial" w:hAnsi="Arial" w:eastAsia="Arial"/>
              </w:rPr>
              <w:t>9.8 مليون ريال</w:t>
            </w:r>
          </w:p>
        </w:tc>
      </w:tr>
    </w:tbl>
    <w:p>
      <w:r>
        <w:br w:type="page"/>
      </w:r>
    </w:p>
    <w:p>
      <w:pPr>
        <w:pStyle w:val="Heading1"/>
        <w:jc w:val="right"/>
      </w:pPr>
      <w:r>
        <w:rPr>
          <w:rFonts w:ascii="Arial" w:hAnsi="Arial" w:eastAsia="Arial"/>
          <w:color w:val="003366"/>
          <w:sz w:val="36"/>
        </w:rPr>
        <w:t>8. تحليل المخاطر والتحوطات</w:t>
      </w:r>
    </w:p>
    <w:tbl>
      <w:tblPr>
        <w:tblStyle w:val="LightGrid-Accent1"/>
        <w:tblW w:type="auto" w:w="0"/>
        <w:jc w:val="right"/>
        <w:tblLayout w:type="autofit"/>
        <w:tblLook w:firstColumn="1" w:firstRow="1" w:lastColumn="0" w:lastRow="0" w:noHBand="0" w:noVBand="1" w:val="04A0"/>
      </w:tblPr>
      <w:tblGrid>
        <w:gridCol w:w="4514"/>
        <w:gridCol w:w="4514"/>
      </w:tblGrid>
      <w:tr>
        <w:tc>
          <w:tcPr>
            <w:tcW w:type="dxa" w:w="4514"/>
            <w:shd w:fill="0A0F1A"/>
          </w:tcPr>
          <w:p>
            <w:pPr>
              <w:jc w:val="right"/>
            </w:pPr>
            <w:r>
              <w:rPr>
                <w:rFonts w:ascii="Arial" w:hAnsi="Arial" w:eastAsia="Arial"/>
                <w:b/>
                <w:color w:val="FFFFFF"/>
              </w:rPr>
              <w:t>المخاطر</w:t>
            </w:r>
          </w:p>
        </w:tc>
        <w:tc>
          <w:tcPr>
            <w:tcW w:type="dxa" w:w="4514"/>
            <w:shd w:fill="0A0F1A"/>
          </w:tcPr>
          <w:p>
            <w:pPr>
              <w:jc w:val="right"/>
            </w:pPr>
            <w:r>
              <w:rPr>
                <w:rFonts w:ascii="Arial" w:hAnsi="Arial" w:eastAsia="Arial"/>
                <w:b/>
                <w:color w:val="FFFFFF"/>
              </w:rPr>
              <w:t>التحوط</w:t>
            </w:r>
          </w:p>
        </w:tc>
      </w:tr>
      <w:tr>
        <w:tc>
          <w:tcPr>
            <w:tcW w:type="dxa" w:w="4514"/>
          </w:tcPr>
          <w:p>
            <w:pPr>
              <w:jc w:val="right"/>
            </w:pPr>
            <w:r>
              <w:rPr>
                <w:rFonts w:ascii="Arial" w:hAnsi="Arial" w:eastAsia="Arial"/>
              </w:rPr>
              <w:t>المخاطر</w:t>
            </w:r>
          </w:p>
        </w:tc>
        <w:tc>
          <w:tcPr>
            <w:tcW w:type="dxa" w:w="4514"/>
          </w:tcPr>
          <w:p>
            <w:pPr>
              <w:jc w:val="right"/>
            </w:pPr>
            <w:r>
              <w:rPr>
                <w:rFonts w:ascii="Arial" w:hAnsi="Arial" w:eastAsia="Arial"/>
              </w:rPr>
              <w:t>التحوط</w:t>
            </w:r>
          </w:p>
        </w:tc>
      </w:tr>
      <w:tr>
        <w:tc>
          <w:tcPr>
            <w:tcW w:type="dxa" w:w="4514"/>
          </w:tcPr>
          <w:p>
            <w:pPr>
              <w:jc w:val="right"/>
            </w:pPr>
            <w:r>
              <w:rPr>
                <w:rFonts w:ascii="Arial" w:hAnsi="Arial" w:eastAsia="Arial"/>
              </w:rPr>
              <w:t>عيوب إنشائية مخفية</w:t>
            </w:r>
          </w:p>
        </w:tc>
        <w:tc>
          <w:tcPr>
            <w:tcW w:type="dxa" w:w="4514"/>
          </w:tcPr>
          <w:p>
            <w:pPr>
              <w:jc w:val="right"/>
            </w:pPr>
            <w:r>
              <w:rPr>
                <w:rFonts w:ascii="Arial" w:hAnsi="Arial" w:eastAsia="Arial"/>
              </w:rPr>
              <w:t>فحص هندسي + تأمين + احتياطي 10%</w:t>
            </w:r>
          </w:p>
        </w:tc>
      </w:tr>
      <w:tr>
        <w:tc>
          <w:tcPr>
            <w:tcW w:type="dxa" w:w="4514"/>
          </w:tcPr>
          <w:p>
            <w:pPr>
              <w:jc w:val="right"/>
            </w:pPr>
            <w:r>
              <w:rPr>
                <w:rFonts w:ascii="Arial" w:hAnsi="Arial" w:eastAsia="Arial"/>
              </w:rPr>
              <w:t>تأخر البيع</w:t>
            </w:r>
          </w:p>
        </w:tc>
        <w:tc>
          <w:tcPr>
            <w:tcW w:type="dxa" w:w="4514"/>
          </w:tcPr>
          <w:p>
            <w:pPr>
              <w:jc w:val="right"/>
            </w:pPr>
            <w:r>
              <w:rPr>
                <w:rFonts w:ascii="Arial" w:hAnsi="Arial" w:eastAsia="Arial"/>
              </w:rPr>
              <w:t>تسعير تنافسي + عقود مسبقة</w:t>
            </w:r>
          </w:p>
        </w:tc>
      </w:tr>
      <w:tr>
        <w:tc>
          <w:tcPr>
            <w:tcW w:type="dxa" w:w="4514"/>
          </w:tcPr>
          <w:p>
            <w:pPr>
              <w:jc w:val="right"/>
            </w:pPr>
            <w:r>
              <w:rPr>
                <w:rFonts w:ascii="Arial" w:hAnsi="Arial" w:eastAsia="Arial"/>
              </w:rPr>
              <w:t>تأخر المقاول</w:t>
            </w:r>
          </w:p>
        </w:tc>
        <w:tc>
          <w:tcPr>
            <w:tcW w:type="dxa" w:w="4514"/>
          </w:tcPr>
          <w:p>
            <w:pPr>
              <w:jc w:val="right"/>
            </w:pPr>
            <w:r>
              <w:rPr>
                <w:rFonts w:ascii="Arial" w:hAnsi="Arial" w:eastAsia="Arial"/>
              </w:rPr>
              <w:t>كفالة بنكية + عقوبات</w:t>
            </w:r>
          </w:p>
        </w:tc>
      </w:tr>
      <w:tr>
        <w:tc>
          <w:tcPr>
            <w:tcW w:type="dxa" w:w="4514"/>
          </w:tcPr>
          <w:p>
            <w:pPr>
              <w:jc w:val="right"/>
            </w:pPr>
            <w:r>
              <w:rPr>
                <w:rFonts w:ascii="Arial" w:hAnsi="Arial" w:eastAsia="Arial"/>
              </w:rPr>
              <w:t>نزاعات قانونية</w:t>
            </w:r>
          </w:p>
        </w:tc>
        <w:tc>
          <w:tcPr>
            <w:tcW w:type="dxa" w:w="4514"/>
          </w:tcPr>
          <w:p>
            <w:pPr>
              <w:jc w:val="right"/>
            </w:pPr>
            <w:r>
              <w:rPr>
                <w:rFonts w:ascii="Arial" w:hAnsi="Arial" w:eastAsia="Arial"/>
              </w:rPr>
              <w:t>عقود واضحة + تحكيم ملزم</w:t>
            </w:r>
          </w:p>
        </w:tc>
      </w:tr>
    </w:tbl>
    <w:p>
      <w:r>
        <w:br w:type="page"/>
      </w:r>
    </w:p>
    <w:p>
      <w:pPr>
        <w:pStyle w:val="Heading1"/>
        <w:jc w:val="right"/>
      </w:pPr>
      <w:r>
        <w:rPr>
          <w:rFonts w:ascii="Arial" w:hAnsi="Arial" w:eastAsia="Arial"/>
          <w:color w:val="003366"/>
          <w:sz w:val="36"/>
        </w:rPr>
        <w:t>9. خطة التنفيذ والخروج</w:t>
      </w:r>
    </w:p>
    <w:p>
      <w:pPr>
        <w:pStyle w:val="ListBullet"/>
        <w:jc w:val="right"/>
      </w:pPr>
      <w:r>
        <w:rPr>
          <w:rFonts w:ascii="Arial" w:hAnsi="Arial" w:eastAsia="Arial"/>
          <w:sz w:val="22"/>
        </w:rPr>
        <w:t>السنة 1-2: إثبات النموذج (3-5 مشاريع).</w:t>
      </w:r>
    </w:p>
    <w:p>
      <w:pPr>
        <w:pStyle w:val="ListBullet"/>
        <w:jc w:val="right"/>
      </w:pPr>
      <w:r>
        <w:rPr>
          <w:rFonts w:ascii="Arial" w:hAnsi="Arial" w:eastAsia="Arial"/>
          <w:sz w:val="22"/>
        </w:rPr>
        <w:t>السنة 3-5: النمو والتكرار (6-10 مشاريع سنوياً).</w:t>
      </w:r>
    </w:p>
    <w:p>
      <w:pPr>
        <w:pStyle w:val="ListBullet"/>
        <w:jc w:val="right"/>
      </w:pPr>
      <w:r>
        <w:rPr>
          <w:rFonts w:ascii="Arial" w:hAnsi="Arial" w:eastAsia="Arial"/>
          <w:sz w:val="22"/>
        </w:rPr>
        <w:t>السنة 5-7: الخروج الاستراتيجي.</w:t>
      </w:r>
    </w:p>
    <w:p>
      <w:pPr>
        <w:pStyle w:val="ListBullet"/>
        <w:jc w:val="right"/>
      </w:pPr>
      <w:r>
        <w:rPr>
          <w:rFonts w:ascii="Arial" w:hAnsi="Arial" w:eastAsia="Arial"/>
          <w:sz w:val="22"/>
        </w:rPr>
        <w:t>خيارات الخروج: بيع حصة مسيطرة، طرح جزئي، إعادة شراء.</w:t>
      </w:r>
    </w:p>
    <w:p>
      <w:r>
        <w:br w:type="page"/>
      </w:r>
    </w:p>
    <w:p>
      <w:pPr>
        <w:pStyle w:val="Heading1"/>
        <w:jc w:val="right"/>
      </w:pPr>
      <w:r>
        <w:rPr>
          <w:rFonts w:ascii="Arial" w:hAnsi="Arial" w:eastAsia="Arial"/>
          <w:color w:val="003366"/>
          <w:sz w:val="36"/>
        </w:rPr>
        <w:t>10. الخلاصة والتوصيات</w:t>
      </w:r>
    </w:p>
    <w:p>
      <w:pPr>
        <w:jc w:val="right"/>
      </w:pPr>
      <w:r>
        <w:rPr>
          <w:rFonts w:ascii="Arial" w:hAnsi="Arial" w:eastAsia="Arial"/>
          <w:b w:val="0"/>
          <w:i w:val="0"/>
          <w:color w:val="000000"/>
          <w:sz w:val="24"/>
        </w:rPr>
        <w:t>تقدم الشركة فرصة استثمارية فريدة في السوق العقاري السعودي. النموذج يعتمد على الشراكة المحاصة مع مالكي العقارات غير المكتملة، مما يلغي الحاجة إلى شراء الأراضي ويقلل رأس المال المطلوب.</w:t>
      </w:r>
    </w:p>
    <w:p>
      <w:pPr>
        <w:jc w:val="right"/>
      </w:pPr>
      <w:r>
        <w:rPr>
          <w:rFonts w:ascii="Arial" w:hAnsi="Arial" w:eastAsia="Arial"/>
          <w:b w:val="0"/>
          <w:i w:val="0"/>
          <w:color w:val="000000"/>
          <w:sz w:val="24"/>
        </w:rPr>
        <w:t>بفضل التمويل الذاتي، والالتزام بالكود السعودي، والتغطية التأمينية الشاملة، تتمتع الشركة بمخاطر محسوبة وعوائد جذابة.</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66666"/>
        <w:sz w:val="18"/>
      </w:rPr>
      <w:t>المستشار المالي | د. طلال بن حسن الزهراني | +966 56 756 6616 | info@bonds-global.com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