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21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ds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Arial" w:hAnsi="Arial" w:eastAsia="Arial"/>
          <w:b/>
          <w:color w:val="003366"/>
          <w:sz w:val="80"/>
        </w:rPr>
        <w:t>Business Plan</w:t>
      </w:r>
    </w:p>
    <w:p>
      <w:pPr>
        <w:jc w:val="center"/>
      </w:pPr>
      <w:r>
        <w:rPr>
          <w:rFonts w:ascii="Arial" w:hAnsi="Arial" w:eastAsia="Arial"/>
          <w:b/>
          <w:color w:val="D4A853"/>
          <w:sz w:val="52"/>
        </w:rPr>
        <w:t>Real Estate Asset Revitalization Company</w:t>
      </w:r>
    </w:p>
    <w:p/>
    <w:p>
      <w:pPr>
        <w:jc w:val="center"/>
      </w:pPr>
      <w:r>
        <w:rPr>
          <w:rFonts w:ascii="Arial" w:hAnsi="Arial" w:eastAsia="Arial"/>
          <w:b/>
          <w:color w:val="0A0F1A"/>
          <w:sz w:val="32"/>
        </w:rPr>
        <w:t>Closed Joint Stock Company</w:t>
      </w:r>
    </w:p>
    <w:p>
      <w:pPr>
        <w:jc w:val="center"/>
      </w:pPr>
      <w:r>
        <w:rPr>
          <w:rFonts w:ascii="Arial" w:hAnsi="Arial" w:eastAsia="Arial"/>
          <w:color w:val="666666"/>
          <w:sz w:val="28"/>
        </w:rPr>
        <w:t>Kingdom of Saudi Arabia</w:t>
      </w:r>
    </w:p>
    <w:p/>
    <w:p>
      <w:pPr>
        <w:jc w:val="center"/>
      </w:pPr>
      <w:r>
        <w:rPr>
          <w:rFonts w:ascii="Arial" w:hAnsi="Arial" w:eastAsia="Arial"/>
          <w:b/>
          <w:color w:val="D4A853"/>
          <w:sz w:val="28"/>
        </w:rPr>
        <w:t>Financial Advisor</w:t>
      </w:r>
    </w:p>
    <w:p>
      <w:pPr>
        <w:jc w:val="center"/>
      </w:pPr>
      <w:r>
        <w:rPr>
          <w:rFonts w:ascii="Arial" w:hAnsi="Arial" w:eastAsia="Arial"/>
          <w:b/>
          <w:sz w:val="32"/>
        </w:rPr>
        <w:t>Dr. Talal bin Hassan Al-Zahrani</w:t>
      </w:r>
    </w:p>
    <w:p>
      <w:pPr>
        <w:jc w:val="center"/>
      </w:pPr>
      <w:r>
        <w:rPr>
          <w:rFonts w:ascii="Arial" w:hAnsi="Arial" w:eastAsia="Arial"/>
          <w:sz w:val="24"/>
        </w:rPr>
        <w:t>+966 56 756 6616</w:t>
      </w:r>
    </w:p>
    <w:p>
      <w:pPr>
        <w:jc w:val="center"/>
      </w:pPr>
      <w:r>
        <w:rPr>
          <w:rFonts w:ascii="Arial" w:hAnsi="Arial" w:eastAsia="Arial"/>
          <w:color w:val="D4A853"/>
          <w:sz w:val="24"/>
        </w:rPr>
        <w:t>info@bonds-global.com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ds-qr-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Arial"/>
          <w:color w:val="666666"/>
          <w:sz w:val="20"/>
        </w:rPr>
        <w:t>www.bonds-global.com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Executive Summary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The Real Estate Asset Revitalization Company is a unique investment model aimed at revitalizing incomplete real estate assets in Saudi Arabia through partnership agreements with property owners, without purchasing land or relying on external financing.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The company operates as a closed joint stock company, fully funded by founding shareholders, and adheres to the highest standards of the Saudi Building Code and finishing works, with comprehensive insurance coverage.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Key Financial Indicators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Indicator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Value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Authorized Capital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200 million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Total Target Investment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226 million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Initial Investment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25 million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Expected IRR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19% - 20%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Capital Return at Exit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2.5x - 4x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Payback Period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5.5 years</w:t>
            </w:r>
          </w:p>
        </w:tc>
      </w:tr>
    </w:tbl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Market Opportunity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Saudi Arabia is witnessing unprecedented real estate growth driven by Vision 2030.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Thousands of incomplete assets are available due to lack of liquidity or execution expertise.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Demand for ready-built units exceeds supply in major cities.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High rental yields in Riyadh (8.89%) and Jeddah (7.89%).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Business Model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Partnership (Muhassah) with asset owners.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Company bears finishing, marketing, and selling costs.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Owner retains property ownership.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Profits shared per signed contract.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1. Company Overview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1.1 Vision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To be the preferred strategic partner for owners of incomplete real estate assets in Saudi Arabia.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1.2 Mission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Revitalize incomplete real estate assets with high standards of quality and compliance.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1.3 Core Values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Respect, Quality, Transparency, Sustainability, Innovation.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1.4 Legal Structure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A closed joint stock company licensed by the Ministry of Commerce and the Real Estate General Authority (REGA).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1.5 Capital Structure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Item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Value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Authorized Capital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200,000,000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Shares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40,000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Nominal Value per Share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5,000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Actual Value per Share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5,650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Total Target Investment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226,000,000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2. Market Analysis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The Saudi real estate sector is undergoing radical transformation driven by Vision 2030.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2.1 Key Indicators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Indicator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Value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Rental Yield in Riyadh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8.89%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Rental Yield in Jeddah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7.89%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Transaction Growth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+14.2%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Real Estate Financing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730 billion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Price/Demand Gap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6%</w:t>
            </w:r>
          </w:p>
        </w:tc>
      </w:tr>
    </w:tbl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2.2 Target Areas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Riyadh: Premium North, Northeast.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Jeddah: North Coast, Vibrant Center.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3. Services and Solutions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Comprehensive engineering and legal assessment.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Architectural and structural design preparation.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Finishing management and daily supervision.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Professional marketing and sales.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Delivery and ownership transfer.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3.2 Partnership Models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Model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Description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Model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Description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Full Muhassah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Company handles finishing and marketing for profit share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Partial Purchase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Company buys part of units after finishing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Management Fee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Fixed fee for finishing and marketing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Hybrid Model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Mix of Muhassah, purchase, and management fees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4. Business Model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Identify incomplete real estate assets.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Conduct engineering, legal, and financial assessment.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Contract with the owner.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Finish according to Saudi Building Code.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Market and sell.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Distribute profits.</w:t>
      </w:r>
    </w:p>
    <w:p>
      <w:pPr>
        <w:pStyle w:val="Heading2"/>
        <w:jc w:val="left"/>
      </w:pPr>
      <w:r>
        <w:rPr>
          <w:rFonts w:ascii="Arial" w:hAnsi="Arial" w:eastAsia="Arial"/>
          <w:color w:val="D4A853"/>
          <w:sz w:val="28"/>
        </w:rPr>
        <w:t>4.2 Revenue Sources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Source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Share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Source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Share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Muhassah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60%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Resale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25%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Management Fees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10%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Consulting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5%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5. Marketing and Sales Strategy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Channel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Budget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Channel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Monthly Budget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Google Ads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10,000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Snapchat Ads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8,000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Instagram / TikTok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5,000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SEO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3,000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LinkedIn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2,000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6. Operational Plan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Phase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Duration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Phase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Duration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Assessment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4 weeks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Contracting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2-4 weeks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Design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4-8 weeks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Finishing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16-24 weeks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Marketing &amp; Sales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12-24 weeks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Delivery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4-8 weeks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7. Financial Plan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Indicator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Value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Indicator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Value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IRR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19% - 20%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Exit Return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2.5x - 4x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Payback Period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5.5 years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Net Profit Year 5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SAR 9.8 million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8. Risk Analysis and Mitigation</w:t>
      </w:r>
    </w:p>
    <w:tbl>
      <w:tblPr>
        <w:tblStyle w:val="LightGrid-Accent1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Risk</w:t>
            </w:r>
          </w:p>
        </w:tc>
        <w:tc>
          <w:tcPr>
            <w:tcW w:type="dxa" w:w="4514"/>
            <w:shd w:fill="0A0F1A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</w:rPr>
              <w:t>Mitigation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Risk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Mitigation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Hidden structural defects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Engineering inspection + insurance + 10% reserve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Delayed sales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Competitive pricing + pre-sale contracts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Contractor delay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Bank guarantee + penalties</w:t>
            </w:r>
          </w:p>
        </w:tc>
      </w:tr>
      <w:tr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Legal disputes</w:t>
            </w:r>
          </w:p>
        </w:tc>
        <w:tc>
          <w:tcPr>
            <w:tcW w:type="dxa" w:w="4514"/>
          </w:tcPr>
          <w:p>
            <w:pPr>
              <w:jc w:val="left"/>
            </w:pPr>
            <w:r>
              <w:rPr>
                <w:rFonts w:ascii="Arial" w:hAnsi="Arial" w:eastAsia="Arial"/>
              </w:rPr>
              <w:t>Clear contracts + binding arbitration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9. Implementation and Exit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Years 1-2: Proof of Concept (3-5 projects).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Years 3-5: Growth and Replication (6-10 projects annually).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Years 5-7: Strategic Exit.</w:t>
      </w:r>
    </w:p>
    <w:p>
      <w:pPr>
        <w:pStyle w:val="ListBullet"/>
        <w:jc w:val="left"/>
      </w:pPr>
      <w:r>
        <w:rPr>
          <w:rFonts w:ascii="Arial" w:hAnsi="Arial" w:eastAsia="Arial"/>
          <w:sz w:val="22"/>
        </w:rPr>
        <w:t>Exit options: Sale of controlling stake, partial IPO, buyback.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Arial"/>
          <w:color w:val="003366"/>
          <w:sz w:val="36"/>
        </w:rPr>
        <w:t>10. Conclusion and Recommendations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The company presents a unique investment opportunity in the Saudi real estate market. The model relies on Muhassah partnerships with owners of incomplete assets, eliminating the need to purchase land and reducing required capital.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>With self-funding, compliance with the Saudi Building Code, and comprehensive insurance coverage, the company enjoys calculated risks and attractive returns.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66666"/>
        <w:sz w:val="18"/>
      </w:rPr>
      <w:t>Financial Advisor | Dr. Talal bin Hassan Al-Zahrani | +966 56 756 6616 | info@bonds-global.com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